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878198444"/>
        <w:docPartObj>
          <w:docPartGallery w:val="Cover Pages"/>
          <w:docPartUnique/>
        </w:docPartObj>
      </w:sdtPr>
      <w:sdtEndPr>
        <w:rPr>
          <w:color w:val="37A0D5"/>
        </w:rPr>
      </w:sdtEndPr>
      <w:sdtContent>
        <w:p w:rsidR="00102041" w:rsidRDefault="00102041" w:rsidP="00102041">
          <w:pPr>
            <w:pStyle w:val="Corpodetexto"/>
            <w:spacing w:line="14" w:lineRule="auto"/>
            <w:rPr>
              <w:sz w:val="20"/>
            </w:rPr>
          </w:pPr>
          <w:r>
            <w:rPr>
              <w:noProof/>
              <w:sz w:val="20"/>
              <w:lang w:val="pt-BR" w:eastAsia="pt-BR"/>
            </w:rPr>
            <w:drawing>
              <wp:anchor distT="0" distB="0" distL="0" distR="0" simplePos="0" relativeHeight="251663360" behindDoc="1" locked="0" layoutInCell="1" allowOverlap="1" wp14:anchorId="79146AF5" wp14:editId="1F58310B">
                <wp:simplePos x="0" y="0"/>
                <wp:positionH relativeFrom="page">
                  <wp:posOffset>3685073</wp:posOffset>
                </wp:positionH>
                <wp:positionV relativeFrom="page">
                  <wp:posOffset>536535</wp:posOffset>
                </wp:positionV>
                <wp:extent cx="769502" cy="316676"/>
                <wp:effectExtent l="0" t="0" r="0" b="0"/>
                <wp:wrapNone/>
                <wp:docPr id="114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502" cy="316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0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66432" behindDoc="1" locked="0" layoutInCell="1" allowOverlap="1" wp14:anchorId="155E262D" wp14:editId="57EB4225">
                    <wp:simplePos x="0" y="0"/>
                    <wp:positionH relativeFrom="page">
                      <wp:posOffset>4627626</wp:posOffset>
                    </wp:positionH>
                    <wp:positionV relativeFrom="page">
                      <wp:posOffset>741426</wp:posOffset>
                    </wp:positionV>
                    <wp:extent cx="2278380" cy="7620"/>
                    <wp:effectExtent l="0" t="0" r="0" b="0"/>
                    <wp:wrapNone/>
                    <wp:docPr id="112" name="Graphic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278380" cy="7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78380" h="7620">
                                  <a:moveTo>
                                    <a:pt x="0" y="7620"/>
                                  </a:moveTo>
                                  <a:lnTo>
                                    <a:pt x="2278379" y="0"/>
                                  </a:lnTo>
                                </a:path>
                              </a:pathLst>
                            </a:custGeom>
                            <a:ln w="19812">
                              <a:solidFill>
                                <a:srgbClr val="009999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A53FD23" id="Graphic 2" o:spid="_x0000_s1026" style="position:absolute;margin-left:364.4pt;margin-top:58.4pt;width:179.4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783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" path="m,7620l2278379,e" filled="f" strokecolor="#099" strokeweight="1.56pt">
                    <v:path arrowok="t"/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sz w:val="20"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51668480" behindDoc="1" locked="0" layoutInCell="1" allowOverlap="1" wp14:anchorId="77556F50" wp14:editId="239C4328">
                    <wp:simplePos x="0" y="0"/>
                    <wp:positionH relativeFrom="page">
                      <wp:posOffset>1219961</wp:posOffset>
                    </wp:positionH>
                    <wp:positionV relativeFrom="page">
                      <wp:posOffset>758190</wp:posOffset>
                    </wp:positionV>
                    <wp:extent cx="2278380" cy="7620"/>
                    <wp:effectExtent l="0" t="0" r="0" b="0"/>
                    <wp:wrapNone/>
                    <wp:docPr id="113" name="Graphic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278380" cy="7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78380" h="7620">
                                  <a:moveTo>
                                    <a:pt x="0" y="7619"/>
                                  </a:moveTo>
                                  <a:lnTo>
                                    <a:pt x="2278379" y="0"/>
                                  </a:lnTo>
                                </a:path>
                              </a:pathLst>
                            </a:custGeom>
                            <a:ln w="19812">
                              <a:solidFill>
                                <a:srgbClr val="009999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2BDA868" id="Graphic 3" o:spid="_x0000_s1026" style="position:absolute;margin-left:96.05pt;margin-top:59.7pt;width:179.4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783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" path="m,7619l2278379,e" filled="f" strokecolor="#099" strokeweight="1.56pt">
                    <v:path arrowok="t"/>
                    <w10:wrap anchorx="page" anchory="page"/>
                  </v:shape>
                </w:pict>
              </mc:Fallback>
            </mc:AlternateContent>
          </w:r>
        </w:p>
        <w:p w:rsidR="00102041" w:rsidRDefault="00102041"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217404" wp14:editId="166C917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2041" w:rsidRDefault="00102041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58217404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3" o:spid="_x0000_s1026" type="#_x0000_t202" style="position:absolute;margin-left:0;margin-top:0;width:8in;height:79.5pt;z-index:25165926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" filled="f" stroked="f" strokeweight=".5pt">
                    <v:textbox style="mso-fit-shape-to-text:t" inset="126pt,0,54pt,0">
                      <w:txbxContent>
                        <w:p w:rsidR="00102041" w:rsidRDefault="00102041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102041" w:rsidRDefault="00102041" w:rsidP="00102041">
          <w:pPr>
            <w:ind w:left="-426"/>
            <w:jc w:val="center"/>
            <w:rPr>
              <w:b/>
              <w:bCs/>
              <w:sz w:val="56"/>
              <w:szCs w:val="56"/>
            </w:rPr>
          </w:pPr>
        </w:p>
        <w:p w:rsidR="00102041" w:rsidRDefault="00102041" w:rsidP="00102041">
          <w:pPr>
            <w:ind w:left="-426"/>
            <w:jc w:val="center"/>
            <w:rPr>
              <w:b/>
              <w:bCs/>
              <w:sz w:val="56"/>
              <w:szCs w:val="56"/>
            </w:rPr>
          </w:pPr>
        </w:p>
        <w:p w:rsidR="00102041" w:rsidRDefault="00102041" w:rsidP="00102041">
          <w:pPr>
            <w:ind w:left="-426"/>
            <w:jc w:val="center"/>
            <w:rPr>
              <w:b/>
              <w:bCs/>
              <w:sz w:val="56"/>
              <w:szCs w:val="56"/>
            </w:rPr>
          </w:pPr>
        </w:p>
        <w:p w:rsidR="00102041" w:rsidRDefault="00102041" w:rsidP="00102041">
          <w:pPr>
            <w:ind w:left="-426"/>
            <w:jc w:val="center"/>
            <w:rPr>
              <w:b/>
              <w:bCs/>
              <w:sz w:val="56"/>
              <w:szCs w:val="56"/>
            </w:rPr>
          </w:pPr>
        </w:p>
        <w:p w:rsidR="00102041" w:rsidRDefault="00102041" w:rsidP="00102041">
          <w:pPr>
            <w:ind w:left="-426"/>
            <w:jc w:val="center"/>
            <w:rPr>
              <w:b/>
              <w:bCs/>
              <w:sz w:val="56"/>
              <w:szCs w:val="56"/>
            </w:rPr>
          </w:pPr>
        </w:p>
        <w:p w:rsidR="00102041" w:rsidRPr="00102041" w:rsidRDefault="00102041" w:rsidP="00102041">
          <w:pPr>
            <w:ind w:left="-426"/>
            <w:jc w:val="center"/>
            <w:rPr>
              <w:b/>
              <w:bCs/>
              <w:color w:val="595959" w:themeColor="text1" w:themeTint="A6"/>
              <w:sz w:val="56"/>
              <w:szCs w:val="56"/>
            </w:rPr>
          </w:pPr>
          <w:r w:rsidRPr="00102041">
            <w:rPr>
              <w:b/>
              <w:bCs/>
              <w:color w:val="595959" w:themeColor="text1" w:themeTint="A6"/>
              <w:sz w:val="56"/>
              <w:szCs w:val="56"/>
            </w:rPr>
            <w:t>Parecer da Auditoria Interna</w:t>
          </w:r>
        </w:p>
        <w:p w:rsidR="00102041" w:rsidRPr="00102041" w:rsidRDefault="00102041" w:rsidP="00102041">
          <w:pPr>
            <w:ind w:left="-426"/>
            <w:jc w:val="center"/>
            <w:rPr>
              <w:b/>
              <w:bCs/>
              <w:color w:val="595959" w:themeColor="text1" w:themeTint="A6"/>
            </w:rPr>
          </w:pPr>
        </w:p>
        <w:p w:rsidR="00102041" w:rsidRPr="00102041" w:rsidRDefault="00102041" w:rsidP="00102041">
          <w:pPr>
            <w:ind w:left="-426"/>
            <w:jc w:val="center"/>
            <w:rPr>
              <w:b/>
              <w:bCs/>
              <w:color w:val="595959" w:themeColor="text1" w:themeTint="A6"/>
            </w:rPr>
          </w:pPr>
        </w:p>
        <w:p w:rsidR="00102041" w:rsidRPr="00102041" w:rsidRDefault="00102041" w:rsidP="00102041">
          <w:pPr>
            <w:ind w:left="-426"/>
            <w:jc w:val="center"/>
            <w:rPr>
              <w:b/>
              <w:bCs/>
              <w:color w:val="595959" w:themeColor="text1" w:themeTint="A6"/>
            </w:rPr>
          </w:pPr>
        </w:p>
        <w:p w:rsidR="00102041" w:rsidRPr="00102041" w:rsidRDefault="00102041" w:rsidP="00102041">
          <w:pPr>
            <w:ind w:left="-426"/>
            <w:jc w:val="center"/>
            <w:rPr>
              <w:b/>
              <w:bCs/>
              <w:color w:val="595959" w:themeColor="text1" w:themeTint="A6"/>
              <w:sz w:val="36"/>
              <w:szCs w:val="36"/>
            </w:rPr>
          </w:pPr>
          <w:r w:rsidRPr="00102041">
            <w:rPr>
              <w:b/>
              <w:bCs/>
              <w:color w:val="595959" w:themeColor="text1" w:themeTint="A6"/>
              <w:sz w:val="36"/>
              <w:szCs w:val="36"/>
            </w:rPr>
            <w:t>Processo de Prestação de Contas</w:t>
          </w:r>
        </w:p>
        <w:p w:rsidR="00102041" w:rsidRDefault="00DF71E5" w:rsidP="00102041">
          <w:pPr>
            <w:jc w:val="center"/>
            <w:rPr>
              <w:color w:val="37A0D5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4FF3285" wp14:editId="7D420B8D">
                    <wp:simplePos x="0" y="0"/>
                    <wp:positionH relativeFrom="page">
                      <wp:posOffset>2362200</wp:posOffset>
                    </wp:positionH>
                    <wp:positionV relativeFrom="page">
                      <wp:posOffset>8229600</wp:posOffset>
                    </wp:positionV>
                    <wp:extent cx="518033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8033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02041" w:rsidRPr="00DF71E5" w:rsidRDefault="00102041">
                                    <w:pPr>
                                      <w:pStyle w:val="SemEspaamento"/>
                                      <w:jc w:val="right"/>
                                      <w:rPr>
                                        <w:b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DF71E5">
                                      <w:rPr>
                                        <w:b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Superintendência de Auditoria Interna</w:t>
                                    </w:r>
                                  </w:p>
                                </w:sdtContent>
                              </w:sdt>
                              <w:p w:rsidR="00102041" w:rsidRDefault="009E36D2">
                                <w:pPr>
                                  <w:pStyle w:val="SemEspaamento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D5A2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</w:t>
                                    </w:r>
                                    <w:r w:rsidR="00CD5A24" w:rsidRPr="00DF71E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Disponível em: </w:t>
                                    </w:r>
                                    <w:r w:rsidR="00DF71E5" w:rsidRPr="00DF71E5">
                                      <w:rPr>
                                        <w:sz w:val="18"/>
                                        <w:szCs w:val="18"/>
                                      </w:rPr>
                                      <w:t>https://www.portosrio.gov.br/pt-br/acesso-a-informacao</w:t>
                                    </w:r>
                                    <w:r w:rsidR="00DF71E5">
                                      <w:rPr>
                                        <w:sz w:val="18"/>
                                        <w:szCs w:val="18"/>
                                      </w:rPr>
                                      <w:t>/auditorias/prestacao-de-contas</w:t>
                                    </w:r>
                                  </w:sdtContent>
                                </w:sdt>
                              </w:p>
                              <w:p w:rsidR="00CD5A24" w:rsidRDefault="00CD5A24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4FF3285" id="Caixa de Texto 152" o:spid="_x0000_s1027" type="#_x0000_t202" style="position:absolute;left:0;text-align:left;margin-left:186pt;margin-top:9in;width:407.9pt;height:1in;z-index:251654144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02041" w:rsidRPr="00DF71E5" w:rsidRDefault="00102041">
                              <w:pPr>
                                <w:pStyle w:val="SemEspaamento"/>
                                <w:jc w:val="right"/>
                                <w:rPr>
                                  <w:b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DF71E5">
                                <w:rPr>
                                  <w:b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Superintendência de Auditoria Interna</w:t>
                              </w:r>
                            </w:p>
                          </w:sdtContent>
                        </w:sdt>
                        <w:p w:rsidR="00102041" w:rsidRDefault="00CD5A24">
                          <w:pPr>
                            <w:pStyle w:val="SemEspaamen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DF71E5">
                                <w:rPr>
                                  <w:sz w:val="18"/>
                                  <w:szCs w:val="18"/>
                                </w:rPr>
                                <w:t xml:space="preserve">Disponível em: </w:t>
                              </w:r>
                              <w:r w:rsidR="00DF71E5" w:rsidRPr="00DF71E5">
                                <w:rPr>
                                  <w:sz w:val="18"/>
                                  <w:szCs w:val="18"/>
                                </w:rPr>
                                <w:t>https://www.portosrio.gov.br/pt-br/acesso-a-informacao</w:t>
                              </w:r>
                              <w:r w:rsidR="00DF71E5">
                                <w:rPr>
                                  <w:sz w:val="18"/>
                                  <w:szCs w:val="18"/>
                                </w:rPr>
                                <w:t>/auditorias/prestacao-de-contas</w:t>
                              </w:r>
                            </w:sdtContent>
                          </w:sdt>
                        </w:p>
                        <w:p w:rsidR="00CD5A24" w:rsidRDefault="00CD5A24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02041" w:rsidRPr="00102041">
            <w:rPr>
              <w:b/>
              <w:bCs/>
              <w:color w:val="595959" w:themeColor="text1" w:themeTint="A6"/>
              <w:sz w:val="28"/>
              <w:szCs w:val="28"/>
            </w:rPr>
            <w:t>Exercício de 202</w:t>
          </w:r>
          <w:r w:rsidR="00102041">
            <w:rPr>
              <w:b/>
              <w:bCs/>
              <w:color w:val="595959" w:themeColor="text1" w:themeTint="A6"/>
              <w:sz w:val="28"/>
              <w:szCs w:val="28"/>
            </w:rPr>
            <w:t>4</w:t>
          </w:r>
          <w:r w:rsidR="00102041">
            <w:rPr>
              <w:color w:val="37A0D5"/>
            </w:rPr>
            <w:br w:type="page"/>
          </w:r>
        </w:p>
      </w:sdtContent>
    </w:sdt>
    <w:p w:rsidR="0059439A" w:rsidRPr="0059439A" w:rsidRDefault="0059439A" w:rsidP="0059439A">
      <w:pPr>
        <w:widowControl/>
        <w:autoSpaceDE/>
        <w:autoSpaceDN/>
        <w:ind w:right="81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b/>
          <w:bCs/>
          <w:color w:val="000000"/>
          <w:lang w:val="pt-BR" w:eastAsia="pt-BR"/>
        </w:rPr>
        <w:lastRenderedPageBreak/>
        <w:t>I – INTRODUÇÃO</w:t>
      </w:r>
      <w:r w:rsidRPr="0059439A">
        <w:rPr>
          <w:rFonts w:ascii="Arial" w:eastAsia="Times New Roman" w:hAnsi="Arial" w:cs="Arial"/>
          <w:color w:val="000000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color w:val="000000"/>
          <w:lang w:val="pt-BR" w:eastAsia="pt-BR"/>
        </w:rPr>
        <w:t> </w:t>
      </w:r>
    </w:p>
    <w:p w:rsidR="0059439A" w:rsidRPr="00436ED5" w:rsidRDefault="0059439A" w:rsidP="0059439A">
      <w:pPr>
        <w:widowControl/>
        <w:autoSpaceDE/>
        <w:autoSpaceDN/>
        <w:ind w:right="81" w:firstLine="1125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 xml:space="preserve">Em cumprimento à Instrução Normativa CGU/SFC Nº 5, de 27 de agosto de 2021, apresentamos o Parecer da Auditoria Interna sobre a Prestação de Contas da </w:t>
      </w:r>
      <w:proofErr w:type="spellStart"/>
      <w:r w:rsidR="00716BAB">
        <w:rPr>
          <w:rFonts w:ascii="Arial" w:eastAsia="Times New Roman" w:hAnsi="Arial" w:cs="Arial"/>
          <w:lang w:val="pt-BR" w:eastAsia="pt-BR"/>
        </w:rPr>
        <w:t>PortosRio</w:t>
      </w:r>
      <w:proofErr w:type="spellEnd"/>
      <w:r>
        <w:rPr>
          <w:rFonts w:ascii="Arial" w:eastAsia="Times New Roman" w:hAnsi="Arial" w:cs="Arial"/>
          <w:lang w:val="pt-BR" w:eastAsia="pt-BR"/>
        </w:rPr>
        <w:t>, referente ao exercício de 202</w:t>
      </w:r>
      <w:r w:rsidRPr="00436ED5">
        <w:rPr>
          <w:rFonts w:ascii="Arial" w:eastAsia="Times New Roman" w:hAnsi="Arial" w:cs="Arial"/>
          <w:lang w:val="pt-BR" w:eastAsia="pt-BR"/>
        </w:rPr>
        <w:t>4</w:t>
      </w:r>
      <w:r w:rsidRPr="0059439A">
        <w:rPr>
          <w:rFonts w:ascii="Arial" w:eastAsia="Times New Roman" w:hAnsi="Arial" w:cs="Arial"/>
          <w:lang w:val="pt-BR" w:eastAsia="pt-BR"/>
        </w:rPr>
        <w:t>. </w:t>
      </w:r>
    </w:p>
    <w:p w:rsidR="0059439A" w:rsidRPr="0059439A" w:rsidRDefault="0059439A" w:rsidP="0059439A">
      <w:pPr>
        <w:widowControl/>
        <w:autoSpaceDE/>
        <w:autoSpaceDN/>
        <w:ind w:right="81" w:firstLine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 w:firstLine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A supramencionada Instrução Normativa dispõe sobre a necessidade da elaboração e divulgação do Parecer da Auditoria Interna sobre a Prestação de Contas Anual das entidades, em conformidade com o previsto no § 6º do Art. 15 do Decreto nº 3.591, de 6 de setembro de 2000 e em consonância com a Instrução Normativa nº 84/2020 de 22 de abril de 2020 do Tribunal de Contas da União, que estabelece normas para a tomada e prestação de contas dos administradores e responsáveis da administração pública federal. </w:t>
      </w:r>
    </w:p>
    <w:p w:rsidR="0059439A" w:rsidRPr="0059439A" w:rsidRDefault="0059439A" w:rsidP="0059439A">
      <w:pPr>
        <w:widowControl/>
        <w:autoSpaceDE/>
        <w:autoSpaceDN/>
        <w:ind w:right="81" w:firstLine="12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 w:firstLine="127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b/>
          <w:bCs/>
          <w:lang w:val="pt-BR" w:eastAsia="pt-BR"/>
        </w:rPr>
        <w:t>II – A AUDITORIA INTERNA</w:t>
      </w: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 w:firstLine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 xml:space="preserve">O Estatuto Social da CDRJ estabelece em seu Art. 148 as competências da Auditoria Interna (AUDINT), da </w:t>
      </w:r>
      <w:proofErr w:type="spellStart"/>
      <w:r w:rsidRPr="0059439A">
        <w:rPr>
          <w:rFonts w:ascii="Arial" w:eastAsia="Times New Roman" w:hAnsi="Arial" w:cs="Arial"/>
          <w:lang w:val="pt-BR" w:eastAsia="pt-BR"/>
        </w:rPr>
        <w:t>PortosRio</w:t>
      </w:r>
      <w:proofErr w:type="spellEnd"/>
      <w:r w:rsidRPr="0059439A">
        <w:rPr>
          <w:rFonts w:ascii="Arial" w:eastAsia="Times New Roman" w:hAnsi="Arial" w:cs="Arial"/>
          <w:lang w:val="pt-BR" w:eastAsia="pt-BR"/>
        </w:rPr>
        <w:t>: </w:t>
      </w:r>
    </w:p>
    <w:p w:rsidR="0059439A" w:rsidRPr="0059439A" w:rsidRDefault="0059439A" w:rsidP="0059439A">
      <w:pPr>
        <w:widowControl/>
        <w:autoSpaceDE/>
        <w:autoSpaceDN/>
        <w:ind w:right="81" w:firstLine="169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Default="003F443E" w:rsidP="0059439A">
      <w:pPr>
        <w:widowControl/>
        <w:numPr>
          <w:ilvl w:val="0"/>
          <w:numId w:val="2"/>
        </w:numPr>
        <w:autoSpaceDE/>
        <w:autoSpaceDN/>
        <w:ind w:left="1276" w:right="81" w:firstLine="0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r w:rsidRPr="0059439A">
        <w:rPr>
          <w:rFonts w:ascii="Arial" w:eastAsia="Times New Roman" w:hAnsi="Arial" w:cs="Arial"/>
          <w:i/>
          <w:iCs/>
          <w:lang w:val="pt-BR" w:eastAsia="pt-BR"/>
        </w:rPr>
        <w:t>Executar</w:t>
      </w:r>
      <w:r w:rsidR="0059439A" w:rsidRPr="0059439A">
        <w:rPr>
          <w:rFonts w:ascii="Arial" w:eastAsia="Times New Roman" w:hAnsi="Arial" w:cs="Arial"/>
          <w:i/>
          <w:iCs/>
          <w:lang w:val="pt-BR" w:eastAsia="pt-BR"/>
        </w:rPr>
        <w:t xml:space="preserve"> as atividades de auditoria de natureza contábil, financeira, orçamentária, administrativa, patrimonial e operacional da Companhia;</w:t>
      </w:r>
      <w:r w:rsidR="0059439A"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left="1276" w:right="81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:rsidR="0059439A" w:rsidRDefault="003F443E" w:rsidP="0059439A">
      <w:pPr>
        <w:widowControl/>
        <w:numPr>
          <w:ilvl w:val="0"/>
          <w:numId w:val="3"/>
        </w:numPr>
        <w:autoSpaceDE/>
        <w:autoSpaceDN/>
        <w:ind w:left="1276" w:right="81" w:firstLine="0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r w:rsidRPr="0059439A">
        <w:rPr>
          <w:rFonts w:ascii="Arial" w:eastAsia="Times New Roman" w:hAnsi="Arial" w:cs="Arial"/>
          <w:i/>
          <w:iCs/>
          <w:lang w:val="pt-BR" w:eastAsia="pt-BR"/>
        </w:rPr>
        <w:t>Propor</w:t>
      </w:r>
      <w:r w:rsidR="0059439A" w:rsidRPr="0059439A">
        <w:rPr>
          <w:rFonts w:ascii="Arial" w:eastAsia="Times New Roman" w:hAnsi="Arial" w:cs="Arial"/>
          <w:i/>
          <w:iCs/>
          <w:lang w:val="pt-BR" w:eastAsia="pt-BR"/>
        </w:rPr>
        <w:t xml:space="preserve"> as medidas preventivas e corretivas dos desvios detectados;</w:t>
      </w:r>
      <w:r w:rsidR="0059439A"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left="1276" w:right="81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:rsidR="0059439A" w:rsidRDefault="003F443E" w:rsidP="0059439A">
      <w:pPr>
        <w:widowControl/>
        <w:numPr>
          <w:ilvl w:val="0"/>
          <w:numId w:val="4"/>
        </w:numPr>
        <w:autoSpaceDE/>
        <w:autoSpaceDN/>
        <w:ind w:left="1276" w:right="81" w:firstLine="0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r w:rsidRPr="0059439A">
        <w:rPr>
          <w:rFonts w:ascii="Arial" w:eastAsia="Times New Roman" w:hAnsi="Arial" w:cs="Arial"/>
          <w:i/>
          <w:iCs/>
          <w:lang w:val="pt-BR" w:eastAsia="pt-BR"/>
        </w:rPr>
        <w:t>Verificar</w:t>
      </w:r>
      <w:r w:rsidR="0059439A" w:rsidRPr="0059439A">
        <w:rPr>
          <w:rFonts w:ascii="Arial" w:eastAsia="Times New Roman" w:hAnsi="Arial" w:cs="Arial"/>
          <w:i/>
          <w:iCs/>
          <w:lang w:val="pt-BR" w:eastAsia="pt-BR"/>
        </w:rPr>
        <w:t xml:space="preserve"> o cumprimento e a implementação pela Companhia das recomendações ou determinações da Controladoria-Geral da União – CGU, do Tribunal de Contas da União – TCU e do Conselho Fiscal;</w:t>
      </w:r>
      <w:r w:rsidR="0059439A"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left="1276" w:right="81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:rsidR="0059439A" w:rsidRDefault="003F443E" w:rsidP="0059439A">
      <w:pPr>
        <w:widowControl/>
        <w:numPr>
          <w:ilvl w:val="0"/>
          <w:numId w:val="5"/>
        </w:numPr>
        <w:autoSpaceDE/>
        <w:autoSpaceDN/>
        <w:ind w:left="1276" w:right="81" w:firstLine="0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r w:rsidRPr="0059439A">
        <w:rPr>
          <w:rFonts w:ascii="Arial" w:eastAsia="Times New Roman" w:hAnsi="Arial" w:cs="Arial"/>
          <w:i/>
          <w:iCs/>
          <w:lang w:val="pt-BR" w:eastAsia="pt-BR"/>
        </w:rPr>
        <w:t>Outras</w:t>
      </w:r>
      <w:r w:rsidR="0059439A" w:rsidRPr="0059439A">
        <w:rPr>
          <w:rFonts w:ascii="Arial" w:eastAsia="Times New Roman" w:hAnsi="Arial" w:cs="Arial"/>
          <w:i/>
          <w:iCs/>
          <w:lang w:val="pt-BR" w:eastAsia="pt-BR"/>
        </w:rPr>
        <w:t xml:space="preserve"> atividades correlatas definidas pelo Conselho de Administração; e</w:t>
      </w:r>
      <w:r w:rsidR="0059439A"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left="1276" w:right="81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:rsidR="0059439A" w:rsidRPr="0059439A" w:rsidRDefault="003F443E" w:rsidP="0059439A">
      <w:pPr>
        <w:widowControl/>
        <w:numPr>
          <w:ilvl w:val="0"/>
          <w:numId w:val="6"/>
        </w:numPr>
        <w:autoSpaceDE/>
        <w:autoSpaceDN/>
        <w:ind w:left="1276" w:right="81" w:firstLine="0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r w:rsidRPr="0059439A">
        <w:rPr>
          <w:rFonts w:ascii="Arial" w:eastAsia="Times New Roman" w:hAnsi="Arial" w:cs="Arial"/>
          <w:i/>
          <w:iCs/>
          <w:lang w:val="pt-BR" w:eastAsia="pt-BR"/>
        </w:rPr>
        <w:t>Avaliar</w:t>
      </w:r>
      <w:r w:rsidR="0059439A" w:rsidRPr="0059439A">
        <w:rPr>
          <w:rFonts w:ascii="Arial" w:eastAsia="Times New Roman" w:hAnsi="Arial" w:cs="Arial"/>
          <w:i/>
          <w:iCs/>
          <w:lang w:val="pt-BR" w:eastAsia="pt-BR"/>
        </w:rPr>
        <w:t xml:space="preserve"> a adequação do controle interno, a efetividade do gerenciamento de riscos e dos processos de governança e a confiabilidade do processo de coleta, mensuração, classificação, acumulação, registro e divulgação de eventos e transações, visando ao preparo de demonstrações financeiras.</w:t>
      </w:r>
      <w:r w:rsidR="0059439A"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left="1276" w:right="81" w:firstLine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right="81" w:firstLine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lang w:val="pt-BR" w:eastAsia="pt-BR"/>
        </w:rPr>
        <w:t xml:space="preserve">A AUDINT possui regulamento próprio denominado Manual de Auditoria Interna (MAINT), que foi elaborado com base na Instrução Normativa CGU nº 13/2020, no Regimento Interno da </w:t>
      </w:r>
      <w:proofErr w:type="spellStart"/>
      <w:r w:rsidRPr="0059439A">
        <w:rPr>
          <w:rFonts w:ascii="Arial" w:eastAsia="Times New Roman" w:hAnsi="Arial" w:cs="Arial"/>
          <w:lang w:val="pt-BR" w:eastAsia="pt-BR"/>
        </w:rPr>
        <w:t>PortosRio</w:t>
      </w:r>
      <w:proofErr w:type="spellEnd"/>
      <w:r w:rsidRPr="0059439A">
        <w:rPr>
          <w:rFonts w:ascii="Arial" w:eastAsia="Times New Roman" w:hAnsi="Arial" w:cs="Arial"/>
          <w:lang w:val="pt-BR" w:eastAsia="pt-BR"/>
        </w:rPr>
        <w:t xml:space="preserve"> e considerando as melhores práticas sobre auditoria interna estabelecidas pelo</w:t>
      </w:r>
      <w:r w:rsidRPr="0059439A">
        <w:rPr>
          <w:rFonts w:ascii="Arial" w:eastAsia="Times New Roman" w:hAnsi="Arial" w:cs="Arial"/>
          <w:i/>
          <w:iCs/>
          <w:lang w:val="pt-BR" w:eastAsia="pt-BR"/>
        </w:rPr>
        <w:t xml:space="preserve"> IPPF - Internacional Professional </w:t>
      </w:r>
      <w:proofErr w:type="spellStart"/>
      <w:r w:rsidRPr="0059439A">
        <w:rPr>
          <w:rFonts w:ascii="Arial" w:eastAsia="Times New Roman" w:hAnsi="Arial" w:cs="Arial"/>
          <w:i/>
          <w:iCs/>
          <w:lang w:val="pt-BR" w:eastAsia="pt-BR"/>
        </w:rPr>
        <w:t>Practices</w:t>
      </w:r>
      <w:proofErr w:type="spellEnd"/>
      <w:r w:rsidRPr="0059439A">
        <w:rPr>
          <w:rFonts w:ascii="Arial" w:eastAsia="Times New Roman" w:hAnsi="Arial" w:cs="Arial"/>
          <w:i/>
          <w:iCs/>
          <w:lang w:val="pt-BR" w:eastAsia="pt-BR"/>
        </w:rPr>
        <w:t xml:space="preserve"> Framework (Estrutura Internacional de Práticas Profissionais) do The </w:t>
      </w:r>
      <w:proofErr w:type="spellStart"/>
      <w:r w:rsidRPr="0059439A">
        <w:rPr>
          <w:rFonts w:ascii="Arial" w:eastAsia="Times New Roman" w:hAnsi="Arial" w:cs="Arial"/>
          <w:i/>
          <w:iCs/>
          <w:lang w:val="pt-BR" w:eastAsia="pt-BR"/>
        </w:rPr>
        <w:t>Institute</w:t>
      </w:r>
      <w:proofErr w:type="spellEnd"/>
      <w:r w:rsidRPr="0059439A"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proofErr w:type="spellStart"/>
      <w:r w:rsidRPr="0059439A">
        <w:rPr>
          <w:rFonts w:ascii="Arial" w:eastAsia="Times New Roman" w:hAnsi="Arial" w:cs="Arial"/>
          <w:i/>
          <w:iCs/>
          <w:lang w:val="pt-BR" w:eastAsia="pt-BR"/>
        </w:rPr>
        <w:t>of</w:t>
      </w:r>
      <w:proofErr w:type="spellEnd"/>
      <w:r w:rsidRPr="0059439A"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proofErr w:type="spellStart"/>
      <w:r w:rsidRPr="0059439A">
        <w:rPr>
          <w:rFonts w:ascii="Arial" w:eastAsia="Times New Roman" w:hAnsi="Arial" w:cs="Arial"/>
          <w:i/>
          <w:iCs/>
          <w:lang w:val="pt-BR" w:eastAsia="pt-BR"/>
        </w:rPr>
        <w:t>Internal</w:t>
      </w:r>
      <w:proofErr w:type="spellEnd"/>
      <w:r w:rsidRPr="0059439A">
        <w:rPr>
          <w:rFonts w:ascii="Arial" w:eastAsia="Times New Roman" w:hAnsi="Arial" w:cs="Arial"/>
          <w:i/>
          <w:iCs/>
          <w:lang w:val="pt-BR" w:eastAsia="pt-BR"/>
        </w:rPr>
        <w:t xml:space="preserve"> </w:t>
      </w:r>
      <w:proofErr w:type="spellStart"/>
      <w:r w:rsidRPr="0059439A">
        <w:rPr>
          <w:rFonts w:ascii="Arial" w:eastAsia="Times New Roman" w:hAnsi="Arial" w:cs="Arial"/>
          <w:i/>
          <w:iCs/>
          <w:lang w:val="pt-BR" w:eastAsia="pt-BR"/>
        </w:rPr>
        <w:t>Auditors</w:t>
      </w:r>
      <w:proofErr w:type="spellEnd"/>
      <w:r w:rsidRPr="0059439A">
        <w:rPr>
          <w:rFonts w:ascii="Arial" w:eastAsia="Times New Roman" w:hAnsi="Arial" w:cs="Arial"/>
          <w:i/>
          <w:iCs/>
          <w:lang w:val="pt-BR" w:eastAsia="pt-BR"/>
        </w:rPr>
        <w:t xml:space="preserve"> – IIA.</w:t>
      </w:r>
      <w:r w:rsidRPr="0059439A">
        <w:rPr>
          <w:rFonts w:ascii="Arial" w:eastAsia="Times New Roman" w:hAnsi="Arial" w:cs="Arial"/>
          <w:lang w:val="pt-BR" w:eastAsia="pt-BR"/>
        </w:rPr>
        <w:t> </w:t>
      </w:r>
    </w:p>
    <w:p w:rsidR="0059439A" w:rsidRPr="0059439A" w:rsidRDefault="0059439A" w:rsidP="0059439A">
      <w:pPr>
        <w:widowControl/>
        <w:autoSpaceDE/>
        <w:autoSpaceDN/>
        <w:ind w:left="-435" w:firstLine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  <w:r w:rsidRPr="0059439A">
        <w:rPr>
          <w:rFonts w:ascii="Arial" w:eastAsia="Times New Roman" w:hAnsi="Arial" w:cs="Arial"/>
          <w:color w:val="000000"/>
          <w:lang w:val="pt-BR" w:eastAsia="pt-BR"/>
        </w:rPr>
        <w:t> </w:t>
      </w:r>
    </w:p>
    <w:p w:rsidR="003F443E" w:rsidRDefault="003F443E" w:rsidP="003F443E">
      <w:pPr>
        <w:tabs>
          <w:tab w:val="left" w:pos="567"/>
          <w:tab w:val="left" w:pos="851"/>
          <w:tab w:val="left" w:pos="993"/>
        </w:tabs>
        <w:ind w:right="81"/>
        <w:jc w:val="both"/>
        <w:rPr>
          <w:rFonts w:ascii="Arial" w:eastAsia="Times New Roman" w:hAnsi="Arial" w:cs="Arial"/>
          <w:b/>
          <w:kern w:val="3"/>
          <w:lang w:eastAsia="ar-SA"/>
        </w:rPr>
      </w:pPr>
      <w:r>
        <w:rPr>
          <w:rFonts w:ascii="Arial" w:eastAsia="Times New Roman" w:hAnsi="Arial" w:cs="Arial"/>
          <w:b/>
          <w:kern w:val="3"/>
          <w:lang w:eastAsia="ar-SA"/>
        </w:rPr>
        <w:t>III – OPINIÃO SOBRE A PRESTAÇÃO DE CONTAS ANUAL</w:t>
      </w:r>
    </w:p>
    <w:p w:rsidR="003F443E" w:rsidRDefault="003F443E" w:rsidP="003F443E">
      <w:pPr>
        <w:tabs>
          <w:tab w:val="left" w:pos="567"/>
          <w:tab w:val="left" w:pos="851"/>
          <w:tab w:val="left" w:pos="993"/>
        </w:tabs>
        <w:ind w:right="81"/>
        <w:jc w:val="both"/>
      </w:pPr>
      <w:r>
        <w:rPr>
          <w:rFonts w:ascii="Arial" w:eastAsia="Times New Roman" w:hAnsi="Arial" w:cs="Arial"/>
          <w:kern w:val="3"/>
          <w:lang w:eastAsia="ar-SA"/>
        </w:rPr>
        <w:t xml:space="preserve"> </w:t>
      </w:r>
    </w:p>
    <w:p w:rsidR="003F443E" w:rsidRDefault="003F443E" w:rsidP="008641D5">
      <w:pPr>
        <w:pStyle w:val="Default"/>
        <w:ind w:right="81" w:firstLine="1134"/>
        <w:jc w:val="both"/>
      </w:pPr>
      <w:r>
        <w:rPr>
          <w:rFonts w:ascii="Arial" w:hAnsi="Arial" w:cs="Arial"/>
          <w:sz w:val="22"/>
          <w:szCs w:val="22"/>
        </w:rPr>
        <w:t xml:space="preserve">Segundo o art. 16 da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Instrução Normativa CGU/SFC Nº 5/2021, o</w:t>
      </w:r>
      <w:r>
        <w:rPr>
          <w:rFonts w:ascii="Arial" w:hAnsi="Arial" w:cs="Arial"/>
          <w:sz w:val="22"/>
          <w:szCs w:val="22"/>
        </w:rPr>
        <w:t xml:space="preserve"> parecer sobre a prestação de contas anual deve expressar opinião geral, com base nos trabalhos de auditorias individuais previstos e executados no âmbito do PAINT, sobre a adequação dos processos de governança, gestão de riscos e controles internos instituídos pela entidade para fornecer segurança razoável quanto à (ao):</w:t>
      </w:r>
    </w:p>
    <w:p w:rsidR="003F443E" w:rsidRDefault="003F443E" w:rsidP="003F443E">
      <w:pPr>
        <w:pStyle w:val="Default"/>
        <w:ind w:right="81" w:firstLine="1701"/>
        <w:jc w:val="both"/>
        <w:rPr>
          <w:rFonts w:ascii="Arial" w:hAnsi="Arial" w:cs="Arial"/>
          <w:sz w:val="22"/>
          <w:szCs w:val="22"/>
        </w:rPr>
      </w:pPr>
    </w:p>
    <w:p w:rsidR="003F443E" w:rsidRPr="00B24A39" w:rsidRDefault="003F443E" w:rsidP="003F443E">
      <w:pPr>
        <w:pStyle w:val="Default"/>
        <w:spacing w:before="120"/>
        <w:ind w:left="1560" w:right="81" w:hanging="42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I. A</w:t>
      </w:r>
      <w:r w:rsidRPr="00B24A39">
        <w:rPr>
          <w:rFonts w:ascii="Arial" w:hAnsi="Arial" w:cs="Arial"/>
          <w:i/>
          <w:iCs/>
          <w:sz w:val="22"/>
          <w:szCs w:val="22"/>
        </w:rPr>
        <w:t xml:space="preserve">derência da prestação de contas aos normativos que regem a matéria; </w:t>
      </w:r>
    </w:p>
    <w:p w:rsidR="003F443E" w:rsidRPr="00B24A39" w:rsidRDefault="003F443E" w:rsidP="003F443E">
      <w:pPr>
        <w:pStyle w:val="Default"/>
        <w:spacing w:before="120"/>
        <w:ind w:left="1560" w:right="81" w:hanging="425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II.C</w:t>
      </w:r>
      <w:r w:rsidRPr="00B24A39">
        <w:rPr>
          <w:rFonts w:ascii="Arial" w:hAnsi="Arial" w:cs="Arial"/>
          <w:i/>
          <w:iCs/>
          <w:sz w:val="22"/>
          <w:szCs w:val="22"/>
        </w:rPr>
        <w:t>onformidade</w:t>
      </w:r>
      <w:proofErr w:type="spellEnd"/>
      <w:r w:rsidRPr="00B24A39">
        <w:rPr>
          <w:rFonts w:ascii="Arial" w:hAnsi="Arial" w:cs="Arial"/>
          <w:i/>
          <w:iCs/>
          <w:sz w:val="22"/>
          <w:szCs w:val="22"/>
        </w:rPr>
        <w:t xml:space="preserve"> legal dos atos administrativos;</w:t>
      </w:r>
    </w:p>
    <w:p w:rsidR="003F443E" w:rsidRPr="00B24A39" w:rsidRDefault="003F443E" w:rsidP="003F443E">
      <w:pPr>
        <w:pStyle w:val="Default"/>
        <w:spacing w:before="120"/>
        <w:ind w:left="1560" w:right="81" w:hanging="42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III. P</w:t>
      </w:r>
      <w:r w:rsidRPr="00B24A39">
        <w:rPr>
          <w:rFonts w:ascii="Arial" w:hAnsi="Arial" w:cs="Arial"/>
          <w:i/>
          <w:iCs/>
          <w:sz w:val="22"/>
          <w:szCs w:val="22"/>
        </w:rPr>
        <w:t xml:space="preserve">rocesso de elaboração das informações contábeis </w:t>
      </w:r>
      <w:r>
        <w:rPr>
          <w:rFonts w:ascii="Arial" w:hAnsi="Arial" w:cs="Arial"/>
          <w:i/>
          <w:iCs/>
          <w:sz w:val="22"/>
          <w:szCs w:val="22"/>
        </w:rPr>
        <w:t>e fi</w:t>
      </w:r>
      <w:r w:rsidRPr="00B24A39">
        <w:rPr>
          <w:rFonts w:ascii="Arial" w:hAnsi="Arial" w:cs="Arial"/>
          <w:i/>
          <w:iCs/>
          <w:sz w:val="22"/>
          <w:szCs w:val="22"/>
        </w:rPr>
        <w:t>nanceiras;</w:t>
      </w:r>
    </w:p>
    <w:p w:rsidR="003F443E" w:rsidRDefault="003F443E" w:rsidP="003F443E">
      <w:pPr>
        <w:pStyle w:val="Default"/>
        <w:spacing w:before="120"/>
        <w:ind w:left="1560" w:right="8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IV. A</w:t>
      </w:r>
      <w:r w:rsidRPr="00B24A39">
        <w:rPr>
          <w:rFonts w:ascii="Arial" w:hAnsi="Arial" w:cs="Arial"/>
          <w:i/>
          <w:iCs/>
          <w:sz w:val="22"/>
          <w:szCs w:val="22"/>
        </w:rPr>
        <w:t>tingimento dos objetivos operacionais.</w:t>
      </w:r>
    </w:p>
    <w:p w:rsidR="003F443E" w:rsidRDefault="003F443E" w:rsidP="003F443E">
      <w:pPr>
        <w:pStyle w:val="Default"/>
        <w:ind w:right="81" w:hanging="425"/>
        <w:jc w:val="both"/>
        <w:rPr>
          <w:rFonts w:ascii="Arial" w:hAnsi="Arial" w:cs="Arial"/>
          <w:sz w:val="22"/>
          <w:szCs w:val="22"/>
        </w:rPr>
      </w:pPr>
    </w:p>
    <w:p w:rsidR="003F443E" w:rsidRDefault="003F443E" w:rsidP="008641D5">
      <w:pPr>
        <w:ind w:right="81" w:firstLine="113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Diante disso, seguem nossas opiniões sobre cada um dos itens relacionados anteriormente:</w:t>
      </w:r>
    </w:p>
    <w:p w:rsidR="003F443E" w:rsidRDefault="003F443E" w:rsidP="003F443E">
      <w:pPr>
        <w:ind w:right="81" w:firstLine="1701"/>
        <w:jc w:val="both"/>
        <w:rPr>
          <w:rFonts w:ascii="Arial" w:eastAsia="Times New Roman" w:hAnsi="Arial" w:cs="Arial"/>
          <w:kern w:val="3"/>
          <w:lang w:eastAsia="ar-SA"/>
        </w:rPr>
      </w:pPr>
    </w:p>
    <w:p w:rsidR="003F443E" w:rsidRDefault="003F443E" w:rsidP="008641D5">
      <w:pPr>
        <w:pStyle w:val="Default"/>
        <w:numPr>
          <w:ilvl w:val="0"/>
          <w:numId w:val="7"/>
        </w:numPr>
        <w:ind w:left="426" w:right="8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Aderência da prestação de contas aos normativos que regem a matéria; </w:t>
      </w:r>
    </w:p>
    <w:p w:rsidR="003F443E" w:rsidRDefault="003F443E" w:rsidP="003F443E">
      <w:pPr>
        <w:pStyle w:val="Default"/>
        <w:ind w:right="81" w:firstLine="1701"/>
        <w:jc w:val="both"/>
        <w:rPr>
          <w:rFonts w:ascii="Arial" w:hAnsi="Arial" w:cs="Arial"/>
          <w:sz w:val="22"/>
          <w:szCs w:val="22"/>
        </w:rPr>
      </w:pPr>
    </w:p>
    <w:p w:rsidR="003F443E" w:rsidRDefault="003F443E" w:rsidP="008641D5">
      <w:pPr>
        <w:pStyle w:val="Default"/>
        <w:ind w:right="81" w:firstLine="1134"/>
        <w:jc w:val="both"/>
      </w:pPr>
      <w:r w:rsidRPr="00716BAB">
        <w:rPr>
          <w:rFonts w:ascii="Arial" w:hAnsi="Arial" w:cs="Arial"/>
          <w:sz w:val="22"/>
          <w:szCs w:val="22"/>
        </w:rPr>
        <w:t xml:space="preserve">Constatamos no portal da </w:t>
      </w:r>
      <w:proofErr w:type="spellStart"/>
      <w:r w:rsidR="008641D5" w:rsidRPr="00716BAB">
        <w:rPr>
          <w:rFonts w:ascii="Arial" w:hAnsi="Arial" w:cs="Arial"/>
          <w:sz w:val="22"/>
          <w:szCs w:val="22"/>
        </w:rPr>
        <w:t>PortosRio</w:t>
      </w:r>
      <w:proofErr w:type="spellEnd"/>
      <w:r w:rsidRPr="00716BAB">
        <w:rPr>
          <w:rFonts w:ascii="Arial" w:hAnsi="Arial" w:cs="Arial"/>
          <w:sz w:val="22"/>
          <w:szCs w:val="22"/>
        </w:rPr>
        <w:t xml:space="preserve"> (portosrio.gov.br) no campo “Transparência e Prestação de Contas” o Relatório de Gestão, exercício de 202</w:t>
      </w:r>
      <w:r w:rsidR="008641D5" w:rsidRPr="00716BAB">
        <w:rPr>
          <w:rFonts w:ascii="Arial" w:hAnsi="Arial" w:cs="Arial"/>
          <w:sz w:val="22"/>
          <w:szCs w:val="22"/>
        </w:rPr>
        <w:t>4</w:t>
      </w:r>
      <w:r w:rsidRPr="00716BAB">
        <w:rPr>
          <w:rFonts w:ascii="Arial" w:hAnsi="Arial" w:cs="Arial"/>
          <w:sz w:val="22"/>
          <w:szCs w:val="22"/>
        </w:rPr>
        <w:t>, na forma de relato integrado; as Demonstrações Contábeis, acompanhadas das notas explicativas, e as demais peças e informações em conformidade com a Instrução Normativa nº 84/2020 e a Decisão Normativa TCU nº 198/2022</w:t>
      </w:r>
      <w:r w:rsidRPr="00716BAB">
        <w:rPr>
          <w:rFonts w:ascii="Arial" w:hAnsi="Arial" w:cs="Arial"/>
          <w:color w:val="162937"/>
          <w:sz w:val="22"/>
          <w:szCs w:val="22"/>
        </w:rPr>
        <w:t>.</w:t>
      </w:r>
      <w:r w:rsidR="008641D5" w:rsidRPr="00716BAB">
        <w:rPr>
          <w:rFonts w:ascii="Arial" w:hAnsi="Arial" w:cs="Arial"/>
          <w:color w:val="162937"/>
          <w:sz w:val="22"/>
          <w:szCs w:val="22"/>
        </w:rPr>
        <w:t xml:space="preserve"> </w:t>
      </w:r>
    </w:p>
    <w:p w:rsidR="003F443E" w:rsidRDefault="003F443E" w:rsidP="003F443E">
      <w:pPr>
        <w:pStyle w:val="Default"/>
        <w:ind w:right="81" w:firstLine="1701"/>
        <w:jc w:val="both"/>
        <w:rPr>
          <w:rFonts w:ascii="Arial" w:hAnsi="Arial" w:cs="Arial"/>
          <w:sz w:val="22"/>
          <w:szCs w:val="22"/>
        </w:rPr>
      </w:pPr>
    </w:p>
    <w:p w:rsidR="003F443E" w:rsidRDefault="003F443E" w:rsidP="008641D5">
      <w:pPr>
        <w:pStyle w:val="Default"/>
        <w:numPr>
          <w:ilvl w:val="0"/>
          <w:numId w:val="7"/>
        </w:numPr>
        <w:ind w:left="284" w:right="8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Conformidade legal dos atos administrativos;</w:t>
      </w:r>
    </w:p>
    <w:p w:rsidR="003F443E" w:rsidRDefault="003F443E" w:rsidP="003F443E">
      <w:pPr>
        <w:pStyle w:val="Default"/>
        <w:ind w:right="81"/>
        <w:jc w:val="both"/>
        <w:rPr>
          <w:rFonts w:ascii="Arial" w:hAnsi="Arial" w:cs="Arial"/>
          <w:sz w:val="22"/>
          <w:szCs w:val="22"/>
        </w:rPr>
      </w:pPr>
    </w:p>
    <w:p w:rsidR="003F443E" w:rsidRDefault="003F443E" w:rsidP="008641D5">
      <w:pPr>
        <w:pStyle w:val="Default"/>
        <w:ind w:right="81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Nossa opinião sobre a conformidade legal dos atos administrativos está consignada nos trabalhos realizados durante o exercício de </w:t>
      </w:r>
      <w:r w:rsidRPr="00436ED5">
        <w:rPr>
          <w:rFonts w:ascii="Arial" w:hAnsi="Arial" w:cs="Arial"/>
          <w:sz w:val="22"/>
          <w:szCs w:val="22"/>
        </w:rPr>
        <w:t>202</w:t>
      </w:r>
      <w:r w:rsidR="008641D5" w:rsidRPr="00436ED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e previstos no Plano Anual de Auditoria </w:t>
      </w:r>
      <w:r w:rsidRPr="00454295">
        <w:rPr>
          <w:rFonts w:ascii="Arial" w:hAnsi="Arial" w:cs="Arial"/>
          <w:sz w:val="22"/>
          <w:szCs w:val="22"/>
        </w:rPr>
        <w:t>Interna (PAINT/</w:t>
      </w:r>
      <w:r w:rsidRPr="00436ED5">
        <w:rPr>
          <w:rFonts w:ascii="Arial" w:hAnsi="Arial" w:cs="Arial"/>
          <w:sz w:val="22"/>
          <w:szCs w:val="22"/>
        </w:rPr>
        <w:t>202</w:t>
      </w:r>
      <w:r w:rsidR="008641D5" w:rsidRPr="00436ED5">
        <w:rPr>
          <w:rFonts w:ascii="Arial" w:hAnsi="Arial" w:cs="Arial"/>
          <w:sz w:val="22"/>
          <w:szCs w:val="22"/>
        </w:rPr>
        <w:t>4</w:t>
      </w:r>
      <w:r w:rsidRPr="00454295">
        <w:rPr>
          <w:rFonts w:ascii="Arial" w:hAnsi="Arial" w:cs="Arial"/>
          <w:sz w:val="22"/>
          <w:szCs w:val="22"/>
        </w:rPr>
        <w:t>).</w:t>
      </w:r>
    </w:p>
    <w:p w:rsidR="003F443E" w:rsidRDefault="003F443E" w:rsidP="003F443E">
      <w:pPr>
        <w:pStyle w:val="Default"/>
        <w:ind w:right="81" w:firstLine="1701"/>
        <w:jc w:val="both"/>
        <w:rPr>
          <w:rFonts w:ascii="Arial" w:hAnsi="Arial" w:cs="Arial"/>
          <w:sz w:val="22"/>
          <w:szCs w:val="22"/>
        </w:rPr>
      </w:pPr>
    </w:p>
    <w:p w:rsidR="003F443E" w:rsidRDefault="003F443E" w:rsidP="008641D5">
      <w:pPr>
        <w:ind w:right="81" w:firstLine="1134"/>
        <w:jc w:val="both"/>
        <w:rPr>
          <w:rFonts w:ascii="Arial" w:hAnsi="Arial" w:cs="Arial"/>
        </w:rPr>
      </w:pPr>
      <w:r w:rsidRPr="002459AF">
        <w:rPr>
          <w:rFonts w:ascii="Arial" w:hAnsi="Arial" w:cs="Arial"/>
        </w:rPr>
        <w:t xml:space="preserve">No exercício de </w:t>
      </w:r>
      <w:r w:rsidRPr="00436ED5">
        <w:rPr>
          <w:rFonts w:ascii="Arial" w:hAnsi="Arial" w:cs="Arial"/>
        </w:rPr>
        <w:t>202</w:t>
      </w:r>
      <w:r w:rsidR="008641D5" w:rsidRPr="00436ED5">
        <w:rPr>
          <w:rFonts w:ascii="Arial" w:hAnsi="Arial" w:cs="Arial"/>
        </w:rPr>
        <w:t>4</w:t>
      </w:r>
      <w:r w:rsidRPr="00436ED5">
        <w:rPr>
          <w:rFonts w:ascii="Arial" w:hAnsi="Arial" w:cs="Arial"/>
        </w:rPr>
        <w:t xml:space="preserve">, foram executadas </w:t>
      </w:r>
      <w:r w:rsidRPr="00436ED5">
        <w:rPr>
          <w:rFonts w:ascii="Arial" w:hAnsi="Arial" w:cs="Arial"/>
          <w:b/>
          <w:bCs/>
        </w:rPr>
        <w:t>1</w:t>
      </w:r>
      <w:r w:rsidR="008641D5" w:rsidRPr="00436ED5">
        <w:rPr>
          <w:rFonts w:ascii="Arial" w:hAnsi="Arial" w:cs="Arial"/>
          <w:b/>
          <w:bCs/>
        </w:rPr>
        <w:t>2</w:t>
      </w:r>
      <w:r w:rsidRPr="00436ED5">
        <w:rPr>
          <w:rFonts w:ascii="Arial" w:hAnsi="Arial" w:cs="Arial"/>
        </w:rPr>
        <w:t xml:space="preserve"> (</w:t>
      </w:r>
      <w:r w:rsidR="008641D5" w:rsidRPr="00436ED5">
        <w:rPr>
          <w:rFonts w:ascii="Arial" w:hAnsi="Arial" w:cs="Arial"/>
        </w:rPr>
        <w:t>doze</w:t>
      </w:r>
      <w:r w:rsidRPr="00436ED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auditorias</w:t>
      </w:r>
      <w:r w:rsidRPr="002459AF">
        <w:rPr>
          <w:rFonts w:ascii="Arial" w:hAnsi="Arial" w:cs="Arial"/>
        </w:rPr>
        <w:t xml:space="preserve">, </w:t>
      </w:r>
      <w:r w:rsidR="00925C89">
        <w:rPr>
          <w:rFonts w:ascii="Arial" w:hAnsi="Arial" w:cs="Arial"/>
        </w:rPr>
        <w:t>t</w:t>
      </w:r>
      <w:r w:rsidR="008641D5" w:rsidRPr="00925C89">
        <w:rPr>
          <w:rFonts w:ascii="Arial" w:hAnsi="Arial" w:cs="Arial"/>
        </w:rPr>
        <w:t>odas previstas no Plano Anual de Auditoria Interna</w:t>
      </w:r>
      <w:r w:rsidRPr="002459AF">
        <w:rPr>
          <w:rFonts w:ascii="Arial" w:hAnsi="Arial" w:cs="Arial"/>
        </w:rPr>
        <w:t xml:space="preserve">, conforme </w:t>
      </w:r>
      <w:r w:rsidR="008641D5">
        <w:rPr>
          <w:rFonts w:ascii="Arial" w:hAnsi="Arial" w:cs="Arial"/>
        </w:rPr>
        <w:t>detalhado a seguir</w:t>
      </w:r>
      <w:r w:rsidRPr="002459AF">
        <w:rPr>
          <w:rFonts w:ascii="Arial" w:hAnsi="Arial" w:cs="Arial"/>
        </w:rPr>
        <w:t>:</w:t>
      </w:r>
    </w:p>
    <w:p w:rsidR="00925C89" w:rsidRDefault="00925C89" w:rsidP="008641D5">
      <w:pPr>
        <w:ind w:right="81" w:firstLine="1134"/>
        <w:jc w:val="both"/>
        <w:rPr>
          <w:rFonts w:ascii="Arial" w:hAnsi="Arial" w:cs="Arial"/>
        </w:rPr>
      </w:pPr>
    </w:p>
    <w:p w:rsidR="00925C89" w:rsidRDefault="00925C89" w:rsidP="008641D5">
      <w:pPr>
        <w:ind w:right="81" w:firstLine="1134"/>
        <w:jc w:val="both"/>
        <w:rPr>
          <w:rFonts w:ascii="Arial" w:hAnsi="Arial" w:cs="Arial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6095"/>
      </w:tblGrid>
      <w:tr w:rsidR="00925C89" w:rsidRPr="00D84DA0" w:rsidTr="00925C89">
        <w:trPr>
          <w:trHeight w:hRule="exact" w:val="397"/>
        </w:trPr>
        <w:tc>
          <w:tcPr>
            <w:tcW w:w="1134" w:type="dxa"/>
            <w:shd w:val="clear" w:color="auto" w:fill="auto"/>
            <w:vAlign w:val="center"/>
          </w:tcPr>
          <w:p w:rsidR="00925C89" w:rsidRPr="00D84DA0" w:rsidRDefault="00925C89" w:rsidP="00D4184E">
            <w:pPr>
              <w:spacing w:before="55"/>
              <w:ind w:left="1" w:hanging="1"/>
              <w:jc w:val="center"/>
              <w:rPr>
                <w:rFonts w:eastAsia="Microsoft Sans Serif"/>
                <w:b/>
                <w:spacing w:val="1"/>
                <w:sz w:val="20"/>
                <w:szCs w:val="20"/>
              </w:rPr>
            </w:pPr>
            <w:r w:rsidRPr="00D84DA0">
              <w:rPr>
                <w:rFonts w:eastAsia="Microsoft Sans Serif"/>
                <w:b/>
                <w:sz w:val="20"/>
                <w:szCs w:val="20"/>
              </w:rPr>
              <w:t>RELATÓRIO</w:t>
            </w:r>
          </w:p>
          <w:p w:rsidR="00925C89" w:rsidRPr="00D84DA0" w:rsidRDefault="00925C89" w:rsidP="00D4184E">
            <w:pPr>
              <w:spacing w:before="55"/>
              <w:ind w:left="1" w:hanging="1"/>
              <w:jc w:val="center"/>
              <w:rPr>
                <w:rFonts w:eastAsia="Microsoft Sans Serif"/>
                <w:b/>
                <w:sz w:val="20"/>
                <w:szCs w:val="20"/>
              </w:rPr>
            </w:pPr>
            <w:r w:rsidRPr="00D84DA0">
              <w:rPr>
                <w:rFonts w:eastAsia="Microsoft Sans Serif"/>
                <w:b/>
                <w:sz w:val="20"/>
                <w:szCs w:val="20"/>
              </w:rPr>
              <w:t>DE</w:t>
            </w:r>
            <w:r w:rsidRPr="00D84DA0">
              <w:rPr>
                <w:rFonts w:eastAsia="Microsoft Sans Serif"/>
                <w:b/>
                <w:spacing w:val="1"/>
                <w:sz w:val="20"/>
                <w:szCs w:val="20"/>
              </w:rPr>
              <w:t xml:space="preserve"> </w:t>
            </w:r>
            <w:r w:rsidRPr="00D84DA0">
              <w:rPr>
                <w:rFonts w:eastAsia="Microsoft Sans Serif"/>
                <w:b/>
                <w:spacing w:val="-1"/>
                <w:sz w:val="20"/>
                <w:szCs w:val="20"/>
              </w:rPr>
              <w:t>AUDITORIA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5C89" w:rsidRPr="00D84DA0" w:rsidRDefault="00925C89" w:rsidP="00D4184E">
            <w:pPr>
              <w:ind w:left="1"/>
              <w:jc w:val="center"/>
              <w:rPr>
                <w:rFonts w:eastAsia="Microsoft Sans Serif"/>
                <w:b/>
                <w:sz w:val="20"/>
                <w:szCs w:val="20"/>
              </w:rPr>
            </w:pPr>
            <w:r>
              <w:rPr>
                <w:rFonts w:eastAsia="Microsoft Sans Serif"/>
                <w:b/>
                <w:sz w:val="20"/>
                <w:szCs w:val="20"/>
              </w:rPr>
              <w:t>ATIVIDADE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25C89" w:rsidRPr="00D84DA0" w:rsidRDefault="00925C89" w:rsidP="00D4184E">
            <w:pPr>
              <w:ind w:left="1"/>
              <w:jc w:val="center"/>
              <w:rPr>
                <w:rFonts w:eastAsia="Microsoft Sans Serif"/>
                <w:b/>
                <w:sz w:val="20"/>
                <w:szCs w:val="20"/>
              </w:rPr>
            </w:pPr>
            <w:r w:rsidRPr="00D84DA0">
              <w:rPr>
                <w:rFonts w:eastAsia="Microsoft Sans Serif"/>
                <w:b/>
                <w:sz w:val="20"/>
                <w:szCs w:val="20"/>
              </w:rPr>
              <w:t>ESCOPO</w:t>
            </w:r>
          </w:p>
        </w:tc>
      </w:tr>
      <w:tr w:rsidR="00925C89" w:rsidRPr="000C58EC" w:rsidTr="00925C89">
        <w:trPr>
          <w:trHeight w:val="1498"/>
        </w:trPr>
        <w:tc>
          <w:tcPr>
            <w:tcW w:w="1134" w:type="dxa"/>
            <w:shd w:val="clear" w:color="auto" w:fill="auto"/>
            <w:vAlign w:val="center"/>
          </w:tcPr>
          <w:p w:rsidR="00925C89" w:rsidRPr="00CB5147" w:rsidRDefault="00925C89" w:rsidP="00D4184E">
            <w:pPr>
              <w:jc w:val="center"/>
              <w:rPr>
                <w:rFonts w:eastAsia="Microsoft Sans Serif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DE1" w:rsidRDefault="00217DE1" w:rsidP="00217DE1">
            <w:pPr>
              <w:pStyle w:val="TableParagraph"/>
              <w:shd w:val="clear" w:color="auto" w:fill="FFFFFF" w:themeFill="background1"/>
              <w:spacing w:before="159"/>
              <w:rPr>
                <w:rFonts w:ascii="Calibri" w:hAnsi="Calibri" w:cs="Calibri"/>
                <w:b/>
                <w:bCs/>
                <w:i/>
                <w:iCs/>
              </w:rPr>
            </w:pPr>
            <w:r w:rsidRPr="00176105">
              <w:rPr>
                <w:rFonts w:ascii="Calibri" w:hAnsi="Calibri" w:cs="Calibri"/>
                <w:b/>
                <w:bCs/>
                <w:i/>
                <w:iCs/>
              </w:rPr>
              <w:t>Contratos de Arrendamento Portuário</w:t>
            </w:r>
          </w:p>
          <w:p w:rsidR="00217DE1" w:rsidRPr="00176105" w:rsidRDefault="00217DE1" w:rsidP="00217DE1">
            <w:pPr>
              <w:pStyle w:val="TableParagraph"/>
              <w:shd w:val="clear" w:color="auto" w:fill="FFFFFF" w:themeFill="background1"/>
              <w:spacing w:before="159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925C89" w:rsidRPr="00FC3355" w:rsidRDefault="00217DE1" w:rsidP="00217DE1">
            <w:pPr>
              <w:spacing w:line="244" w:lineRule="auto"/>
              <w:ind w:left="47" w:firstLine="5"/>
              <w:jc w:val="center"/>
              <w:rPr>
                <w:rFonts w:eastAsia="Microsoft Sans Serif"/>
                <w:b/>
                <w:bCs/>
                <w:i/>
                <w:iCs/>
                <w:noProof/>
              </w:rPr>
            </w:pPr>
            <w:r w:rsidRPr="00217DE1">
              <w:rPr>
                <w:noProof/>
                <w:lang w:val="en-US"/>
              </w:rPr>
              <w:t>PIER MAUÁ e ICTSI Brasil Terminal I SA</w:t>
            </w:r>
          </w:p>
        </w:tc>
        <w:tc>
          <w:tcPr>
            <w:tcW w:w="6095" w:type="dxa"/>
            <w:shd w:val="clear" w:color="auto" w:fill="auto"/>
          </w:tcPr>
          <w:p w:rsidR="00925C89" w:rsidRPr="00CB5147" w:rsidRDefault="00AD1CCA" w:rsidP="00AD1CCA">
            <w:pPr>
              <w:spacing w:before="29"/>
              <w:ind w:left="146" w:right="132"/>
              <w:jc w:val="both"/>
              <w:rPr>
                <w:rFonts w:eastAsia="Microsoft Sans Serif"/>
                <w:noProof/>
              </w:rPr>
            </w:pPr>
            <w:r>
              <w:rPr>
                <w:rFonts w:eastAsia="Microsoft Sans Serif"/>
                <w:noProof/>
              </w:rPr>
              <w:t>V</w:t>
            </w:r>
            <w:r w:rsidR="00217DE1" w:rsidRPr="00217DE1">
              <w:rPr>
                <w:rFonts w:eastAsia="Microsoft Sans Serif"/>
                <w:noProof/>
              </w:rPr>
              <w:t>erificar a regularidade da manutenção das instalações; dos investimentos; das metas de movimentação de carga e de passageiros; dos seguros de bens e equipamentos; da gestão ambiental, bem como da atuação da gestão/fiscalização dos contratos de arrendamento portuário firmados pela Companhia Docas no Porto do Rio de Janeiro, mais especificamente das arrendatárias PIER MAUÁ e ICTSI Brasil Terminal I SA</w:t>
            </w:r>
            <w:r>
              <w:rPr>
                <w:rFonts w:eastAsia="Microsoft Sans Serif"/>
                <w:noProof/>
              </w:rPr>
              <w:t>.</w:t>
            </w:r>
          </w:p>
        </w:tc>
      </w:tr>
      <w:tr w:rsidR="00925C89" w:rsidRPr="000C58EC" w:rsidTr="0013786F">
        <w:trPr>
          <w:trHeight w:hRule="exact" w:val="1018"/>
        </w:trPr>
        <w:tc>
          <w:tcPr>
            <w:tcW w:w="1134" w:type="dxa"/>
            <w:shd w:val="clear" w:color="auto" w:fill="auto"/>
            <w:vAlign w:val="center"/>
          </w:tcPr>
          <w:p w:rsidR="00925C89" w:rsidRPr="00CB5147" w:rsidRDefault="00925C89" w:rsidP="00D4184E">
            <w:pPr>
              <w:ind w:left="143"/>
              <w:jc w:val="center"/>
              <w:rPr>
                <w:rFonts w:eastAsia="Microsoft Sans Serif"/>
                <w:b/>
                <w:bCs/>
                <w:i/>
                <w:iCs/>
              </w:rPr>
            </w:pPr>
            <w:r w:rsidRPr="00CB5147">
              <w:rPr>
                <w:b/>
                <w:bCs/>
                <w:i/>
                <w:iCs/>
              </w:rPr>
              <w:t>02/</w:t>
            </w:r>
            <w:r>
              <w:rPr>
                <w:b/>
                <w:bCs/>
                <w:i/>
                <w:iCs/>
              </w:rPr>
              <w:t>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5C89" w:rsidRPr="00CB5147" w:rsidRDefault="00AD1CCA" w:rsidP="0013786F">
            <w:pPr>
              <w:pStyle w:val="TableParagraph"/>
              <w:shd w:val="clear" w:color="auto" w:fill="FFFFFF" w:themeFill="background1"/>
              <w:spacing w:before="159"/>
              <w:rPr>
                <w:rFonts w:eastAsia="Microsoft Sans Serif" w:cs="Calibri"/>
                <w:noProof/>
              </w:rPr>
            </w:pPr>
            <w:r w:rsidRPr="0013786F">
              <w:rPr>
                <w:rFonts w:ascii="Calibri" w:hAnsi="Calibri" w:cs="Calibri"/>
                <w:b/>
                <w:bCs/>
                <w:i/>
                <w:iCs/>
              </w:rPr>
              <w:t>Avaliação da Estrutura e Gestão dos Data Centers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25C89" w:rsidRPr="00CB5147" w:rsidRDefault="00AD1CCA" w:rsidP="0013786F">
            <w:pPr>
              <w:spacing w:before="3" w:line="280" w:lineRule="auto"/>
              <w:ind w:left="146" w:right="132"/>
              <w:jc w:val="both"/>
              <w:rPr>
                <w:rFonts w:eastAsia="Microsoft Sans Serif"/>
                <w:noProof/>
              </w:rPr>
            </w:pPr>
            <w:r>
              <w:rPr>
                <w:rFonts w:eastAsia="Microsoft Sans Serif"/>
                <w:noProof/>
              </w:rPr>
              <w:t>V</w:t>
            </w:r>
            <w:r w:rsidRPr="00AD1CCA">
              <w:rPr>
                <w:rFonts w:eastAsia="Microsoft Sans Serif"/>
                <w:noProof/>
              </w:rPr>
              <w:t>erificar a segurança, manutenção, localidade e</w:t>
            </w:r>
            <w:r>
              <w:rPr>
                <w:rFonts w:eastAsia="Microsoft Sans Serif"/>
                <w:noProof/>
              </w:rPr>
              <w:t xml:space="preserve"> </w:t>
            </w:r>
            <w:r w:rsidRPr="00AD1CCA">
              <w:rPr>
                <w:rFonts w:eastAsia="Microsoft Sans Serif"/>
                <w:noProof/>
              </w:rPr>
              <w:t>nível de acesso dos Datas Centers.</w:t>
            </w:r>
          </w:p>
        </w:tc>
      </w:tr>
      <w:tr w:rsidR="00925C89" w:rsidRPr="000C58EC" w:rsidTr="0013786F">
        <w:trPr>
          <w:trHeight w:hRule="exact" w:val="1981"/>
        </w:trPr>
        <w:tc>
          <w:tcPr>
            <w:tcW w:w="1134" w:type="dxa"/>
            <w:shd w:val="clear" w:color="auto" w:fill="auto"/>
            <w:vAlign w:val="center"/>
          </w:tcPr>
          <w:p w:rsidR="00925C89" w:rsidRPr="00CB5147" w:rsidRDefault="00925C89" w:rsidP="00D4184E">
            <w:pPr>
              <w:ind w:left="108"/>
              <w:jc w:val="center"/>
              <w:rPr>
                <w:rFonts w:eastAsia="Microsoft Sans Serif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5C89" w:rsidRPr="0013786F" w:rsidRDefault="00AD1CCA" w:rsidP="00D4184E">
            <w:pPr>
              <w:ind w:left="108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13786F">
              <w:rPr>
                <w:rFonts w:eastAsia="Arial"/>
                <w:b/>
                <w:bCs/>
                <w:i/>
                <w:iCs/>
              </w:rPr>
              <w:t>Admissão e Demissão</w:t>
            </w:r>
          </w:p>
        </w:tc>
        <w:tc>
          <w:tcPr>
            <w:tcW w:w="6095" w:type="dxa"/>
            <w:shd w:val="clear" w:color="auto" w:fill="auto"/>
          </w:tcPr>
          <w:p w:rsidR="00925C89" w:rsidRPr="00AD1CCA" w:rsidRDefault="00AD1CCA" w:rsidP="0013786F">
            <w:pPr>
              <w:spacing w:line="244" w:lineRule="auto"/>
              <w:ind w:left="146" w:right="132"/>
              <w:jc w:val="both"/>
              <w:rPr>
                <w:rFonts w:eastAsia="Microsoft Sans Serif"/>
                <w:noProof/>
              </w:rPr>
            </w:pPr>
            <w:r w:rsidRPr="00AD1CCA">
              <w:rPr>
                <w:rFonts w:eastAsia="Microsoft Sans Serif"/>
                <w:noProof/>
              </w:rPr>
              <w:t>Verificar a conformidade e a integridade das práticas de admissão e demissão de empregados de carreira e comissionados extraquadros, realizando a avaliação dos procedimentos adotados e a análise da documentação exigid</w:t>
            </w:r>
            <w:r>
              <w:rPr>
                <w:rFonts w:eastAsia="Microsoft Sans Serif"/>
                <w:noProof/>
              </w:rPr>
              <w:t>a, como: contratos de trabalho,</w:t>
            </w:r>
            <w:r w:rsidRPr="00AD1CCA">
              <w:rPr>
                <w:rFonts w:eastAsia="Microsoft Sans Serif"/>
                <w:noProof/>
              </w:rPr>
              <w:t>exames médicos, comprovantes de escolaridade, comprovação de experiência e quaisquer outros documentos indispensáveis aos processos.</w:t>
            </w:r>
          </w:p>
        </w:tc>
      </w:tr>
      <w:tr w:rsidR="00391ACC" w:rsidRPr="000C58EC" w:rsidTr="00ED78FE">
        <w:trPr>
          <w:trHeight w:hRule="exact" w:val="3974"/>
        </w:trPr>
        <w:tc>
          <w:tcPr>
            <w:tcW w:w="1134" w:type="dxa"/>
            <w:shd w:val="clear" w:color="auto" w:fill="auto"/>
            <w:vAlign w:val="center"/>
          </w:tcPr>
          <w:p w:rsidR="00391ACC" w:rsidRPr="00D84DA0" w:rsidRDefault="00391ACC" w:rsidP="00391ACC">
            <w:pPr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391ACC" w:rsidRPr="00D84DA0" w:rsidRDefault="00391ACC" w:rsidP="00ED78FE">
            <w:pPr>
              <w:ind w:left="108"/>
              <w:jc w:val="center"/>
              <w:rPr>
                <w:rFonts w:asciiTheme="minorHAnsi" w:eastAsia="Microsoft Sans Serif" w:hAnsiTheme="minorHAnsi" w:cstheme="minorHAnsi"/>
                <w:b/>
                <w:bCs/>
                <w:i/>
                <w:iCs/>
              </w:rPr>
            </w:pPr>
            <w:r w:rsidRPr="00ED78FE">
              <w:rPr>
                <w:b/>
                <w:bCs/>
                <w:i/>
                <w:iCs/>
              </w:rPr>
              <w:t>04/2024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ACC" w:rsidRPr="00ED78FE" w:rsidRDefault="00391ACC" w:rsidP="00ED78FE">
            <w:pPr>
              <w:ind w:left="108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Gestão de Controle de</w:t>
            </w:r>
          </w:p>
          <w:p w:rsidR="00391ACC" w:rsidRPr="00176105" w:rsidRDefault="00391ACC" w:rsidP="00ED78FE">
            <w:pPr>
              <w:ind w:left="108"/>
              <w:jc w:val="center"/>
              <w:rPr>
                <w:rFonts w:eastAsia="Microsoft Sans Serif"/>
                <w:b/>
                <w:bCs/>
                <w:i/>
                <w:iCs/>
                <w:noProof/>
                <w:sz w:val="20"/>
                <w:szCs w:val="20"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Patrimônio</w:t>
            </w:r>
          </w:p>
        </w:tc>
        <w:tc>
          <w:tcPr>
            <w:tcW w:w="6095" w:type="dxa"/>
            <w:shd w:val="clear" w:color="auto" w:fill="auto"/>
          </w:tcPr>
          <w:p w:rsidR="00391ACC" w:rsidRPr="00D84DA0" w:rsidRDefault="00391ACC" w:rsidP="00391ACC">
            <w:pPr>
              <w:spacing w:line="242" w:lineRule="auto"/>
              <w:ind w:left="108" w:right="132"/>
              <w:jc w:val="both"/>
              <w:rPr>
                <w:rFonts w:eastAsia="Microsoft Sans Serif"/>
                <w:noProof/>
                <w:sz w:val="20"/>
                <w:szCs w:val="20"/>
              </w:rPr>
            </w:pPr>
            <w:r w:rsidRPr="00ED78FE">
              <w:rPr>
                <w:rFonts w:eastAsia="Microsoft Sans Serif"/>
                <w:noProof/>
              </w:rPr>
              <w:t>Verificar o cumprimento dos dispositivos legais e dos normativos internos que tratam da conservação, do controle, da contabilização, da baixa e alienação dos bens móveis e imóveis da CDRJ; Verificar os registros contábeis da conta de Ativo Imobilizado; Realizar, por amostragem, a conferência dos relatórios de movimentação de bens móveis disponibilizados nos diversos setores da CDRJ; Verificar se os Termos de Responsabilidade estão devidamente atualizados e  adequadamente formalizados; Verificar os aspectos formais e legais dos processos de baixa de bens móveis e  imóveis; Verificar os aspectos formais e legais dos processos licitatórios (leilão) para a alienação de bens móveis e imóveis; Verificar a regularidade dos registros cadastrais dos imóveis de propriedade da  CDRJ junto ao Patrimônio da União e no Registro Geral de Imóveis.</w:t>
            </w:r>
          </w:p>
        </w:tc>
      </w:tr>
      <w:tr w:rsidR="00391ACC" w:rsidRPr="000C58EC" w:rsidTr="00ED78FE">
        <w:trPr>
          <w:trHeight w:hRule="exact" w:val="1694"/>
        </w:trPr>
        <w:tc>
          <w:tcPr>
            <w:tcW w:w="1134" w:type="dxa"/>
            <w:shd w:val="clear" w:color="auto" w:fill="auto"/>
            <w:vAlign w:val="center"/>
          </w:tcPr>
          <w:p w:rsidR="00391ACC" w:rsidRPr="00D84DA0" w:rsidRDefault="00391ACC" w:rsidP="00ED78FE">
            <w:pPr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391ACC" w:rsidRPr="00D84DA0" w:rsidRDefault="00391ACC" w:rsidP="00ED78FE">
            <w:pPr>
              <w:ind w:left="108"/>
              <w:jc w:val="center"/>
              <w:rPr>
                <w:rFonts w:asciiTheme="minorHAnsi" w:eastAsia="Microsoft Sans Serif" w:hAnsiTheme="minorHAnsi" w:cstheme="minorHAnsi"/>
                <w:b/>
                <w:bCs/>
                <w:i/>
                <w:iCs/>
              </w:rPr>
            </w:pPr>
            <w:r w:rsidRPr="00ED78FE">
              <w:rPr>
                <w:b/>
                <w:bCs/>
                <w:i/>
                <w:iCs/>
              </w:rPr>
              <w:t>05/2024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1ACC" w:rsidRPr="00176105" w:rsidRDefault="00391ACC" w:rsidP="00ED78FE">
            <w:pPr>
              <w:ind w:left="108"/>
              <w:jc w:val="center"/>
              <w:rPr>
                <w:rFonts w:eastAsia="Microsoft Sans Serif"/>
                <w:b/>
                <w:bCs/>
                <w:i/>
                <w:iCs/>
                <w:noProof/>
                <w:sz w:val="20"/>
                <w:szCs w:val="20"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Contratos Administrativos</w:t>
            </w:r>
          </w:p>
        </w:tc>
        <w:tc>
          <w:tcPr>
            <w:tcW w:w="6095" w:type="dxa"/>
            <w:shd w:val="clear" w:color="auto" w:fill="auto"/>
          </w:tcPr>
          <w:p w:rsidR="00391ACC" w:rsidRPr="00D84DA0" w:rsidRDefault="00391ACC" w:rsidP="00ED78FE">
            <w:pPr>
              <w:spacing w:line="242" w:lineRule="auto"/>
              <w:ind w:left="108" w:right="132"/>
              <w:jc w:val="both"/>
              <w:rPr>
                <w:rFonts w:eastAsia="Microsoft Sans Serif"/>
                <w:noProof/>
                <w:sz w:val="20"/>
                <w:szCs w:val="20"/>
              </w:rPr>
            </w:pPr>
            <w:r w:rsidRPr="00ED78FE">
              <w:rPr>
                <w:rFonts w:eastAsia="Microsoft Sans Serif"/>
                <w:noProof/>
              </w:rPr>
              <w:t>Verificar o cumprimento dos normativos internos que tratam de licitações e contratos; da Lei 13.303/16; das normas complementares que tratam do assunto, assim como da jurisprudência do TCU, selecionando os processos de contratação de maior valor significativo e relevância. Verificar a atuação dos gestores e fiscais de contrato.</w:t>
            </w:r>
          </w:p>
        </w:tc>
      </w:tr>
      <w:tr w:rsidR="00391ACC" w:rsidRPr="000C58EC" w:rsidTr="00ED78FE">
        <w:trPr>
          <w:trHeight w:hRule="exact" w:val="1454"/>
        </w:trPr>
        <w:tc>
          <w:tcPr>
            <w:tcW w:w="1134" w:type="dxa"/>
            <w:shd w:val="clear" w:color="auto" w:fill="auto"/>
            <w:vAlign w:val="center"/>
          </w:tcPr>
          <w:p w:rsidR="00391ACC" w:rsidRPr="00D84DA0" w:rsidRDefault="00ED78FE" w:rsidP="00ED78FE">
            <w:pPr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8FE" w:rsidRPr="00ED78FE" w:rsidRDefault="00ED78FE" w:rsidP="00ED78FE">
            <w:pPr>
              <w:spacing w:before="1"/>
              <w:ind w:left="108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Aposentadorias e</w:t>
            </w:r>
          </w:p>
          <w:p w:rsidR="00391ACC" w:rsidRPr="00176105" w:rsidRDefault="00ED78FE" w:rsidP="00ED78FE">
            <w:pPr>
              <w:spacing w:before="1"/>
              <w:ind w:left="108"/>
              <w:jc w:val="center"/>
              <w:rPr>
                <w:rFonts w:eastAsia="Microsoft Sans Serif"/>
                <w:b/>
                <w:bCs/>
                <w:i/>
                <w:iCs/>
                <w:noProof/>
                <w:sz w:val="20"/>
                <w:szCs w:val="20"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Pensões</w:t>
            </w:r>
          </w:p>
        </w:tc>
        <w:tc>
          <w:tcPr>
            <w:tcW w:w="6095" w:type="dxa"/>
            <w:shd w:val="clear" w:color="auto" w:fill="auto"/>
          </w:tcPr>
          <w:p w:rsidR="00391ACC" w:rsidRPr="00D84DA0" w:rsidRDefault="00ED78FE" w:rsidP="00ED78FE">
            <w:pPr>
              <w:spacing w:line="242" w:lineRule="auto"/>
              <w:ind w:left="108" w:right="132"/>
              <w:jc w:val="both"/>
              <w:rPr>
                <w:rFonts w:eastAsia="Microsoft Sans Serif"/>
                <w:noProof/>
                <w:sz w:val="20"/>
                <w:szCs w:val="20"/>
              </w:rPr>
            </w:pPr>
            <w:r w:rsidRPr="00ED78FE">
              <w:rPr>
                <w:rFonts w:eastAsia="Microsoft Sans Serif"/>
                <w:noProof/>
              </w:rPr>
              <w:t>Verificar se há política definida em normativo; verificar s</w:t>
            </w:r>
            <w:r>
              <w:rPr>
                <w:rFonts w:eastAsia="Microsoft Sans Serif"/>
                <w:noProof/>
              </w:rPr>
              <w:t xml:space="preserve">e o benefício </w:t>
            </w:r>
            <w:r w:rsidRPr="00ED78FE">
              <w:rPr>
                <w:rFonts w:eastAsia="Microsoft Sans Serif"/>
                <w:noProof/>
              </w:rPr>
              <w:t>“Complementação de Aposentadoria” está em consonância com o Acordo Coletivo de Trabalho; e verificar o controle quanto ao recadastramento e ao pagamento aos beneficiários.</w:t>
            </w:r>
          </w:p>
        </w:tc>
      </w:tr>
      <w:tr w:rsidR="00ED78FE" w:rsidRPr="000C58EC" w:rsidTr="00ED78FE">
        <w:trPr>
          <w:trHeight w:hRule="exact" w:val="1664"/>
        </w:trPr>
        <w:tc>
          <w:tcPr>
            <w:tcW w:w="1134" w:type="dxa"/>
            <w:shd w:val="clear" w:color="auto" w:fill="auto"/>
            <w:vAlign w:val="center"/>
          </w:tcPr>
          <w:p w:rsidR="00ED78FE" w:rsidRPr="00D84DA0" w:rsidRDefault="00ED78FE" w:rsidP="00ED78FE">
            <w:pPr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8FE" w:rsidRPr="00ED78FE" w:rsidRDefault="00ED78FE" w:rsidP="00ED78FE">
            <w:pPr>
              <w:spacing w:before="1"/>
              <w:ind w:left="108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Avaliação da Gestão da</w:t>
            </w:r>
          </w:p>
          <w:p w:rsidR="00ED78FE" w:rsidRPr="00176105" w:rsidRDefault="00ED78FE" w:rsidP="00ED78FE">
            <w:pPr>
              <w:spacing w:before="1"/>
              <w:ind w:left="108"/>
              <w:jc w:val="center"/>
              <w:rPr>
                <w:rFonts w:eastAsia="Microsoft Sans Serif"/>
                <w:b/>
                <w:bCs/>
                <w:i/>
                <w:iCs/>
                <w:noProof/>
                <w:sz w:val="20"/>
                <w:szCs w:val="20"/>
              </w:rPr>
            </w:pPr>
            <w:r w:rsidRPr="00ED78FE">
              <w:rPr>
                <w:rFonts w:eastAsia="Arial"/>
                <w:b/>
                <w:bCs/>
                <w:i/>
                <w:iCs/>
              </w:rPr>
              <w:t>Execução Orçamentária</w:t>
            </w:r>
          </w:p>
        </w:tc>
        <w:tc>
          <w:tcPr>
            <w:tcW w:w="6095" w:type="dxa"/>
            <w:shd w:val="clear" w:color="auto" w:fill="auto"/>
          </w:tcPr>
          <w:p w:rsidR="00ED78FE" w:rsidRPr="00D84DA0" w:rsidRDefault="00ED78FE" w:rsidP="00ED78FE">
            <w:pPr>
              <w:spacing w:line="242" w:lineRule="auto"/>
              <w:ind w:left="108" w:right="132"/>
              <w:jc w:val="both"/>
              <w:rPr>
                <w:rFonts w:eastAsia="Microsoft Sans Serif"/>
                <w:noProof/>
                <w:sz w:val="20"/>
                <w:szCs w:val="20"/>
              </w:rPr>
            </w:pPr>
            <w:r w:rsidRPr="00ED78FE">
              <w:rPr>
                <w:rFonts w:eastAsia="Microsoft Sans Serif"/>
                <w:noProof/>
              </w:rPr>
              <w:t>Verificar e comparar, em termos percentuais, os valores das dotações em relação aos valores compromissados e realizados no Programa de Dispêndios Globais - PDG. Verificar a execução orçamentária dos projetos/ações constantes do PPA. Verificar o nível de execução das Ações Orçamentárias com recursos do Tesouro.</w:t>
            </w:r>
          </w:p>
        </w:tc>
      </w:tr>
      <w:tr w:rsidR="00ED78FE" w:rsidRPr="000C58EC" w:rsidTr="00F77A43">
        <w:trPr>
          <w:trHeight w:hRule="exact" w:val="2553"/>
        </w:trPr>
        <w:tc>
          <w:tcPr>
            <w:tcW w:w="1134" w:type="dxa"/>
            <w:shd w:val="clear" w:color="auto" w:fill="auto"/>
            <w:vAlign w:val="center"/>
          </w:tcPr>
          <w:p w:rsidR="00ED78FE" w:rsidRDefault="00ED78FE" w:rsidP="00ED78FE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8FE" w:rsidRPr="00ED78FE" w:rsidRDefault="00F77A43" w:rsidP="00ED78FE">
            <w:pPr>
              <w:spacing w:before="1"/>
              <w:ind w:left="108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367417">
              <w:rPr>
                <w:b/>
                <w:bCs/>
                <w:i/>
                <w:iCs/>
              </w:rPr>
              <w:t>Licitações, Dispensas e Inexigibilidades</w:t>
            </w:r>
          </w:p>
        </w:tc>
        <w:tc>
          <w:tcPr>
            <w:tcW w:w="6095" w:type="dxa"/>
            <w:shd w:val="clear" w:color="auto" w:fill="auto"/>
          </w:tcPr>
          <w:p w:rsidR="00F77A43" w:rsidRDefault="00F77A43" w:rsidP="00F77A43">
            <w:pPr>
              <w:ind w:left="146" w:right="133"/>
              <w:jc w:val="both"/>
              <w:rPr>
                <w:noProof/>
              </w:rPr>
            </w:pPr>
            <w:r>
              <w:rPr>
                <w:noProof/>
              </w:rPr>
              <w:t xml:space="preserve">Avaliar os controles internos que dizem respeito aos procedimentos licitatórios, abrangendo as fases interna (estudos preliminares; elaboração do termo de referência/projeto básico; elaboração de orçamento e estimativa de preços; instrução do </w:t>
            </w:r>
          </w:p>
          <w:p w:rsidR="00F77A43" w:rsidRDefault="00F77A43" w:rsidP="00F77A43">
            <w:pPr>
              <w:ind w:left="146" w:right="133"/>
              <w:jc w:val="both"/>
              <w:rPr>
                <w:noProof/>
              </w:rPr>
            </w:pPr>
            <w:r>
              <w:rPr>
                <w:noProof/>
              </w:rPr>
              <w:t>processo; pareceres técnicos e jurídicos e aprovações) e externa (da publicação à assinatura do contrato).</w:t>
            </w:r>
          </w:p>
          <w:p w:rsidR="00F77A43" w:rsidRDefault="00F77A43" w:rsidP="00F77A43">
            <w:pPr>
              <w:ind w:left="146" w:right="133"/>
              <w:jc w:val="both"/>
              <w:rPr>
                <w:noProof/>
              </w:rPr>
            </w:pPr>
            <w:r>
              <w:rPr>
                <w:noProof/>
              </w:rPr>
              <w:t>Avaliar os controles internos que dizem respeito aos procedimentos para as compras, aquisições e contratação de serviços, obras e serviços de engenharia, sem prévia licitação.</w:t>
            </w:r>
          </w:p>
          <w:p w:rsidR="00F77A43" w:rsidRDefault="00F77A43" w:rsidP="00F77A43">
            <w:pPr>
              <w:ind w:left="146" w:right="133"/>
              <w:jc w:val="both"/>
              <w:rPr>
                <w:noProof/>
              </w:rPr>
            </w:pPr>
          </w:p>
          <w:p w:rsidR="00F77A43" w:rsidRPr="00ED78FE" w:rsidRDefault="00F77A43" w:rsidP="00F77A43">
            <w:pPr>
              <w:ind w:left="146" w:right="133"/>
              <w:jc w:val="both"/>
              <w:rPr>
                <w:noProof/>
              </w:rPr>
            </w:pPr>
          </w:p>
        </w:tc>
      </w:tr>
      <w:tr w:rsidR="00F77A43" w:rsidRPr="000C58EC" w:rsidTr="00887C42">
        <w:trPr>
          <w:trHeight w:hRule="exact" w:val="4540"/>
        </w:trPr>
        <w:tc>
          <w:tcPr>
            <w:tcW w:w="1134" w:type="dxa"/>
            <w:shd w:val="clear" w:color="auto" w:fill="auto"/>
            <w:vAlign w:val="center"/>
          </w:tcPr>
          <w:p w:rsidR="00F77A43" w:rsidRDefault="00887C42" w:rsidP="00ED78FE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09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7C42" w:rsidRPr="00887C42" w:rsidRDefault="00887C42" w:rsidP="00887C42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887C42">
              <w:rPr>
                <w:b/>
                <w:bCs/>
                <w:i/>
                <w:iCs/>
              </w:rPr>
              <w:t xml:space="preserve">Licenças </w:t>
            </w:r>
          </w:p>
          <w:p w:rsidR="00887C42" w:rsidRPr="00887C42" w:rsidRDefault="00887C42" w:rsidP="00887C42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887C42">
              <w:rPr>
                <w:b/>
                <w:bCs/>
                <w:i/>
                <w:iCs/>
              </w:rPr>
              <w:t xml:space="preserve">Médicas, Sem </w:t>
            </w:r>
          </w:p>
          <w:p w:rsidR="00887C42" w:rsidRPr="00887C42" w:rsidRDefault="00887C42" w:rsidP="00887C42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887C42">
              <w:rPr>
                <w:b/>
                <w:bCs/>
                <w:i/>
                <w:iCs/>
              </w:rPr>
              <w:t xml:space="preserve">Vencimento e Cessão de </w:t>
            </w:r>
          </w:p>
          <w:p w:rsidR="00F77A43" w:rsidRPr="00367417" w:rsidRDefault="00887C42" w:rsidP="00887C42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887C42">
              <w:rPr>
                <w:b/>
                <w:bCs/>
                <w:i/>
                <w:iCs/>
              </w:rPr>
              <w:t>Empregados</w:t>
            </w:r>
          </w:p>
        </w:tc>
        <w:tc>
          <w:tcPr>
            <w:tcW w:w="6095" w:type="dxa"/>
            <w:shd w:val="clear" w:color="auto" w:fill="auto"/>
          </w:tcPr>
          <w:p w:rsidR="00F77A43" w:rsidRDefault="00887C42" w:rsidP="00F77A43">
            <w:pPr>
              <w:ind w:left="146" w:right="133"/>
              <w:jc w:val="both"/>
              <w:rPr>
                <w:noProof/>
              </w:rPr>
            </w:pPr>
            <w:r>
              <w:t>Verificar se os procedimentos para a concessão de licenças médicas e licenças sem vencimento (suspensão do contrato de trabalho) estão em consonância com as normas internas, o Acordo Coletivo de Trabalho e a legislação vigente. Verificar se os procedimentos para a cessão de empregados a outros órgãos da Administração Pública Federal, Estadual e Municipal estão em consonância com as normas internas, o Acordo Coletivo de Trabalho e a legislação vigente; Em relação à cessão de empregados verificar se o reembolso da remuneração está sendo efetuado de forma regular, se as medidas de cobrança foram adotadas de forma regular; e, se foram adotadas medidas para o retorno do colaborador aos quadros da CDRJ em caso de inadimplência; O período de amostra analisado para as licenças Médicas e sem vencimento corresponde ao exercício de 2021 a maio de 2024. Quanto aos cedidos observou-se o período de 2018 a maio de 2024.</w:t>
            </w:r>
          </w:p>
        </w:tc>
      </w:tr>
      <w:tr w:rsidR="000E197A" w:rsidRPr="000C58EC" w:rsidTr="000E197A">
        <w:trPr>
          <w:trHeight w:hRule="exact" w:val="1131"/>
        </w:trPr>
        <w:tc>
          <w:tcPr>
            <w:tcW w:w="1134" w:type="dxa"/>
            <w:shd w:val="clear" w:color="auto" w:fill="auto"/>
            <w:vAlign w:val="center"/>
          </w:tcPr>
          <w:p w:rsidR="000E197A" w:rsidRDefault="000E197A" w:rsidP="00ED78FE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97A" w:rsidRPr="000E197A" w:rsidRDefault="000E197A" w:rsidP="000E197A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0E197A">
              <w:rPr>
                <w:b/>
                <w:bCs/>
                <w:i/>
                <w:iCs/>
              </w:rPr>
              <w:t>Avaliação da Gestão das</w:t>
            </w:r>
          </w:p>
          <w:p w:rsidR="000E197A" w:rsidRPr="00887C42" w:rsidRDefault="000E197A" w:rsidP="000E197A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0E197A">
              <w:rPr>
                <w:b/>
                <w:bCs/>
                <w:i/>
                <w:iCs/>
              </w:rPr>
              <w:t>Licenças de Software</w:t>
            </w:r>
          </w:p>
        </w:tc>
        <w:tc>
          <w:tcPr>
            <w:tcW w:w="6095" w:type="dxa"/>
            <w:shd w:val="clear" w:color="auto" w:fill="auto"/>
          </w:tcPr>
          <w:p w:rsidR="000E197A" w:rsidRDefault="000E197A" w:rsidP="000E197A">
            <w:pPr>
              <w:ind w:left="146" w:right="133"/>
              <w:jc w:val="both"/>
            </w:pPr>
            <w:r>
              <w:t>Verificar a política de aquisição de licenças, os tipos de licença utilizados, identificar se os softwares em uso são gratuitos ou licenciados por alguma empresa, além de analisar a existência de um inventário das licenças e a rotina de atualização.</w:t>
            </w:r>
          </w:p>
        </w:tc>
      </w:tr>
      <w:tr w:rsidR="000E197A" w:rsidRPr="000C58EC" w:rsidTr="00036BBE">
        <w:trPr>
          <w:trHeight w:hRule="exact" w:val="1701"/>
        </w:trPr>
        <w:tc>
          <w:tcPr>
            <w:tcW w:w="1134" w:type="dxa"/>
            <w:shd w:val="clear" w:color="auto" w:fill="auto"/>
            <w:vAlign w:val="center"/>
          </w:tcPr>
          <w:p w:rsidR="000E197A" w:rsidRDefault="00036BBE" w:rsidP="00ED78FE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BBE" w:rsidRDefault="00036BBE" w:rsidP="00036BBE">
            <w:pPr>
              <w:pStyle w:val="TableParagraph"/>
              <w:shd w:val="clear" w:color="auto" w:fill="FFFFFF" w:themeFill="background1"/>
              <w:spacing w:before="159"/>
              <w:rPr>
                <w:rFonts w:ascii="Calibri" w:hAnsi="Calibri" w:cs="Calibri"/>
                <w:b/>
                <w:bCs/>
                <w:i/>
                <w:iCs/>
              </w:rPr>
            </w:pPr>
            <w:r w:rsidRPr="00176105">
              <w:rPr>
                <w:rFonts w:ascii="Calibri" w:hAnsi="Calibri" w:cs="Calibri"/>
                <w:b/>
                <w:bCs/>
                <w:i/>
                <w:iCs/>
              </w:rPr>
              <w:t>Contratos de Arrendamento Portuário</w:t>
            </w:r>
          </w:p>
          <w:p w:rsidR="00036BBE" w:rsidRPr="00176105" w:rsidRDefault="00036BBE" w:rsidP="00036BBE">
            <w:pPr>
              <w:pStyle w:val="TableParagraph"/>
              <w:shd w:val="clear" w:color="auto" w:fill="FFFFFF" w:themeFill="background1"/>
              <w:spacing w:before="159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036BBE" w:rsidRPr="00036BBE" w:rsidRDefault="00036BBE" w:rsidP="00036BBE">
            <w:pPr>
              <w:spacing w:before="1"/>
              <w:ind w:left="108"/>
              <w:jc w:val="center"/>
              <w:rPr>
                <w:noProof/>
                <w:lang w:val="en-US"/>
              </w:rPr>
            </w:pPr>
            <w:r w:rsidRPr="00036BBE">
              <w:rPr>
                <w:noProof/>
                <w:lang w:val="en-US"/>
              </w:rPr>
              <w:t xml:space="preserve">MultiCar </w:t>
            </w:r>
          </w:p>
          <w:p w:rsidR="000E197A" w:rsidRPr="000E197A" w:rsidRDefault="00036BBE" w:rsidP="00036BBE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 w:rsidRPr="00036BBE">
              <w:rPr>
                <w:noProof/>
                <w:lang w:val="en-US"/>
              </w:rPr>
              <w:t>Terminal de Veículos S.A</w:t>
            </w:r>
          </w:p>
        </w:tc>
        <w:tc>
          <w:tcPr>
            <w:tcW w:w="6095" w:type="dxa"/>
            <w:shd w:val="clear" w:color="auto" w:fill="auto"/>
          </w:tcPr>
          <w:p w:rsidR="000E197A" w:rsidRDefault="00036BBE" w:rsidP="00036BBE">
            <w:pPr>
              <w:ind w:left="146" w:right="133"/>
              <w:jc w:val="both"/>
            </w:pPr>
            <w:r>
              <w:t>Verificar o cumprimento das cláusulas contratuais, em especial, a regularidade do faturamento, a manutenção das instalações, a aplicação dos investimentos no terminal, o cumprimento das metas de movimentação de carga, os seguros de bens e equipamentos, a gestão ambiental, bem como a atuação da gestão e da fiscalização do contrato.</w:t>
            </w:r>
          </w:p>
        </w:tc>
      </w:tr>
      <w:tr w:rsidR="00036BBE" w:rsidRPr="000C58EC" w:rsidTr="00036BBE">
        <w:trPr>
          <w:trHeight w:hRule="exact" w:val="1143"/>
        </w:trPr>
        <w:tc>
          <w:tcPr>
            <w:tcW w:w="1134" w:type="dxa"/>
            <w:shd w:val="clear" w:color="auto" w:fill="auto"/>
            <w:vAlign w:val="center"/>
          </w:tcPr>
          <w:p w:rsidR="00036BBE" w:rsidRDefault="00036BBE" w:rsidP="00ED78FE">
            <w:pPr>
              <w:spacing w:before="1"/>
              <w:ind w:left="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Pr="00ED78FE">
              <w:rPr>
                <w:b/>
                <w:bCs/>
                <w:i/>
                <w:iCs/>
              </w:rPr>
              <w:t>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BBE" w:rsidRPr="00176105" w:rsidRDefault="00036BBE" w:rsidP="00036BBE">
            <w:pPr>
              <w:pStyle w:val="TableParagraph"/>
              <w:shd w:val="clear" w:color="auto" w:fill="FFFFFF" w:themeFill="background1"/>
              <w:spacing w:before="159"/>
              <w:rPr>
                <w:rFonts w:ascii="Calibri" w:hAnsi="Calibri" w:cs="Calibri"/>
                <w:b/>
                <w:bCs/>
                <w:i/>
                <w:iCs/>
              </w:rPr>
            </w:pPr>
            <w:r w:rsidRPr="00036BBE">
              <w:rPr>
                <w:rFonts w:ascii="Calibri" w:hAnsi="Calibri" w:cs="Calibri"/>
                <w:b/>
                <w:bCs/>
                <w:i/>
                <w:iCs/>
              </w:rPr>
              <w:t>Horas Extras</w:t>
            </w:r>
          </w:p>
        </w:tc>
        <w:tc>
          <w:tcPr>
            <w:tcW w:w="6095" w:type="dxa"/>
            <w:shd w:val="clear" w:color="auto" w:fill="auto"/>
          </w:tcPr>
          <w:p w:rsidR="00036BBE" w:rsidRDefault="00036BBE" w:rsidP="00036BBE">
            <w:pPr>
              <w:ind w:left="146" w:right="133"/>
              <w:jc w:val="both"/>
            </w:pPr>
            <w:r>
              <w:t>Verificar se os procedimentos e a documentação necessária que dão suporte ao pagamento de horas extraordinárias estão em consonância com os normativos internos, o Acordo Coletivo de Trabalho e a legislação vigente</w:t>
            </w:r>
          </w:p>
        </w:tc>
      </w:tr>
    </w:tbl>
    <w:p w:rsidR="00D260AF" w:rsidRDefault="00D260AF" w:rsidP="00D260AF">
      <w:pPr>
        <w:pStyle w:val="Default"/>
        <w:ind w:left="-426" w:firstLine="1701"/>
        <w:jc w:val="both"/>
        <w:rPr>
          <w:rFonts w:ascii="Arial" w:hAnsi="Arial" w:cs="Arial"/>
          <w:sz w:val="22"/>
          <w:szCs w:val="22"/>
        </w:rPr>
      </w:pPr>
    </w:p>
    <w:p w:rsidR="00744A02" w:rsidRPr="00744A02" w:rsidRDefault="00744A02" w:rsidP="00744A02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rFonts w:ascii="Arial" w:hAnsi="Arial" w:cs="Arial"/>
          <w:color w:val="000000"/>
          <w:lang w:val="pt-BR"/>
        </w:rPr>
      </w:pPr>
      <w:r w:rsidRPr="00744A02">
        <w:rPr>
          <w:rFonts w:ascii="Arial" w:hAnsi="Arial" w:cs="Arial"/>
          <w:color w:val="000000"/>
          <w:lang w:val="pt-BR"/>
        </w:rPr>
        <w:t>Os relatórios de auditoria</w:t>
      </w:r>
      <w:r w:rsidR="006B4F60">
        <w:rPr>
          <w:rFonts w:ascii="Arial" w:hAnsi="Arial" w:cs="Arial"/>
          <w:color w:val="000000"/>
          <w:lang w:val="pt-BR"/>
        </w:rPr>
        <w:t>, referente ao exercício de 2024,</w:t>
      </w:r>
      <w:r w:rsidRPr="00744A02">
        <w:rPr>
          <w:rFonts w:ascii="Arial" w:hAnsi="Arial" w:cs="Arial"/>
          <w:color w:val="000000"/>
          <w:lang w:val="pt-BR"/>
        </w:rPr>
        <w:t xml:space="preserve"> resultaram na emissão </w:t>
      </w:r>
      <w:r w:rsidRPr="00436ED5">
        <w:rPr>
          <w:rFonts w:ascii="Arial" w:hAnsi="Arial" w:cs="Arial"/>
          <w:color w:val="000000"/>
          <w:lang w:val="pt-BR"/>
        </w:rPr>
        <w:t xml:space="preserve">de </w:t>
      </w:r>
      <w:r w:rsidR="00D54DD7" w:rsidRPr="00436ED5">
        <w:rPr>
          <w:rFonts w:ascii="Arial" w:hAnsi="Arial" w:cs="Arial"/>
          <w:color w:val="000000"/>
          <w:lang w:val="pt-BR"/>
        </w:rPr>
        <w:t>56</w:t>
      </w:r>
      <w:r w:rsidRPr="00436ED5">
        <w:rPr>
          <w:rFonts w:ascii="Arial" w:hAnsi="Arial" w:cs="Arial"/>
          <w:color w:val="000000"/>
          <w:lang w:val="pt-BR"/>
        </w:rPr>
        <w:t xml:space="preserve"> (</w:t>
      </w:r>
      <w:r w:rsidR="00D54DD7" w:rsidRPr="00436ED5">
        <w:rPr>
          <w:rFonts w:ascii="Arial" w:hAnsi="Arial" w:cs="Arial"/>
          <w:color w:val="000000"/>
          <w:lang w:val="pt-BR"/>
        </w:rPr>
        <w:t>cinquenta e seis</w:t>
      </w:r>
      <w:r w:rsidRPr="00436ED5">
        <w:rPr>
          <w:rFonts w:ascii="Arial" w:hAnsi="Arial" w:cs="Arial"/>
          <w:color w:val="000000"/>
          <w:lang w:val="pt-BR"/>
        </w:rPr>
        <w:t>)</w:t>
      </w:r>
      <w:r w:rsidRPr="00744A02">
        <w:rPr>
          <w:rFonts w:ascii="Arial" w:hAnsi="Arial" w:cs="Arial"/>
          <w:color w:val="000000"/>
          <w:lang w:val="pt-BR"/>
        </w:rPr>
        <w:t xml:space="preserve"> Pontos de Auditoria, contendo recomendações direcionadas aos gestores responsáveis. Em </w:t>
      </w:r>
      <w:r w:rsidR="00A0383A" w:rsidRPr="00A0383A">
        <w:rPr>
          <w:rFonts w:ascii="Arial" w:hAnsi="Arial" w:cs="Arial"/>
          <w:color w:val="000000"/>
          <w:lang w:val="pt-BR"/>
        </w:rPr>
        <w:t>27</w:t>
      </w:r>
      <w:r w:rsidR="00207A1A" w:rsidRPr="00A0383A">
        <w:rPr>
          <w:rFonts w:ascii="Arial" w:hAnsi="Arial" w:cs="Arial"/>
          <w:color w:val="000000"/>
          <w:lang w:val="pt-BR"/>
        </w:rPr>
        <w:t>/05</w:t>
      </w:r>
      <w:r w:rsidRPr="00A0383A">
        <w:rPr>
          <w:rFonts w:ascii="Arial" w:hAnsi="Arial" w:cs="Arial"/>
          <w:color w:val="000000"/>
          <w:lang w:val="pt-BR"/>
        </w:rPr>
        <w:t>/2</w:t>
      </w:r>
      <w:r w:rsidR="00D54DD7" w:rsidRPr="00A0383A">
        <w:rPr>
          <w:rFonts w:ascii="Arial" w:hAnsi="Arial" w:cs="Arial"/>
          <w:color w:val="000000"/>
          <w:lang w:val="pt-BR"/>
        </w:rPr>
        <w:t>025</w:t>
      </w:r>
      <w:r w:rsidRPr="00744A02">
        <w:rPr>
          <w:rFonts w:ascii="Arial" w:hAnsi="Arial" w:cs="Arial"/>
          <w:color w:val="000000"/>
          <w:lang w:val="pt-BR"/>
        </w:rPr>
        <w:t xml:space="preserve">, a situação desses pontos era a seguinte: </w:t>
      </w:r>
      <w:r w:rsidR="00207A1A" w:rsidRPr="00A0383A">
        <w:rPr>
          <w:rFonts w:ascii="Arial" w:hAnsi="Arial" w:cs="Arial"/>
          <w:color w:val="000000"/>
          <w:lang w:val="pt-BR"/>
        </w:rPr>
        <w:t>26</w:t>
      </w:r>
      <w:r w:rsidRPr="00A0383A">
        <w:rPr>
          <w:rFonts w:ascii="Arial" w:hAnsi="Arial" w:cs="Arial"/>
          <w:color w:val="000000"/>
          <w:lang w:val="pt-BR"/>
        </w:rPr>
        <w:t xml:space="preserve"> sanados, </w:t>
      </w:r>
      <w:r w:rsidR="00207A1A" w:rsidRPr="00A0383A">
        <w:rPr>
          <w:rFonts w:ascii="Arial" w:hAnsi="Arial" w:cs="Arial"/>
          <w:color w:val="000000"/>
          <w:lang w:val="pt-BR"/>
        </w:rPr>
        <w:t>22</w:t>
      </w:r>
      <w:r w:rsidRPr="00A0383A">
        <w:rPr>
          <w:rFonts w:ascii="Arial" w:hAnsi="Arial" w:cs="Arial"/>
          <w:color w:val="000000"/>
          <w:lang w:val="pt-BR"/>
        </w:rPr>
        <w:t xml:space="preserve"> pendentes e </w:t>
      </w:r>
      <w:r w:rsidR="00207A1A" w:rsidRPr="00A0383A">
        <w:rPr>
          <w:rFonts w:ascii="Arial" w:hAnsi="Arial" w:cs="Arial"/>
          <w:color w:val="000000"/>
          <w:lang w:val="pt-BR"/>
        </w:rPr>
        <w:t>8</w:t>
      </w:r>
      <w:r w:rsidRPr="00A0383A">
        <w:rPr>
          <w:rFonts w:ascii="Arial" w:hAnsi="Arial" w:cs="Arial"/>
          <w:color w:val="000000"/>
          <w:lang w:val="pt-BR"/>
        </w:rPr>
        <w:t xml:space="preserve"> em monitoramento.</w:t>
      </w:r>
    </w:p>
    <w:p w:rsidR="00744A02" w:rsidRDefault="00744A02" w:rsidP="00971217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rFonts w:ascii="Arial" w:hAnsi="Arial" w:cs="Arial"/>
          <w:color w:val="000000"/>
          <w:lang w:val="pt-BR"/>
        </w:rPr>
      </w:pPr>
      <w:r w:rsidRPr="00744A02">
        <w:rPr>
          <w:rFonts w:ascii="Arial" w:hAnsi="Arial" w:cs="Arial"/>
          <w:color w:val="000000"/>
          <w:lang w:val="pt-BR"/>
        </w:rPr>
        <w:t xml:space="preserve">Além das </w:t>
      </w:r>
      <w:r w:rsidR="00207A1A" w:rsidRPr="00A0383A">
        <w:rPr>
          <w:rFonts w:ascii="Arial" w:hAnsi="Arial" w:cs="Arial"/>
          <w:color w:val="000000"/>
          <w:lang w:val="pt-BR"/>
        </w:rPr>
        <w:t>88</w:t>
      </w:r>
      <w:r w:rsidRPr="00A0383A">
        <w:rPr>
          <w:rFonts w:ascii="Arial" w:hAnsi="Arial" w:cs="Arial"/>
          <w:color w:val="000000"/>
          <w:lang w:val="pt-BR"/>
        </w:rPr>
        <w:t xml:space="preserve"> recomendações do exercício de 2023</w:t>
      </w:r>
      <w:r w:rsidRPr="00744A02">
        <w:rPr>
          <w:rFonts w:ascii="Arial" w:hAnsi="Arial" w:cs="Arial"/>
          <w:color w:val="000000"/>
          <w:lang w:val="pt-BR"/>
        </w:rPr>
        <w:t xml:space="preserve"> que foram sanadas, também houve a regularização de </w:t>
      </w:r>
      <w:r w:rsidR="00207A1A" w:rsidRPr="00A0383A">
        <w:rPr>
          <w:rFonts w:ascii="Arial" w:hAnsi="Arial" w:cs="Arial"/>
          <w:color w:val="000000"/>
          <w:lang w:val="pt-BR"/>
        </w:rPr>
        <w:t>55</w:t>
      </w:r>
      <w:r w:rsidRPr="00A0383A">
        <w:rPr>
          <w:rFonts w:ascii="Arial" w:hAnsi="Arial" w:cs="Arial"/>
          <w:color w:val="000000"/>
          <w:lang w:val="pt-BR"/>
        </w:rPr>
        <w:t xml:space="preserve"> recomendações</w:t>
      </w:r>
      <w:r w:rsidRPr="00744A02">
        <w:rPr>
          <w:rFonts w:ascii="Arial" w:hAnsi="Arial" w:cs="Arial"/>
          <w:color w:val="000000"/>
          <w:lang w:val="pt-BR"/>
        </w:rPr>
        <w:t xml:space="preserve"> estruturantes de exercícios </w:t>
      </w:r>
      <w:r w:rsidRPr="00A0383A">
        <w:rPr>
          <w:rFonts w:ascii="Arial" w:hAnsi="Arial" w:cs="Arial"/>
          <w:color w:val="000000"/>
          <w:lang w:val="pt-BR"/>
        </w:rPr>
        <w:t>anteriores a 2023</w:t>
      </w:r>
      <w:r w:rsidRPr="00744A02">
        <w:rPr>
          <w:rFonts w:ascii="Arial" w:hAnsi="Arial" w:cs="Arial"/>
          <w:color w:val="000000"/>
          <w:lang w:val="pt-BR"/>
        </w:rPr>
        <w:t xml:space="preserve">, além da recuperação financeira superior a </w:t>
      </w:r>
      <w:r w:rsidR="00207A1A" w:rsidRPr="00A0383A">
        <w:rPr>
          <w:rFonts w:ascii="Arial" w:hAnsi="Arial" w:cs="Arial"/>
          <w:color w:val="000000"/>
          <w:lang w:val="pt-BR"/>
        </w:rPr>
        <w:t>4</w:t>
      </w:r>
      <w:r w:rsidRPr="00A0383A">
        <w:rPr>
          <w:rFonts w:ascii="Arial" w:hAnsi="Arial" w:cs="Arial"/>
          <w:color w:val="000000"/>
          <w:lang w:val="pt-BR"/>
        </w:rPr>
        <w:t xml:space="preserve"> mil</w:t>
      </w:r>
      <w:r w:rsidR="00207A1A" w:rsidRPr="00A0383A">
        <w:rPr>
          <w:rFonts w:ascii="Arial" w:hAnsi="Arial" w:cs="Arial"/>
          <w:color w:val="000000"/>
          <w:lang w:val="pt-BR"/>
        </w:rPr>
        <w:t>hões</w:t>
      </w:r>
      <w:r w:rsidRPr="00A0383A">
        <w:rPr>
          <w:rFonts w:ascii="Arial" w:hAnsi="Arial" w:cs="Arial"/>
          <w:color w:val="000000"/>
          <w:lang w:val="pt-BR"/>
        </w:rPr>
        <w:t xml:space="preserve"> reais</w:t>
      </w:r>
      <w:r w:rsidRPr="00744A02">
        <w:rPr>
          <w:rFonts w:ascii="Arial" w:hAnsi="Arial" w:cs="Arial"/>
          <w:color w:val="000000"/>
          <w:lang w:val="pt-BR"/>
        </w:rPr>
        <w:t>.</w:t>
      </w:r>
      <w:r w:rsidR="00207A1A">
        <w:rPr>
          <w:rFonts w:ascii="Arial" w:hAnsi="Arial" w:cs="Arial"/>
          <w:color w:val="000000"/>
          <w:lang w:val="pt-BR"/>
        </w:rPr>
        <w:t xml:space="preserve"> </w:t>
      </w:r>
    </w:p>
    <w:p w:rsidR="00CD5A24" w:rsidRDefault="00CD5A24" w:rsidP="00971217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rFonts w:ascii="Arial" w:hAnsi="Arial" w:cs="Arial"/>
          <w:color w:val="000000"/>
          <w:lang w:val="pt-BR"/>
        </w:rPr>
      </w:pPr>
    </w:p>
    <w:p w:rsidR="00971217" w:rsidRPr="00971217" w:rsidRDefault="00971217" w:rsidP="00971217">
      <w:pPr>
        <w:pStyle w:val="Pargrafoda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426"/>
        <w:jc w:val="both"/>
        <w:rPr>
          <w:rFonts w:ascii="Arial" w:hAnsi="Arial" w:cs="Arial"/>
          <w:b/>
          <w:i/>
          <w:color w:val="000000"/>
          <w:lang w:val="pt-BR"/>
        </w:rPr>
      </w:pPr>
      <w:r w:rsidRPr="00971217">
        <w:rPr>
          <w:rFonts w:ascii="Arial" w:hAnsi="Arial" w:cs="Arial"/>
          <w:b/>
          <w:i/>
          <w:color w:val="000000"/>
          <w:lang w:val="pt-BR"/>
        </w:rPr>
        <w:t xml:space="preserve">Processo de elaboração das informações contábeis e financeiras; </w:t>
      </w:r>
    </w:p>
    <w:p w:rsidR="00971217" w:rsidRDefault="00971217" w:rsidP="00971217">
      <w:pPr>
        <w:pStyle w:val="PargrafodaLista"/>
        <w:widowControl/>
        <w:autoSpaceDE/>
        <w:autoSpaceDN/>
        <w:spacing w:before="100" w:beforeAutospacing="1" w:after="100" w:afterAutospacing="1"/>
        <w:ind w:left="0" w:firstLine="1276"/>
        <w:jc w:val="both"/>
        <w:rPr>
          <w:rFonts w:ascii="Arial" w:hAnsi="Arial" w:cs="Arial"/>
          <w:color w:val="000000"/>
          <w:lang w:val="pt-BR"/>
        </w:rPr>
      </w:pPr>
      <w:r w:rsidRPr="00971217">
        <w:rPr>
          <w:rFonts w:ascii="Arial" w:hAnsi="Arial" w:cs="Arial"/>
          <w:color w:val="000000"/>
          <w:lang w:val="pt-BR"/>
        </w:rPr>
        <w:t>A AUDINT ao realizar trabalhos de auditagens nos controles internos relativos áreas contábil, patrimonial e financeira contribui para a adequação das informações a serem inseridas nas demonstrações financeiras trimestrais e anuais.</w:t>
      </w:r>
    </w:p>
    <w:p w:rsidR="00971217" w:rsidRPr="00971217" w:rsidRDefault="00971217" w:rsidP="00971217">
      <w:pPr>
        <w:pStyle w:val="Pargrafoda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426"/>
        <w:jc w:val="both"/>
        <w:rPr>
          <w:rFonts w:ascii="Arial" w:hAnsi="Arial" w:cs="Arial"/>
          <w:b/>
          <w:i/>
          <w:color w:val="000000"/>
          <w:lang w:val="pt-BR"/>
        </w:rPr>
      </w:pPr>
      <w:r w:rsidRPr="00971217">
        <w:rPr>
          <w:rFonts w:ascii="Arial" w:hAnsi="Arial" w:cs="Arial"/>
          <w:b/>
          <w:i/>
          <w:color w:val="000000"/>
          <w:lang w:val="pt-BR"/>
        </w:rPr>
        <w:lastRenderedPageBreak/>
        <w:t xml:space="preserve">Atingimento dos objetivos operacionais; </w:t>
      </w:r>
    </w:p>
    <w:p w:rsidR="00E71D92" w:rsidRDefault="00971217" w:rsidP="00E71D92">
      <w:pPr>
        <w:pStyle w:val="PargrafodaLista"/>
        <w:widowControl/>
        <w:autoSpaceDE/>
        <w:autoSpaceDN/>
        <w:spacing w:before="100" w:beforeAutospacing="1" w:after="100" w:afterAutospacing="1"/>
        <w:ind w:left="0" w:firstLine="1418"/>
        <w:jc w:val="both"/>
        <w:rPr>
          <w:rFonts w:ascii="Arial" w:hAnsi="Arial" w:cs="Arial"/>
          <w:color w:val="000000"/>
          <w:lang w:val="pt-BR"/>
        </w:rPr>
      </w:pPr>
      <w:r w:rsidRPr="00971217">
        <w:rPr>
          <w:rFonts w:ascii="Arial" w:hAnsi="Arial" w:cs="Arial"/>
          <w:color w:val="000000"/>
          <w:lang w:val="pt-BR"/>
        </w:rPr>
        <w:t>Com base nos resultados dos trabalhos de auditoria realiz</w:t>
      </w:r>
      <w:r>
        <w:rPr>
          <w:rFonts w:ascii="Arial" w:hAnsi="Arial" w:cs="Arial"/>
          <w:color w:val="000000"/>
          <w:lang w:val="pt-BR"/>
        </w:rPr>
        <w:t>ados no exercício de 2024</w:t>
      </w:r>
      <w:r w:rsidRPr="00971217">
        <w:rPr>
          <w:rFonts w:ascii="Arial" w:hAnsi="Arial" w:cs="Arial"/>
          <w:color w:val="000000"/>
          <w:lang w:val="pt-BR"/>
        </w:rPr>
        <w:t xml:space="preserve"> é possível inferir que o atingimento dos objetivos operacionais da Companhia é factível</w:t>
      </w:r>
      <w:r w:rsidR="00E71D92">
        <w:rPr>
          <w:rFonts w:ascii="Arial" w:hAnsi="Arial" w:cs="Arial"/>
          <w:color w:val="000000"/>
          <w:lang w:val="pt-BR"/>
        </w:rPr>
        <w:t>.</w:t>
      </w:r>
      <w:r w:rsidR="00E71D92" w:rsidRPr="00E71D92">
        <w:t xml:space="preserve"> </w:t>
      </w:r>
      <w:r w:rsidR="00E71D92" w:rsidRPr="00E71D92">
        <w:rPr>
          <w:rFonts w:ascii="Arial" w:hAnsi="Arial" w:cs="Arial"/>
          <w:color w:val="000000"/>
          <w:lang w:val="pt-BR"/>
        </w:rPr>
        <w:t>Entretanto, observou-se a necessidade de adoção de medidas corretivas e ações de melhoria nos controles internos, conforme evidenciado nas constatações e recomendações constantes nos relatórios de auditoria.</w:t>
      </w:r>
    </w:p>
    <w:p w:rsidR="00CD5A24" w:rsidRPr="00971217" w:rsidRDefault="00CD5A24" w:rsidP="00E71D92">
      <w:pPr>
        <w:pStyle w:val="PargrafodaLista"/>
        <w:widowControl/>
        <w:autoSpaceDE/>
        <w:autoSpaceDN/>
        <w:spacing w:before="100" w:beforeAutospacing="1" w:after="100" w:afterAutospacing="1"/>
        <w:ind w:left="0" w:firstLine="1418"/>
        <w:jc w:val="both"/>
        <w:rPr>
          <w:rFonts w:ascii="Arial" w:hAnsi="Arial" w:cs="Arial"/>
          <w:color w:val="000000"/>
          <w:lang w:val="pt-BR"/>
        </w:rPr>
      </w:pPr>
    </w:p>
    <w:p w:rsidR="00E71D92" w:rsidRPr="00E71D92" w:rsidRDefault="00971217" w:rsidP="00971217">
      <w:pPr>
        <w:widowControl/>
        <w:autoSpaceDE/>
        <w:autoSpaceDN/>
        <w:spacing w:before="100" w:beforeAutospacing="1" w:after="100" w:afterAutospacing="1"/>
        <w:jc w:val="both"/>
        <w:rPr>
          <w:rFonts w:ascii="Arial" w:hAnsi="Arial" w:cs="Arial"/>
          <w:b/>
          <w:i/>
          <w:color w:val="000000"/>
          <w:lang w:val="pt-BR"/>
        </w:rPr>
      </w:pPr>
      <w:r w:rsidRPr="00E71D92">
        <w:rPr>
          <w:rFonts w:ascii="Arial" w:hAnsi="Arial" w:cs="Arial"/>
          <w:b/>
          <w:i/>
          <w:color w:val="000000"/>
          <w:lang w:val="pt-BR"/>
        </w:rPr>
        <w:t xml:space="preserve">IV - CONCLUSÃO </w:t>
      </w:r>
    </w:p>
    <w:p w:rsidR="00E71D92" w:rsidRDefault="00971217" w:rsidP="00E71D92">
      <w:pPr>
        <w:widowControl/>
        <w:autoSpaceDE/>
        <w:autoSpaceDN/>
        <w:spacing w:before="100" w:beforeAutospacing="1" w:after="100" w:afterAutospacing="1"/>
        <w:ind w:firstLine="1418"/>
        <w:jc w:val="both"/>
        <w:rPr>
          <w:rFonts w:ascii="Arial" w:hAnsi="Arial" w:cs="Arial"/>
          <w:color w:val="000000"/>
          <w:lang w:val="pt-BR"/>
        </w:rPr>
      </w:pPr>
      <w:r w:rsidRPr="00E71D92">
        <w:rPr>
          <w:rFonts w:ascii="Arial" w:hAnsi="Arial" w:cs="Arial"/>
          <w:color w:val="000000"/>
          <w:lang w:val="pt-BR"/>
        </w:rPr>
        <w:t xml:space="preserve">Considerando o contido na Instrução Normativa SFC/CGU nº 05/2021 e com base nos trabalhos de auditoria previstos e executados no âmbito do PAINT, somos de opinião de que os processos de governança, gestão de riscos e de controles internos possuem segurança razoável, no entanto, devem ser adotadas as ações corretivas e de melhoria recomendadas. </w:t>
      </w:r>
    </w:p>
    <w:p w:rsidR="00971217" w:rsidRPr="00971217" w:rsidRDefault="00E71D92" w:rsidP="00E71D92">
      <w:pPr>
        <w:widowControl/>
        <w:autoSpaceDE/>
        <w:autoSpaceDN/>
        <w:spacing w:before="100" w:beforeAutospacing="1" w:after="100" w:afterAutospacing="1"/>
        <w:ind w:firstLine="1418"/>
        <w:jc w:val="both"/>
        <w:rPr>
          <w:rFonts w:ascii="Arial" w:hAnsi="Arial" w:cs="Arial"/>
          <w:color w:val="000000"/>
          <w:lang w:val="pt-BR"/>
        </w:rPr>
      </w:pPr>
      <w:r w:rsidRPr="00E71D92">
        <w:rPr>
          <w:rFonts w:ascii="Arial" w:hAnsi="Arial" w:cs="Arial"/>
          <w:color w:val="000000"/>
          <w:lang w:val="pt-BR"/>
        </w:rPr>
        <w:t>No que se refere à documentação da Prestação de Contas, verificou-se que os documentos estão devidamente disponibilizados no portal da CDRJ, em conformidade com a Inst</w:t>
      </w:r>
      <w:r>
        <w:rPr>
          <w:rFonts w:ascii="Arial" w:hAnsi="Arial" w:cs="Arial"/>
          <w:color w:val="000000"/>
          <w:lang w:val="pt-BR"/>
        </w:rPr>
        <w:t>rução Normativa TCU nº 84/2020.</w:t>
      </w:r>
    </w:p>
    <w:p w:rsidR="00E82DA2" w:rsidRDefault="008064BE">
      <w:pPr>
        <w:spacing w:before="48" w:line="690" w:lineRule="atLeast"/>
        <w:ind w:left="3941" w:right="4301" w:hanging="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</w:t>
      </w:r>
      <w:r w:rsidR="00D260AF">
        <w:rPr>
          <w:rFonts w:ascii="Arial"/>
          <w:b/>
          <w:sz w:val="20"/>
        </w:rPr>
        <w:t xml:space="preserve"> </w:t>
      </w:r>
      <w:r w:rsidR="00CD5A24">
        <w:rPr>
          <w:rFonts w:ascii="Arial"/>
          <w:b/>
          <w:sz w:val="20"/>
        </w:rPr>
        <w:t>29</w:t>
      </w:r>
      <w:r>
        <w:rPr>
          <w:rFonts w:ascii="Arial"/>
          <w:b/>
          <w:sz w:val="20"/>
        </w:rPr>
        <w:t>/0</w:t>
      </w:r>
      <w:r w:rsidR="00A0383A">
        <w:rPr>
          <w:rFonts w:ascii="Arial"/>
          <w:b/>
          <w:sz w:val="20"/>
        </w:rPr>
        <w:t>5</w:t>
      </w:r>
      <w:r>
        <w:rPr>
          <w:rFonts w:ascii="Arial"/>
          <w:b/>
          <w:sz w:val="20"/>
        </w:rPr>
        <w:t>/2025. DAYANE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LOBO</w:t>
      </w:r>
    </w:p>
    <w:p w:rsidR="00E82DA2" w:rsidRDefault="008064BE">
      <w:pPr>
        <w:spacing w:before="2"/>
        <w:ind w:left="4" w:right="3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Superintendente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AUDINT</w:t>
      </w:r>
    </w:p>
    <w:p w:rsidR="00E82DA2" w:rsidRDefault="00E82DA2" w:rsidP="00D53B3D">
      <w:pPr>
        <w:spacing w:before="82"/>
        <w:ind w:right="360"/>
        <w:jc w:val="center"/>
        <w:rPr>
          <w:rFonts w:ascii="Arial" w:hAnsi="Arial"/>
          <w:b/>
          <w:sz w:val="16"/>
        </w:rPr>
      </w:pPr>
    </w:p>
    <w:p w:rsidR="00CD5A24" w:rsidRDefault="00CD5A24" w:rsidP="00E71D92">
      <w:pPr>
        <w:spacing w:before="82"/>
        <w:ind w:right="360"/>
        <w:rPr>
          <w:b/>
          <w:u w:val="single"/>
        </w:rPr>
      </w:pPr>
    </w:p>
    <w:p w:rsidR="00CD5A24" w:rsidRPr="006D6740" w:rsidRDefault="00E71D92" w:rsidP="00E71D92">
      <w:pPr>
        <w:spacing w:before="82"/>
        <w:ind w:right="360"/>
        <w:rPr>
          <w:b/>
          <w:u w:val="single"/>
        </w:rPr>
      </w:pPr>
      <w:r w:rsidRPr="006D6740">
        <w:rPr>
          <w:b/>
          <w:u w:val="single"/>
        </w:rPr>
        <w:t>Fontes:</w:t>
      </w:r>
    </w:p>
    <w:p w:rsidR="00E71D92" w:rsidRDefault="006D6740" w:rsidP="00E71D92">
      <w:pPr>
        <w:spacing w:before="82"/>
        <w:ind w:right="360"/>
      </w:pPr>
      <w:r>
        <w:t>Relatório de Gestão 2024</w:t>
      </w:r>
    </w:p>
    <w:p w:rsidR="00CD5A24" w:rsidRDefault="009E36D2" w:rsidP="00E71D92">
      <w:pPr>
        <w:spacing w:before="82"/>
        <w:ind w:right="360"/>
      </w:pPr>
      <w:hyperlink r:id="rId13" w:history="1">
        <w:r w:rsidR="00CD5A24" w:rsidRPr="0043404B">
          <w:rPr>
            <w:rStyle w:val="Hyperlink"/>
          </w:rPr>
          <w:t>https://www.portosrio.gov.br/pt-br/acesso-a-informacao/institucional/relatorios-de-gestao</w:t>
        </w:r>
      </w:hyperlink>
    </w:p>
    <w:p w:rsidR="00CD5A24" w:rsidRDefault="00CD5A24" w:rsidP="00E71D92">
      <w:pPr>
        <w:spacing w:before="82"/>
        <w:ind w:right="360"/>
      </w:pPr>
    </w:p>
    <w:p w:rsidR="00E71D92" w:rsidRDefault="00E71D92" w:rsidP="00E71D92">
      <w:pPr>
        <w:spacing w:before="82"/>
        <w:ind w:right="360"/>
      </w:pPr>
      <w:r>
        <w:t xml:space="preserve">Demonstrações Financeiras trimestrais e anuais: </w:t>
      </w:r>
    </w:p>
    <w:p w:rsidR="00CD5A24" w:rsidRDefault="009E36D2" w:rsidP="00E71D92">
      <w:pPr>
        <w:spacing w:before="82"/>
        <w:ind w:right="360"/>
      </w:pPr>
      <w:hyperlink r:id="rId14" w:history="1">
        <w:r w:rsidR="00CD5A24" w:rsidRPr="0043404B">
          <w:rPr>
            <w:rStyle w:val="Hyperlink"/>
          </w:rPr>
          <w:t>https://www.portosrio.gov.br/pt-br/acesso-a-informacao/auditorias/demonstracoes-financeiras/detalhamento-2024</w:t>
        </w:r>
      </w:hyperlink>
    </w:p>
    <w:p w:rsidR="00CD5A24" w:rsidRDefault="00CD5A24" w:rsidP="00E71D92">
      <w:pPr>
        <w:spacing w:before="82"/>
        <w:ind w:right="360"/>
      </w:pPr>
    </w:p>
    <w:p w:rsidR="00E71D92" w:rsidRDefault="00E71D92" w:rsidP="00E71D92">
      <w:pPr>
        <w:spacing w:before="82"/>
        <w:ind w:right="360"/>
      </w:pPr>
      <w:r>
        <w:t>Plano</w:t>
      </w:r>
      <w:r w:rsidR="00CD5A24">
        <w:t xml:space="preserve"> Anual de Auditoria Interna 2024</w:t>
      </w:r>
      <w:r>
        <w:t xml:space="preserve"> (PAINT)</w:t>
      </w:r>
    </w:p>
    <w:p w:rsidR="00CD5A24" w:rsidRDefault="009E36D2" w:rsidP="00E71D92">
      <w:pPr>
        <w:spacing w:before="82"/>
        <w:ind w:right="360"/>
      </w:pPr>
      <w:hyperlink r:id="rId15" w:history="1">
        <w:r w:rsidR="00CD5A24" w:rsidRPr="0043404B">
          <w:rPr>
            <w:rStyle w:val="Hyperlink"/>
          </w:rPr>
          <w:t>https://www.portosrio.gov.br/pt-br/acesso-a-informacao/auditorias/paint/paint-2025</w:t>
        </w:r>
      </w:hyperlink>
    </w:p>
    <w:p w:rsidR="00CD5A24" w:rsidRDefault="00CD5A24" w:rsidP="00E71D92">
      <w:pPr>
        <w:spacing w:before="82"/>
        <w:ind w:right="360"/>
      </w:pPr>
    </w:p>
    <w:p w:rsidR="006D6740" w:rsidRDefault="00E71D92" w:rsidP="00E71D92">
      <w:pPr>
        <w:spacing w:before="82"/>
        <w:ind w:right="360"/>
      </w:pPr>
      <w:r>
        <w:t>Relatório Anual de Atividades de Audi</w:t>
      </w:r>
      <w:r w:rsidR="00CD5A24">
        <w:t>toria Interna de 2024</w:t>
      </w:r>
      <w:r>
        <w:t xml:space="preserve"> (RAINT)</w:t>
      </w:r>
    </w:p>
    <w:p w:rsidR="006D6740" w:rsidRDefault="009E36D2" w:rsidP="00E71D92">
      <w:pPr>
        <w:spacing w:before="82"/>
        <w:ind w:right="360"/>
      </w:pPr>
      <w:hyperlink r:id="rId16" w:history="1">
        <w:r w:rsidR="00CD5A24" w:rsidRPr="0043404B">
          <w:rPr>
            <w:rStyle w:val="Hyperlink"/>
          </w:rPr>
          <w:t>https://www.portosrio.gov.br/pt-br/acesso-a-informacao/auditorias/raint/raint-2024</w:t>
        </w:r>
      </w:hyperlink>
    </w:p>
    <w:p w:rsidR="00CD5A24" w:rsidRDefault="00CD5A24" w:rsidP="00E71D92">
      <w:pPr>
        <w:spacing w:before="82"/>
        <w:ind w:right="360"/>
      </w:pPr>
    </w:p>
    <w:p w:rsidR="006D6740" w:rsidRDefault="00E71D92" w:rsidP="00E71D92">
      <w:pPr>
        <w:spacing w:before="82"/>
        <w:ind w:right="360"/>
      </w:pPr>
      <w:r>
        <w:t xml:space="preserve">Rol de </w:t>
      </w:r>
      <w:r w:rsidR="00CD5A24">
        <w:t>Responsáveis – exercício de 2024</w:t>
      </w:r>
      <w:r>
        <w:t xml:space="preserve"> </w:t>
      </w:r>
    </w:p>
    <w:p w:rsidR="00CD5A24" w:rsidRDefault="009E36D2" w:rsidP="00E71D92">
      <w:pPr>
        <w:spacing w:before="82"/>
        <w:ind w:right="360"/>
        <w:rPr>
          <w:rFonts w:ascii="Arial" w:hAnsi="Arial"/>
          <w:b/>
          <w:sz w:val="16"/>
        </w:rPr>
      </w:pPr>
      <w:hyperlink r:id="rId17" w:history="1">
        <w:r w:rsidR="00CD5A24" w:rsidRPr="00CD5A24">
          <w:rPr>
            <w:rStyle w:val="Hyperlink"/>
          </w:rPr>
          <w:t>https://www.portosrio.gov.br/pt-br/acesso-a-informacao/auditorias/rol-de-responsaveis</w:t>
        </w:r>
      </w:hyperlink>
    </w:p>
    <w:sectPr w:rsidR="00CD5A24">
      <w:headerReference w:type="default" r:id="rId18"/>
      <w:footerReference w:type="default" r:id="rId19"/>
      <w:pgSz w:w="12240" w:h="15840"/>
      <w:pgMar w:top="1600" w:right="1080" w:bottom="280" w:left="1440" w:header="8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D2" w:rsidRDefault="009E36D2">
      <w:r>
        <w:separator/>
      </w:r>
    </w:p>
  </w:endnote>
  <w:endnote w:type="continuationSeparator" w:id="0">
    <w:p w:rsidR="009E36D2" w:rsidRDefault="009E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3D" w:rsidRPr="0033415C" w:rsidRDefault="0033415C" w:rsidP="00D53B3D">
    <w:pPr>
      <w:pStyle w:val="Rodap"/>
      <w:rPr>
        <w:color w:val="37A0D5"/>
        <w:sz w:val="20"/>
        <w:szCs w:val="20"/>
        <w:lang w:val="pt-BR"/>
      </w:rPr>
    </w:pPr>
    <w:r>
      <w:rPr>
        <w:noProof/>
        <w:color w:val="37A0D5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AE6FB8D" wp14:editId="1A4D3321">
              <wp:simplePos x="0" y="0"/>
              <wp:positionH relativeFrom="column">
                <wp:posOffset>-48260</wp:posOffset>
              </wp:positionH>
              <wp:positionV relativeFrom="paragraph">
                <wp:posOffset>97155</wp:posOffset>
              </wp:positionV>
              <wp:extent cx="6181725" cy="9525"/>
              <wp:effectExtent l="0" t="0" r="28575" b="28575"/>
              <wp:wrapNone/>
              <wp:docPr id="111" name="Conector reto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1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87F586" id="Conector reto 111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7.65pt" to="482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" strokecolor="#40a7c2 [3048]"/>
          </w:pict>
        </mc:Fallback>
      </mc:AlternateContent>
    </w:r>
  </w:p>
  <w:p w:rsidR="00D53B3D" w:rsidRPr="0033415C" w:rsidRDefault="00D53B3D" w:rsidP="00D53B3D">
    <w:pPr>
      <w:pStyle w:val="Rodap"/>
      <w:rPr>
        <w:b/>
        <w:color w:val="009999"/>
      </w:rPr>
    </w:pPr>
    <w:r w:rsidRPr="0033415C">
      <w:rPr>
        <w:b/>
        <w:color w:val="009999"/>
        <w:sz w:val="20"/>
        <w:szCs w:val="20"/>
        <w:lang w:val="pt-BR"/>
      </w:rPr>
      <w:t xml:space="preserve">Superintendência de Auditoria Interna                                                                                                                                              </w:t>
    </w:r>
    <w:r w:rsidRPr="0033415C">
      <w:rPr>
        <w:b/>
        <w:color w:val="009999"/>
        <w:sz w:val="20"/>
        <w:szCs w:val="20"/>
      </w:rPr>
      <w:fldChar w:fldCharType="begin"/>
    </w:r>
    <w:r w:rsidRPr="0033415C">
      <w:rPr>
        <w:b/>
        <w:color w:val="009999"/>
        <w:sz w:val="20"/>
        <w:szCs w:val="20"/>
      </w:rPr>
      <w:instrText>PAGE  \* Arabic</w:instrText>
    </w:r>
    <w:r w:rsidRPr="0033415C">
      <w:rPr>
        <w:b/>
        <w:color w:val="009999"/>
        <w:sz w:val="20"/>
        <w:szCs w:val="20"/>
      </w:rPr>
      <w:fldChar w:fldCharType="separate"/>
    </w:r>
    <w:r w:rsidR="00A75CF0">
      <w:rPr>
        <w:b/>
        <w:noProof/>
        <w:color w:val="009999"/>
        <w:sz w:val="20"/>
        <w:szCs w:val="20"/>
      </w:rPr>
      <w:t>6</w:t>
    </w:r>
    <w:r w:rsidRPr="0033415C">
      <w:rPr>
        <w:b/>
        <w:color w:val="009999"/>
        <w:sz w:val="20"/>
        <w:szCs w:val="20"/>
      </w:rPr>
      <w:fldChar w:fldCharType="end"/>
    </w:r>
  </w:p>
  <w:p w:rsidR="00D53B3D" w:rsidRPr="0033415C" w:rsidRDefault="00D53B3D">
    <w:pPr>
      <w:pStyle w:val="Rodap"/>
      <w:rPr>
        <w:color w:val="37A0D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D2" w:rsidRDefault="009E36D2">
      <w:r>
        <w:separator/>
      </w:r>
    </w:p>
  </w:footnote>
  <w:footnote w:type="continuationSeparator" w:id="0">
    <w:p w:rsidR="009E36D2" w:rsidRDefault="009E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A2" w:rsidRDefault="008064B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1" allowOverlap="1" wp14:anchorId="565A6D2D" wp14:editId="661B4D22">
          <wp:simplePos x="0" y="0"/>
          <wp:positionH relativeFrom="page">
            <wp:posOffset>3685073</wp:posOffset>
          </wp:positionH>
          <wp:positionV relativeFrom="page">
            <wp:posOffset>536535</wp:posOffset>
          </wp:positionV>
          <wp:extent cx="769502" cy="316676"/>
          <wp:effectExtent l="0" t="0" r="0" b="0"/>
          <wp:wrapNone/>
          <wp:docPr id="1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502" cy="31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6AFFDF" wp14:editId="63E6E4C7">
              <wp:simplePos x="0" y="0"/>
              <wp:positionH relativeFrom="page">
                <wp:posOffset>4627626</wp:posOffset>
              </wp:positionH>
              <wp:positionV relativeFrom="page">
                <wp:posOffset>741426</wp:posOffset>
              </wp:positionV>
              <wp:extent cx="2278380" cy="762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783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78380" h="7620">
                            <a:moveTo>
                              <a:pt x="0" y="7620"/>
                            </a:moveTo>
                            <a:lnTo>
                              <a:pt x="2278379" y="0"/>
                            </a:lnTo>
                          </a:path>
                        </a:pathLst>
                      </a:custGeom>
                      <a:ln w="19812">
                        <a:solidFill>
                          <a:srgbClr val="00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874B2" id="Graphic 2" o:spid="_x0000_s1026" style="position:absolute;margin-left:364.4pt;margin-top:58.4pt;width:179.4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783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" path="m,7620l2278379,e" filled="f" strokecolor="#099" strokeweight="1.5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BE38D2C" wp14:editId="53AB9385">
              <wp:simplePos x="0" y="0"/>
              <wp:positionH relativeFrom="page">
                <wp:posOffset>1219961</wp:posOffset>
              </wp:positionH>
              <wp:positionV relativeFrom="page">
                <wp:posOffset>758190</wp:posOffset>
              </wp:positionV>
              <wp:extent cx="2278380" cy="76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783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78380" h="7620">
                            <a:moveTo>
                              <a:pt x="0" y="7619"/>
                            </a:moveTo>
                            <a:lnTo>
                              <a:pt x="2278379" y="0"/>
                            </a:lnTo>
                          </a:path>
                        </a:pathLst>
                      </a:custGeom>
                      <a:ln w="19812">
                        <a:solidFill>
                          <a:srgbClr val="00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69E1C" id="Graphic 3" o:spid="_x0000_s1026" style="position:absolute;margin-left:96.05pt;margin-top:59.7pt;width:179.4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783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" path="m,7619l2278379,e" filled="f" strokecolor="#099" strokeweight="1.56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2CA"/>
    <w:multiLevelType w:val="multilevel"/>
    <w:tmpl w:val="8C004E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84CE1"/>
    <w:multiLevelType w:val="multilevel"/>
    <w:tmpl w:val="55F05AA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E6801"/>
    <w:multiLevelType w:val="hybridMultilevel"/>
    <w:tmpl w:val="7D5A8B60"/>
    <w:lvl w:ilvl="0" w:tplc="70B6587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7969FFC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26AE3BB4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DE9A5856">
      <w:numFmt w:val="bullet"/>
      <w:lvlText w:val="•"/>
      <w:lvlJc w:val="left"/>
      <w:pPr>
        <w:ind w:left="3602" w:hanging="360"/>
      </w:pPr>
      <w:rPr>
        <w:rFonts w:hint="default"/>
        <w:lang w:val="pt-PT" w:eastAsia="en-US" w:bidi="ar-SA"/>
      </w:rPr>
    </w:lvl>
    <w:lvl w:ilvl="4" w:tplc="4AD2C106">
      <w:numFmt w:val="bullet"/>
      <w:lvlText w:val="•"/>
      <w:lvlJc w:val="left"/>
      <w:pPr>
        <w:ind w:left="4476" w:hanging="360"/>
      </w:pPr>
      <w:rPr>
        <w:rFonts w:hint="default"/>
        <w:lang w:val="pt-PT" w:eastAsia="en-US" w:bidi="ar-SA"/>
      </w:rPr>
    </w:lvl>
    <w:lvl w:ilvl="5" w:tplc="7C1E0714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 w:tplc="DEC604C2">
      <w:numFmt w:val="bullet"/>
      <w:lvlText w:val="•"/>
      <w:lvlJc w:val="left"/>
      <w:pPr>
        <w:ind w:left="6224" w:hanging="360"/>
      </w:pPr>
      <w:rPr>
        <w:rFonts w:hint="default"/>
        <w:lang w:val="pt-PT" w:eastAsia="en-US" w:bidi="ar-SA"/>
      </w:rPr>
    </w:lvl>
    <w:lvl w:ilvl="7" w:tplc="CE786D02">
      <w:numFmt w:val="bullet"/>
      <w:lvlText w:val="•"/>
      <w:lvlJc w:val="left"/>
      <w:pPr>
        <w:ind w:left="7098" w:hanging="360"/>
      </w:pPr>
      <w:rPr>
        <w:rFonts w:hint="default"/>
        <w:lang w:val="pt-PT" w:eastAsia="en-US" w:bidi="ar-SA"/>
      </w:rPr>
    </w:lvl>
    <w:lvl w:ilvl="8" w:tplc="7FE61358">
      <w:numFmt w:val="bullet"/>
      <w:lvlText w:val="•"/>
      <w:lvlJc w:val="left"/>
      <w:pPr>
        <w:ind w:left="797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B2927AB"/>
    <w:multiLevelType w:val="multilevel"/>
    <w:tmpl w:val="26E811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03F8E"/>
    <w:multiLevelType w:val="multilevel"/>
    <w:tmpl w:val="C7FE12F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339AD"/>
    <w:multiLevelType w:val="multilevel"/>
    <w:tmpl w:val="A0D6A2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E7051"/>
    <w:multiLevelType w:val="multilevel"/>
    <w:tmpl w:val="536CBF5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A2"/>
    <w:rsid w:val="00036BBE"/>
    <w:rsid w:val="000E197A"/>
    <w:rsid w:val="00102041"/>
    <w:rsid w:val="0013786F"/>
    <w:rsid w:val="001C3EE0"/>
    <w:rsid w:val="00207A1A"/>
    <w:rsid w:val="00217DE1"/>
    <w:rsid w:val="00324F39"/>
    <w:rsid w:val="0033415C"/>
    <w:rsid w:val="0034449B"/>
    <w:rsid w:val="00391ACC"/>
    <w:rsid w:val="003F443E"/>
    <w:rsid w:val="00436ED5"/>
    <w:rsid w:val="0059439A"/>
    <w:rsid w:val="006B4F60"/>
    <w:rsid w:val="006D6740"/>
    <w:rsid w:val="00716BAB"/>
    <w:rsid w:val="00744A02"/>
    <w:rsid w:val="008064BE"/>
    <w:rsid w:val="008641D5"/>
    <w:rsid w:val="00887C42"/>
    <w:rsid w:val="008C158C"/>
    <w:rsid w:val="00925C89"/>
    <w:rsid w:val="00971217"/>
    <w:rsid w:val="00975AA3"/>
    <w:rsid w:val="009E36D2"/>
    <w:rsid w:val="00A0383A"/>
    <w:rsid w:val="00A75CF0"/>
    <w:rsid w:val="00AD1CCA"/>
    <w:rsid w:val="00BF2D3B"/>
    <w:rsid w:val="00CD5A24"/>
    <w:rsid w:val="00D260AF"/>
    <w:rsid w:val="00D53B3D"/>
    <w:rsid w:val="00D54DD7"/>
    <w:rsid w:val="00DF71E5"/>
    <w:rsid w:val="00E71D92"/>
    <w:rsid w:val="00E82DA2"/>
    <w:rsid w:val="00ED78FE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C9957-A1E7-4C36-A790-2F1EEBC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62"/>
      <w:jc w:val="both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qFormat/>
    <w:pPr>
      <w:spacing w:line="225" w:lineRule="exact"/>
      <w:ind w:left="9"/>
      <w:jc w:val="center"/>
    </w:pPr>
    <w:rPr>
      <w:rFonts w:ascii="Arial" w:eastAsia="Arial" w:hAnsi="Arial" w:cs="Arial"/>
    </w:rPr>
  </w:style>
  <w:style w:type="paragraph" w:customStyle="1" w:styleId="paragraph">
    <w:name w:val="paragraph"/>
    <w:basedOn w:val="Normal"/>
    <w:rsid w:val="005943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59439A"/>
  </w:style>
  <w:style w:type="character" w:customStyle="1" w:styleId="eop">
    <w:name w:val="eop"/>
    <w:basedOn w:val="Fontepargpadro"/>
    <w:rsid w:val="0059439A"/>
  </w:style>
  <w:style w:type="paragraph" w:styleId="Cabealho">
    <w:name w:val="header"/>
    <w:basedOn w:val="Normal"/>
    <w:link w:val="CabealhoChar"/>
    <w:uiPriority w:val="99"/>
    <w:unhideWhenUsed/>
    <w:rsid w:val="00594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43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4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39A"/>
    <w:rPr>
      <w:rFonts w:ascii="Calibri" w:eastAsia="Calibri" w:hAnsi="Calibri" w:cs="Calibri"/>
      <w:lang w:val="pt-PT"/>
    </w:rPr>
  </w:style>
  <w:style w:type="paragraph" w:styleId="SemEspaamento">
    <w:name w:val="No Spacing"/>
    <w:link w:val="SemEspaamentoChar"/>
    <w:uiPriority w:val="1"/>
    <w:qFormat/>
    <w:rsid w:val="00102041"/>
    <w:pPr>
      <w:widowControl/>
      <w:autoSpaceDE/>
      <w:autoSpaceDN/>
    </w:pPr>
    <w:rPr>
      <w:rFonts w:eastAsiaTheme="minorEastAsia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2041"/>
    <w:rPr>
      <w:rFonts w:eastAsiaTheme="minorEastAsia"/>
      <w:lang w:val="pt-BR" w:eastAsia="pt-BR"/>
    </w:rPr>
  </w:style>
  <w:style w:type="paragraph" w:customStyle="1" w:styleId="Default">
    <w:name w:val="Default"/>
    <w:rsid w:val="003F443E"/>
    <w:pPr>
      <w:widowControl/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92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925C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925C8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71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rtosrio.gov.br/pt-br/acesso-a-informacao/institucional/relatorios-de-gesta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portosrio.gov.br/pt-br/acesso-a-informacao/auditorias/rol-de-responsave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rtosrio.gov.br/pt-br/acesso-a-informacao/auditorias/raint/raint-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rtosrio.gov.br/pt-br/acesso-a-informacao/auditorias/paint/paint-2025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rtosrio.gov.br/pt-br/acesso-a-informacao/auditorias/demonstracoes-financeiras/detalhamento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   Disponível em: https://www.portosrio.gov.br/pt-br/acesso-a-informacao/auditorias/prestacao-de-contas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7" ma:contentTypeDescription="Crie um novo documento." ma:contentTypeScope="" ma:versionID="4ad393004801803dc50f64606de9b300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0498f58ff179af4d6bef67b1efe4fe22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7b34872-b2d3-4081-a603-2e5675413bbe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9F5F4-9C2E-4ABB-BD27-D10884637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7040C-81E8-47FD-9361-9E48145A7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1A465-BE2C-4788-8487-9281BACBADFD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5.xml><?xml version="1.0" encoding="utf-8"?>
<ds:datastoreItem xmlns:ds="http://schemas.openxmlformats.org/officeDocument/2006/customXml" ds:itemID="{294B59E0-E1E1-497D-8026-3EDCB69B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auitoria  Interna</vt:lpstr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auitoria  Interna</dc:title>
  <dc:creator>Superintendência de Auditoria Interna</dc:creator>
  <cp:lastModifiedBy>Dayane Aparecida Alves Lopes Lobo</cp:lastModifiedBy>
  <cp:revision>2</cp:revision>
  <cp:lastPrinted>2025-05-29T17:59:00Z</cp:lastPrinted>
  <dcterms:created xsi:type="dcterms:W3CDTF">2025-05-29T18:00:00Z</dcterms:created>
  <dcterms:modified xsi:type="dcterms:W3CDTF">2025-05-29T18:00:00Z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0x0101000F4FC0F825396146AE1CF83D92E7C0CD</vt:lpwstr>
  </property>
</Properties>
</file>