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F" w:rsidRPr="00B03145" w:rsidRDefault="00D842BF" w:rsidP="0012521A">
      <w:pPr>
        <w:pStyle w:val="Ttulo3"/>
        <w:ind w:left="142" w:firstLine="142"/>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CD6E64" w:rsidRDefault="00CD6E64">
      <w:pPr>
        <w:jc w:val="center"/>
        <w:rPr>
          <w:rFonts w:ascii="Calibri" w:hAnsi="Calibri" w:cs="Calibri"/>
          <w:sz w:val="22"/>
          <w:szCs w:val="22"/>
        </w:rPr>
      </w:pPr>
    </w:p>
    <w:p w:rsidR="00D31C2A" w:rsidRDefault="000133A1">
      <w:pPr>
        <w:jc w:val="center"/>
        <w:rPr>
          <w:rFonts w:ascii="Calibri" w:hAnsi="Calibri" w:cs="Calibri"/>
          <w:sz w:val="22"/>
          <w:szCs w:val="22"/>
        </w:rPr>
      </w:pPr>
      <w:r w:rsidRPr="000133A1">
        <w:rPr>
          <w:noProof/>
        </w:rPr>
        <w:drawing>
          <wp:inline distT="0" distB="0" distL="0" distR="0">
            <wp:extent cx="5876290" cy="54070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290" cy="5407025"/>
                    </a:xfrm>
                    <a:prstGeom prst="rect">
                      <a:avLst/>
                    </a:prstGeom>
                    <a:noFill/>
                    <a:ln>
                      <a:noFill/>
                    </a:ln>
                  </pic:spPr>
                </pic:pic>
              </a:graphicData>
            </a:graphic>
          </wp:inline>
        </w:drawing>
      </w: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0133A1">
      <w:pPr>
        <w:jc w:val="center"/>
        <w:rPr>
          <w:rFonts w:ascii="Calibri" w:hAnsi="Calibri" w:cs="Calibri"/>
          <w:sz w:val="22"/>
          <w:szCs w:val="22"/>
        </w:rPr>
      </w:pPr>
      <w:r w:rsidRPr="000133A1">
        <w:rPr>
          <w:noProof/>
        </w:rPr>
        <w:drawing>
          <wp:inline distT="0" distB="0" distL="0" distR="0">
            <wp:extent cx="6066790" cy="52082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790" cy="5208270"/>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2500FC" w:rsidRDefault="002500FC">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r w:rsidR="009762BE">
        <w:rPr>
          <w:rFonts w:ascii="Calibri" w:hAnsi="Calibri" w:cs="Calibri"/>
          <w:b/>
          <w:sz w:val="24"/>
          <w:szCs w:val="24"/>
        </w:rPr>
        <w:t xml:space="preserve"> DO EXERCÍCIO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8E4D82" w:rsidRDefault="008E4D82">
      <w:pPr>
        <w:jc w:val="center"/>
        <w:rPr>
          <w:rFonts w:ascii="Calibri" w:hAnsi="Calibri" w:cs="Calibri"/>
          <w:sz w:val="22"/>
          <w:szCs w:val="22"/>
        </w:rPr>
      </w:pPr>
    </w:p>
    <w:p w:rsidR="008E4D82" w:rsidRDefault="008E4D82">
      <w:pPr>
        <w:jc w:val="center"/>
        <w:rPr>
          <w:rFonts w:ascii="Calibri" w:hAnsi="Calibri" w:cs="Calibri"/>
          <w:sz w:val="22"/>
          <w:szCs w:val="22"/>
        </w:rPr>
      </w:pPr>
    </w:p>
    <w:p w:rsidR="008E4D82" w:rsidRDefault="000133A1">
      <w:pPr>
        <w:jc w:val="center"/>
        <w:rPr>
          <w:rFonts w:ascii="Calibri" w:hAnsi="Calibri" w:cs="Calibri"/>
          <w:sz w:val="22"/>
          <w:szCs w:val="22"/>
        </w:rPr>
      </w:pPr>
      <w:r w:rsidRPr="000133A1">
        <w:rPr>
          <w:noProof/>
        </w:rPr>
        <w:drawing>
          <wp:inline distT="0" distB="0" distL="0" distR="0">
            <wp:extent cx="6226175" cy="4413250"/>
            <wp:effectExtent l="0" t="0" r="3175"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6175" cy="4413250"/>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Default="008704BE">
      <w:pPr>
        <w:jc w:val="center"/>
        <w:rPr>
          <w:rFonts w:ascii="Calibri" w:hAnsi="Calibri" w:cs="Calibri"/>
          <w:sz w:val="22"/>
          <w:szCs w:val="22"/>
        </w:rPr>
      </w:pPr>
    </w:p>
    <w:p w:rsidR="002503C9" w:rsidRDefault="002503C9">
      <w:pPr>
        <w:jc w:val="center"/>
        <w:rPr>
          <w:rFonts w:ascii="Calibri" w:hAnsi="Calibri" w:cs="Calibri"/>
          <w:sz w:val="22"/>
          <w:szCs w:val="22"/>
        </w:rPr>
      </w:pPr>
    </w:p>
    <w:p w:rsidR="009A4EC2" w:rsidRDefault="009A4EC2">
      <w:pPr>
        <w:jc w:val="center"/>
        <w:rPr>
          <w:rFonts w:ascii="Calibri" w:hAnsi="Calibri" w:cs="Calibri"/>
          <w:sz w:val="22"/>
          <w:szCs w:val="22"/>
        </w:rPr>
      </w:pPr>
    </w:p>
    <w:p w:rsidR="009A4EC2" w:rsidRDefault="009A4EC2">
      <w:pPr>
        <w:jc w:val="center"/>
        <w:rPr>
          <w:rFonts w:ascii="Calibri" w:hAnsi="Calibri" w:cs="Calibri"/>
          <w:sz w:val="22"/>
          <w:szCs w:val="22"/>
        </w:rPr>
      </w:pPr>
    </w:p>
    <w:p w:rsidR="009A4EC2" w:rsidRPr="00A10DC2" w:rsidRDefault="009A4EC2">
      <w:pPr>
        <w:jc w:val="center"/>
        <w:rPr>
          <w:rFonts w:ascii="Calibri" w:hAnsi="Calibri" w:cs="Calibri"/>
          <w:sz w:val="22"/>
          <w:szCs w:val="22"/>
        </w:rPr>
      </w:pPr>
    </w:p>
    <w:p w:rsidR="00472724" w:rsidRDefault="00472724">
      <w:pPr>
        <w:jc w:val="center"/>
        <w:rPr>
          <w:rFonts w:ascii="Calibri" w:hAnsi="Calibri" w:cs="Calibri"/>
          <w:sz w:val="22"/>
          <w:szCs w:val="22"/>
        </w:rPr>
      </w:pPr>
    </w:p>
    <w:p w:rsidR="00184338" w:rsidRPr="00472724" w:rsidRDefault="00184338" w:rsidP="00184338">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184338" w:rsidRPr="00472724" w:rsidRDefault="00184338" w:rsidP="00184338">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Pr>
          <w:rFonts w:ascii="Calibri" w:hAnsi="Calibri" w:cs="Calibri"/>
          <w:b/>
          <w:sz w:val="24"/>
          <w:szCs w:val="24"/>
        </w:rPr>
        <w:t>RESULTADO A</w:t>
      </w:r>
      <w:r w:rsidR="0072175A">
        <w:rPr>
          <w:rFonts w:ascii="Calibri" w:hAnsi="Calibri" w:cs="Calibri"/>
          <w:b/>
          <w:sz w:val="24"/>
          <w:szCs w:val="24"/>
        </w:rPr>
        <w:t>B</w:t>
      </w:r>
      <w:r>
        <w:rPr>
          <w:rFonts w:ascii="Calibri" w:hAnsi="Calibri" w:cs="Calibri"/>
          <w:b/>
          <w:sz w:val="24"/>
          <w:szCs w:val="24"/>
        </w:rPr>
        <w:t>RANGENTE</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milhares de Reais)</w:t>
      </w:r>
    </w:p>
    <w:p w:rsidR="003C3422" w:rsidRDefault="003C3422">
      <w:pPr>
        <w:jc w:val="center"/>
        <w:rPr>
          <w:rFonts w:ascii="Calibri" w:hAnsi="Calibri" w:cs="Calibri"/>
          <w:sz w:val="24"/>
          <w:szCs w:val="24"/>
        </w:rPr>
      </w:pPr>
    </w:p>
    <w:p w:rsidR="00184338" w:rsidRDefault="00184338">
      <w:pPr>
        <w:jc w:val="center"/>
        <w:rPr>
          <w:rFonts w:ascii="Calibri" w:hAnsi="Calibri" w:cs="Calibri"/>
          <w:sz w:val="22"/>
          <w:szCs w:val="22"/>
        </w:rPr>
      </w:pPr>
    </w:p>
    <w:p w:rsidR="00E875D1" w:rsidRDefault="000133A1">
      <w:pPr>
        <w:jc w:val="center"/>
        <w:rPr>
          <w:rFonts w:ascii="Calibri" w:hAnsi="Calibri" w:cs="Calibri"/>
          <w:sz w:val="22"/>
          <w:szCs w:val="22"/>
        </w:rPr>
      </w:pPr>
      <w:r w:rsidRPr="000133A1">
        <w:rPr>
          <w:noProof/>
        </w:rPr>
        <w:drawing>
          <wp:inline distT="0" distB="0" distL="0" distR="0">
            <wp:extent cx="6226175" cy="1009650"/>
            <wp:effectExtent l="0" t="0" r="317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6175" cy="1009650"/>
                    </a:xfrm>
                    <a:prstGeom prst="rect">
                      <a:avLst/>
                    </a:prstGeom>
                    <a:noFill/>
                    <a:ln>
                      <a:noFill/>
                    </a:ln>
                  </pic:spPr>
                </pic:pic>
              </a:graphicData>
            </a:graphic>
          </wp:inline>
        </w:drawing>
      </w: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580FF6" w:rsidRDefault="00580FF6">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Pr="00AF538B" w:rsidRDefault="00184338" w:rsidP="00184338">
      <w:pPr>
        <w:pStyle w:val="Ttulo3"/>
        <w:rPr>
          <w:rFonts w:ascii="Calibri" w:hAnsi="Calibri" w:cs="Calibri"/>
          <w:sz w:val="24"/>
          <w:szCs w:val="24"/>
        </w:rPr>
      </w:pPr>
      <w:r w:rsidRPr="00AF538B">
        <w:rPr>
          <w:rFonts w:ascii="Calibri" w:hAnsi="Calibri" w:cs="Calibri"/>
          <w:b/>
          <w:bCs/>
          <w:sz w:val="24"/>
          <w:szCs w:val="24"/>
        </w:rPr>
        <w:lastRenderedPageBreak/>
        <w:t>COMPANHIA DOCAS DO RIO DE JANEIRO - CDRJ</w:t>
      </w:r>
      <w:r w:rsidRPr="00AF538B">
        <w:rPr>
          <w:rFonts w:ascii="Calibri" w:hAnsi="Calibri" w:cs="Calibri"/>
          <w:sz w:val="24"/>
          <w:szCs w:val="24"/>
        </w:rPr>
        <w:t xml:space="preserve"> </w:t>
      </w:r>
    </w:p>
    <w:p w:rsidR="00184338" w:rsidRPr="00AF538B" w:rsidRDefault="00184338" w:rsidP="00184338">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184338" w:rsidRDefault="00184338" w:rsidP="00184338">
      <w:pPr>
        <w:jc w:val="center"/>
        <w:rPr>
          <w:rFonts w:ascii="Calibri" w:hAnsi="Calibri" w:cs="Calibri"/>
          <w:sz w:val="22"/>
          <w:szCs w:val="22"/>
        </w:rPr>
      </w:pPr>
    </w:p>
    <w:p w:rsidR="00E875D1" w:rsidRDefault="00E875D1" w:rsidP="00184338">
      <w:pPr>
        <w:jc w:val="center"/>
        <w:rPr>
          <w:rFonts w:ascii="Calibri" w:hAnsi="Calibri" w:cs="Calibri"/>
          <w:sz w:val="22"/>
          <w:szCs w:val="22"/>
        </w:rPr>
      </w:pPr>
    </w:p>
    <w:p w:rsidR="00E875D1" w:rsidRDefault="000133A1" w:rsidP="00184338">
      <w:pPr>
        <w:jc w:val="center"/>
        <w:rPr>
          <w:rFonts w:ascii="Calibri" w:hAnsi="Calibri" w:cs="Calibri"/>
          <w:sz w:val="22"/>
          <w:szCs w:val="22"/>
        </w:rPr>
      </w:pPr>
      <w:r w:rsidRPr="000133A1">
        <w:rPr>
          <w:noProof/>
        </w:rPr>
        <w:drawing>
          <wp:inline distT="0" distB="0" distL="0" distR="0">
            <wp:extent cx="6336665" cy="2952885"/>
            <wp:effectExtent l="0" t="0" r="698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2952885"/>
                    </a:xfrm>
                    <a:prstGeom prst="rect">
                      <a:avLst/>
                    </a:prstGeom>
                    <a:noFill/>
                    <a:ln>
                      <a:noFill/>
                    </a:ln>
                  </pic:spPr>
                </pic:pic>
              </a:graphicData>
            </a:graphic>
          </wp:inline>
        </w:drawing>
      </w:r>
    </w:p>
    <w:p w:rsidR="00184338" w:rsidRDefault="00184338" w:rsidP="00184338">
      <w:pPr>
        <w:jc w:val="center"/>
        <w:rPr>
          <w:rFonts w:ascii="Calibri" w:hAnsi="Calibri" w:cs="Calibri"/>
          <w:sz w:val="22"/>
          <w:szCs w:val="22"/>
        </w:rPr>
      </w:pPr>
    </w:p>
    <w:p w:rsidR="00184338" w:rsidRDefault="00184338" w:rsidP="000A0483">
      <w:pPr>
        <w:pStyle w:val="Ttulo3"/>
        <w:rPr>
          <w:rFonts w:ascii="Calibri" w:hAnsi="Calibri" w:cs="Calibri"/>
          <w:b/>
          <w:bCs/>
          <w:sz w:val="24"/>
          <w:szCs w:val="24"/>
        </w:rPr>
      </w:pPr>
    </w:p>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0E32C9" w:rsidRDefault="000E32C9" w:rsidP="00184338"/>
    <w:p w:rsidR="00707B6E" w:rsidRDefault="00707B6E" w:rsidP="00184338"/>
    <w:p w:rsidR="00707B6E" w:rsidRDefault="00707B6E" w:rsidP="00184338"/>
    <w:p w:rsidR="00707B6E" w:rsidRDefault="00707B6E" w:rsidP="00184338"/>
    <w:p w:rsidR="00707B6E" w:rsidRDefault="00707B6E" w:rsidP="00184338"/>
    <w:p w:rsidR="00184338" w:rsidRPr="00184338" w:rsidRDefault="000A0483" w:rsidP="00184338">
      <w:pPr>
        <w:pStyle w:val="Ttulo3"/>
        <w:rPr>
          <w:rFonts w:ascii="Calibri" w:hAnsi="Calibri" w:cs="Calibri"/>
          <w:b/>
          <w:bCs/>
          <w:sz w:val="24"/>
          <w:szCs w:val="24"/>
        </w:rPr>
      </w:pPr>
      <w:r w:rsidRPr="00472724">
        <w:rPr>
          <w:rFonts w:ascii="Calibri" w:hAnsi="Calibri" w:cs="Calibri"/>
          <w:b/>
          <w:bCs/>
          <w:sz w:val="24"/>
          <w:szCs w:val="24"/>
        </w:rPr>
        <w:lastRenderedPageBreak/>
        <w:t xml:space="preserve">COMPANHIA DOCAS DO RIO DE JANEIRO </w:t>
      </w:r>
      <w:r w:rsidR="00184338">
        <w:rPr>
          <w:rFonts w:ascii="Calibri" w:hAnsi="Calibri" w:cs="Calibri"/>
          <w:b/>
          <w:bCs/>
          <w:sz w:val="24"/>
          <w:szCs w:val="24"/>
        </w:rPr>
        <w:t>–</w:t>
      </w:r>
      <w:r w:rsidRPr="00472724">
        <w:rPr>
          <w:rFonts w:ascii="Calibri" w:hAnsi="Calibri" w:cs="Calibri"/>
          <w:b/>
          <w:bCs/>
          <w:sz w:val="24"/>
          <w:szCs w:val="24"/>
        </w:rPr>
        <w:t xml:space="preserve">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FD3C01" w:rsidRDefault="00FD3C01" w:rsidP="00472724">
      <w:pPr>
        <w:jc w:val="center"/>
        <w:rPr>
          <w:rFonts w:ascii="Calibri" w:hAnsi="Calibri" w:cs="Calibri"/>
          <w:sz w:val="22"/>
          <w:szCs w:val="22"/>
        </w:rPr>
      </w:pPr>
    </w:p>
    <w:p w:rsidR="001D4F78" w:rsidRDefault="00D4531E" w:rsidP="00472724">
      <w:pPr>
        <w:jc w:val="center"/>
        <w:rPr>
          <w:rFonts w:ascii="Calibri" w:hAnsi="Calibri" w:cs="Calibri"/>
          <w:sz w:val="22"/>
          <w:szCs w:val="22"/>
        </w:rPr>
      </w:pPr>
      <w:r>
        <w:rPr>
          <w:noProof/>
        </w:rPr>
        <w:tab/>
      </w:r>
      <w:r w:rsidR="000133A1" w:rsidRPr="000133A1">
        <w:rPr>
          <w:noProof/>
        </w:rPr>
        <w:drawing>
          <wp:inline distT="0" distB="0" distL="0" distR="0">
            <wp:extent cx="5589905" cy="781621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905" cy="7816215"/>
                    </a:xfrm>
                    <a:prstGeom prst="rect">
                      <a:avLst/>
                    </a:prstGeom>
                    <a:noFill/>
                    <a:ln>
                      <a:noFill/>
                    </a:ln>
                  </pic:spPr>
                </pic:pic>
              </a:graphicData>
            </a:graphic>
          </wp:inline>
        </w:drawing>
      </w:r>
    </w:p>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lastRenderedPageBreak/>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171E69" w:rsidRDefault="00171E69" w:rsidP="00215501">
      <w:pPr>
        <w:jc w:val="center"/>
        <w:rPr>
          <w:rFonts w:ascii="Calibri" w:hAnsi="Calibri" w:cs="Calibri"/>
          <w:sz w:val="22"/>
          <w:szCs w:val="22"/>
        </w:rPr>
      </w:pPr>
    </w:p>
    <w:p w:rsidR="00171E69" w:rsidRDefault="000133A1" w:rsidP="00215501">
      <w:pPr>
        <w:jc w:val="center"/>
        <w:rPr>
          <w:rFonts w:ascii="Calibri" w:hAnsi="Calibri" w:cs="Calibri"/>
          <w:sz w:val="22"/>
          <w:szCs w:val="22"/>
        </w:rPr>
      </w:pPr>
      <w:r w:rsidRPr="000133A1">
        <w:rPr>
          <w:noProof/>
        </w:rPr>
        <w:drawing>
          <wp:inline distT="0" distB="0" distL="0" distR="0">
            <wp:extent cx="6066790" cy="7728585"/>
            <wp:effectExtent l="0" t="0" r="0" b="571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6790" cy="7728585"/>
                    </a:xfrm>
                    <a:prstGeom prst="rect">
                      <a:avLst/>
                    </a:prstGeom>
                    <a:noFill/>
                    <a:ln>
                      <a:noFill/>
                    </a:ln>
                  </pic:spPr>
                </pic:pic>
              </a:graphicData>
            </a:graphic>
          </wp:inline>
        </w:drawing>
      </w:r>
    </w:p>
    <w:p w:rsidR="004044C2" w:rsidRDefault="004044C2" w:rsidP="00215501">
      <w:pPr>
        <w:jc w:val="center"/>
        <w:rPr>
          <w:rFonts w:ascii="Calibri" w:hAnsi="Calibri" w:cs="Calibri"/>
          <w:sz w:val="22"/>
          <w:szCs w:val="22"/>
        </w:rPr>
      </w:pP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lastRenderedPageBreak/>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E42EDB" w:rsidP="00C16DDB">
      <w:pPr>
        <w:pStyle w:val="Ttulo9"/>
        <w:jc w:val="center"/>
        <w:rPr>
          <w:rFonts w:ascii="Calibri" w:hAnsi="Calibri" w:cs="Calibri"/>
          <w:b w:val="0"/>
          <w:sz w:val="24"/>
          <w:szCs w:val="24"/>
        </w:rPr>
      </w:pPr>
      <w:r>
        <w:rPr>
          <w:rFonts w:ascii="Calibri" w:hAnsi="Calibri" w:cs="Calibri"/>
          <w:b w:val="0"/>
          <w:sz w:val="24"/>
          <w:szCs w:val="24"/>
        </w:rPr>
        <w:t>Exercícios findos em 31 de dezembro de 20</w:t>
      </w:r>
      <w:r w:rsidR="004044C2">
        <w:rPr>
          <w:rFonts w:ascii="Calibri" w:hAnsi="Calibri" w:cs="Calibri"/>
          <w:b w:val="0"/>
          <w:sz w:val="24"/>
          <w:szCs w:val="24"/>
        </w:rPr>
        <w:t>20</w:t>
      </w:r>
      <w:r>
        <w:rPr>
          <w:rFonts w:ascii="Calibri" w:hAnsi="Calibri" w:cs="Calibri"/>
          <w:b w:val="0"/>
          <w:sz w:val="24"/>
          <w:szCs w:val="24"/>
        </w:rPr>
        <w:t xml:space="preserve"> e</w:t>
      </w:r>
      <w:r w:rsidR="00905F4A">
        <w:rPr>
          <w:rFonts w:ascii="Calibri" w:hAnsi="Calibri" w:cs="Calibri"/>
          <w:b w:val="0"/>
          <w:sz w:val="24"/>
          <w:szCs w:val="24"/>
        </w:rPr>
        <w:t xml:space="preserve"> 31 de dezembro de </w:t>
      </w:r>
      <w:r>
        <w:rPr>
          <w:rFonts w:ascii="Calibri" w:hAnsi="Calibri" w:cs="Calibri"/>
          <w:b w:val="0"/>
          <w:sz w:val="24"/>
          <w:szCs w:val="24"/>
        </w:rPr>
        <w:t>201</w:t>
      </w:r>
      <w:r w:rsidR="004044C2">
        <w:rPr>
          <w:rFonts w:ascii="Calibri" w:hAnsi="Calibri" w:cs="Calibri"/>
          <w:b w:val="0"/>
          <w:sz w:val="24"/>
          <w:szCs w:val="24"/>
        </w:rPr>
        <w:t>9</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w:t>
      </w:r>
      <w:r w:rsidR="008A71CD">
        <w:rPr>
          <w:rFonts w:ascii="Calibri" w:hAnsi="Calibri" w:cs="Calibri"/>
          <w:color w:val="auto"/>
        </w:rPr>
        <w:t>doravante denominada “CDRJ” ou “Companhia”</w:t>
      </w:r>
      <w:r w:rsidR="003924AB">
        <w:rPr>
          <w:rFonts w:ascii="Calibri" w:hAnsi="Calibri" w:cs="Calibri"/>
          <w:color w:val="auto"/>
        </w:rPr>
        <w:t>,</w:t>
      </w:r>
      <w:r w:rsidR="008A71CD">
        <w:rPr>
          <w:rFonts w:ascii="Calibri" w:hAnsi="Calibri" w:cs="Calibri"/>
          <w:color w:val="auto"/>
        </w:rPr>
        <w:t xml:space="preserve"> </w:t>
      </w:r>
      <w:r w:rsidRPr="00312424">
        <w:rPr>
          <w:rFonts w:ascii="Calibri" w:hAnsi="Calibri" w:cs="Calibri"/>
          <w:color w:val="auto"/>
        </w:rPr>
        <w:t xml:space="preserve">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xml:space="preserve">, a administração e exploração comercial dos portos organizados e demais instalações portuárias do Estado </w:t>
      </w:r>
      <w:r w:rsidR="00E37661">
        <w:rPr>
          <w:rFonts w:ascii="Calibri" w:hAnsi="Calibri" w:cs="Calibri"/>
          <w:color w:val="auto"/>
        </w:rPr>
        <w:t>do Rio de Janeiro</w:t>
      </w:r>
      <w:r w:rsidRPr="00312424">
        <w:rPr>
          <w:rFonts w:ascii="Calibri" w:hAnsi="Calibri" w:cs="Calibri"/>
          <w:color w:val="auto"/>
        </w:rPr>
        <w:t>.</w:t>
      </w:r>
    </w:p>
    <w:p w:rsidR="00184338" w:rsidRDefault="00184338" w:rsidP="00C16DDB">
      <w:pPr>
        <w:pStyle w:val="Default"/>
        <w:jc w:val="both"/>
        <w:rPr>
          <w:rFonts w:ascii="Calibri" w:hAnsi="Calibri" w:cs="Calibri"/>
          <w:color w:val="auto"/>
        </w:rPr>
      </w:pPr>
    </w:p>
    <w:p w:rsidR="00184338" w:rsidRPr="00184338" w:rsidRDefault="00184338" w:rsidP="00184338">
      <w:pPr>
        <w:pStyle w:val="Default"/>
        <w:numPr>
          <w:ilvl w:val="1"/>
          <w:numId w:val="17"/>
        </w:numPr>
        <w:jc w:val="both"/>
        <w:rPr>
          <w:rFonts w:ascii="Calibri" w:hAnsi="Calibri" w:cs="Calibri"/>
          <w:b/>
          <w:color w:val="auto"/>
        </w:rPr>
      </w:pPr>
      <w:r w:rsidRPr="00184338">
        <w:rPr>
          <w:rFonts w:ascii="Calibri" w:hAnsi="Calibri" w:cs="Calibri"/>
          <w:b/>
          <w:color w:val="auto"/>
        </w:rPr>
        <w:t xml:space="preserve">   Continuidade Operacional</w:t>
      </w:r>
    </w:p>
    <w:p w:rsidR="00184338" w:rsidRDefault="00184338" w:rsidP="00184338">
      <w:pPr>
        <w:pStyle w:val="Default"/>
        <w:jc w:val="both"/>
        <w:rPr>
          <w:rFonts w:ascii="Calibri" w:hAnsi="Calibri" w:cs="Calibri"/>
          <w:color w:val="auto"/>
        </w:rPr>
      </w:pPr>
    </w:p>
    <w:p w:rsidR="00226799" w:rsidRDefault="00226799"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As demonstrações financeiras da CDRJ foram preparadas no pressuposto da continuidade normal de suas operações.</w:t>
      </w:r>
    </w:p>
    <w:p w:rsidR="00226799" w:rsidRDefault="00226799" w:rsidP="00184338">
      <w:pPr>
        <w:pStyle w:val="Recuodecorpodetexto"/>
        <w:widowControl/>
        <w:autoSpaceDE w:val="0"/>
        <w:autoSpaceDN w:val="0"/>
        <w:ind w:left="851"/>
        <w:rPr>
          <w:rFonts w:ascii="Calibri" w:hAnsi="Calibri" w:cs="Calibri"/>
          <w:szCs w:val="24"/>
          <w:lang w:val="pt-BR"/>
        </w:rPr>
      </w:pPr>
    </w:p>
    <w:p w:rsidR="00226799" w:rsidRDefault="00226799"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Conforme apresentado nos relatórios, a CDRJ incorreu, no exercício findo em 31 de dezembro de 20</w:t>
      </w:r>
      <w:r w:rsidR="004044C2">
        <w:rPr>
          <w:rFonts w:ascii="Calibri" w:hAnsi="Calibri" w:cs="Calibri"/>
          <w:szCs w:val="24"/>
          <w:lang w:val="pt-BR"/>
        </w:rPr>
        <w:t>20</w:t>
      </w:r>
      <w:r>
        <w:rPr>
          <w:rFonts w:ascii="Calibri" w:hAnsi="Calibri" w:cs="Calibri"/>
          <w:szCs w:val="24"/>
          <w:lang w:val="pt-BR"/>
        </w:rPr>
        <w:t xml:space="preserve">, em </w:t>
      </w:r>
      <w:r w:rsidR="004044C2">
        <w:rPr>
          <w:rFonts w:ascii="Calibri" w:hAnsi="Calibri" w:cs="Calibri"/>
          <w:szCs w:val="24"/>
          <w:lang w:val="pt-BR"/>
        </w:rPr>
        <w:t>prejuízo</w:t>
      </w:r>
      <w:r>
        <w:rPr>
          <w:rFonts w:ascii="Calibri" w:hAnsi="Calibri" w:cs="Calibri"/>
          <w:szCs w:val="24"/>
          <w:lang w:val="pt-BR"/>
        </w:rPr>
        <w:t xml:space="preserve"> no montante de R$ </w:t>
      </w:r>
      <w:r w:rsidR="000133A1">
        <w:rPr>
          <w:rFonts w:ascii="Calibri" w:hAnsi="Calibri" w:cs="Calibri"/>
          <w:szCs w:val="24"/>
          <w:lang w:val="pt-BR"/>
        </w:rPr>
        <w:t>14</w:t>
      </w:r>
      <w:r w:rsidR="004044C2">
        <w:rPr>
          <w:rFonts w:ascii="Calibri" w:hAnsi="Calibri" w:cs="Calibri"/>
          <w:szCs w:val="24"/>
          <w:lang w:val="pt-BR"/>
        </w:rPr>
        <w:t>.</w:t>
      </w:r>
      <w:r w:rsidR="000133A1">
        <w:rPr>
          <w:rFonts w:ascii="Calibri" w:hAnsi="Calibri" w:cs="Calibri"/>
          <w:szCs w:val="24"/>
          <w:lang w:val="pt-BR"/>
        </w:rPr>
        <w:t>253</w:t>
      </w:r>
      <w:r>
        <w:rPr>
          <w:rFonts w:ascii="Calibri" w:hAnsi="Calibri" w:cs="Calibri"/>
          <w:szCs w:val="24"/>
          <w:lang w:val="pt-BR"/>
        </w:rPr>
        <w:t xml:space="preserve"> mil (</w:t>
      </w:r>
      <w:r w:rsidR="004044C2">
        <w:rPr>
          <w:rFonts w:ascii="Calibri" w:hAnsi="Calibri" w:cs="Calibri"/>
          <w:szCs w:val="24"/>
          <w:lang w:val="pt-BR"/>
        </w:rPr>
        <w:t>lucro de R$ 947.892 mil</w:t>
      </w:r>
      <w:r>
        <w:rPr>
          <w:rFonts w:ascii="Calibri" w:hAnsi="Calibri" w:cs="Calibri"/>
          <w:szCs w:val="24"/>
          <w:lang w:val="pt-BR"/>
        </w:rPr>
        <w:t xml:space="preserve"> em 31 de dezembro de 201</w:t>
      </w:r>
      <w:r w:rsidR="004044C2">
        <w:rPr>
          <w:rFonts w:ascii="Calibri" w:hAnsi="Calibri" w:cs="Calibri"/>
          <w:szCs w:val="24"/>
          <w:lang w:val="pt-BR"/>
        </w:rPr>
        <w:t>9</w:t>
      </w:r>
      <w:r>
        <w:rPr>
          <w:rFonts w:ascii="Calibri" w:hAnsi="Calibri" w:cs="Calibri"/>
          <w:szCs w:val="24"/>
          <w:lang w:val="pt-BR"/>
        </w:rPr>
        <w:t>), em especial pelo re</w:t>
      </w:r>
      <w:r w:rsidR="004044C2">
        <w:rPr>
          <w:rFonts w:ascii="Calibri" w:hAnsi="Calibri" w:cs="Calibri"/>
          <w:szCs w:val="24"/>
          <w:lang w:val="pt-BR"/>
        </w:rPr>
        <w:t>sultado financeiro</w:t>
      </w:r>
      <w:r w:rsidR="000E535D">
        <w:rPr>
          <w:rFonts w:ascii="Calibri" w:hAnsi="Calibri" w:cs="Calibri"/>
          <w:szCs w:val="24"/>
          <w:lang w:val="pt-BR"/>
        </w:rPr>
        <w:t>.</w:t>
      </w:r>
    </w:p>
    <w:p w:rsidR="00226799" w:rsidRDefault="00226799" w:rsidP="00184338">
      <w:pPr>
        <w:pStyle w:val="Recuodecorpodetexto"/>
        <w:widowControl/>
        <w:autoSpaceDE w:val="0"/>
        <w:autoSpaceDN w:val="0"/>
        <w:ind w:left="851"/>
        <w:rPr>
          <w:rFonts w:ascii="Calibri" w:hAnsi="Calibri" w:cs="Calibri"/>
          <w:szCs w:val="24"/>
          <w:lang w:val="pt-BR"/>
        </w:rPr>
      </w:pPr>
    </w:p>
    <w:p w:rsidR="004044C2" w:rsidRDefault="00226799"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 xml:space="preserve">Embora a CDRJ possua natureza jurídica de empresa pública não sujeita às regras de falência </w:t>
      </w:r>
      <w:r w:rsidR="00981AFC">
        <w:rPr>
          <w:rFonts w:ascii="Calibri" w:hAnsi="Calibri" w:cs="Calibri"/>
          <w:szCs w:val="24"/>
          <w:lang w:val="pt-BR"/>
        </w:rPr>
        <w:t xml:space="preserve">e recuperação de empresas, as suas atividades passaram por um processo de reestruturação operacional e financeira, por meio do qual a Administração tomou medidas que visam o equacionamento dos resultados, otimizar custos e despesas com o objetivo de alcançar o equilíbrio do capital circulante líquido e recuperar a lucratividade das operações. </w:t>
      </w:r>
    </w:p>
    <w:p w:rsidR="004044C2" w:rsidRDefault="004044C2" w:rsidP="00184338">
      <w:pPr>
        <w:pStyle w:val="Recuodecorpodetexto"/>
        <w:widowControl/>
        <w:autoSpaceDE w:val="0"/>
        <w:autoSpaceDN w:val="0"/>
        <w:ind w:left="851"/>
        <w:rPr>
          <w:rFonts w:ascii="Calibri" w:hAnsi="Calibri" w:cs="Calibri"/>
          <w:szCs w:val="24"/>
          <w:lang w:val="pt-BR"/>
        </w:rPr>
      </w:pPr>
    </w:p>
    <w:p w:rsidR="00226799" w:rsidRDefault="00981AFC"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 xml:space="preserve">O Conselho de Administração, em sua 741ª reunião, de 8 de junho de 2020, </w:t>
      </w:r>
      <w:r w:rsidR="004044C2">
        <w:rPr>
          <w:rFonts w:ascii="Calibri" w:hAnsi="Calibri" w:cs="Calibri"/>
          <w:szCs w:val="24"/>
          <w:lang w:val="pt-BR"/>
        </w:rPr>
        <w:t xml:space="preserve">deliberou pela “Aprovação do Plano de Redução de Despesas, com a ressalva de que </w:t>
      </w:r>
      <w:r w:rsidR="00F5054E">
        <w:rPr>
          <w:rFonts w:ascii="Calibri" w:hAnsi="Calibri" w:cs="Calibri"/>
          <w:szCs w:val="24"/>
          <w:lang w:val="pt-BR"/>
        </w:rPr>
        <w:t>o</w:t>
      </w:r>
      <w:r>
        <w:rPr>
          <w:rFonts w:ascii="Calibri" w:hAnsi="Calibri" w:cs="Calibri"/>
          <w:szCs w:val="24"/>
          <w:lang w:val="pt-BR"/>
        </w:rPr>
        <w:t xml:space="preserve"> plano </w:t>
      </w:r>
      <w:r w:rsidR="004044C2">
        <w:rPr>
          <w:rFonts w:ascii="Calibri" w:hAnsi="Calibri" w:cs="Calibri"/>
          <w:szCs w:val="24"/>
          <w:lang w:val="pt-BR"/>
        </w:rPr>
        <w:t xml:space="preserve">apresentado pela DIREXE não demonstrou abordar de maneira exaustiva as possibilidades de </w:t>
      </w:r>
      <w:r>
        <w:rPr>
          <w:rFonts w:ascii="Calibri" w:hAnsi="Calibri" w:cs="Calibri"/>
          <w:szCs w:val="24"/>
          <w:lang w:val="pt-BR"/>
        </w:rPr>
        <w:t>reduç</w:t>
      </w:r>
      <w:r w:rsidR="00F5054E">
        <w:rPr>
          <w:rFonts w:ascii="Calibri" w:hAnsi="Calibri" w:cs="Calibri"/>
          <w:szCs w:val="24"/>
          <w:lang w:val="pt-BR"/>
        </w:rPr>
        <w:t xml:space="preserve">ão de </w:t>
      </w:r>
      <w:r w:rsidR="004044C2">
        <w:rPr>
          <w:rFonts w:ascii="Calibri" w:hAnsi="Calibri" w:cs="Calibri"/>
          <w:szCs w:val="24"/>
          <w:lang w:val="pt-BR"/>
        </w:rPr>
        <w:t>gastos da empresa...”</w:t>
      </w:r>
      <w:r w:rsidR="00F5054E">
        <w:rPr>
          <w:rFonts w:ascii="Calibri" w:hAnsi="Calibri" w:cs="Calibri"/>
          <w:szCs w:val="24"/>
          <w:lang w:val="pt-BR"/>
        </w:rPr>
        <w:t>.</w:t>
      </w:r>
    </w:p>
    <w:p w:rsidR="00226799" w:rsidRDefault="00226799" w:rsidP="00184338">
      <w:pPr>
        <w:pStyle w:val="Recuodecorpodetexto"/>
        <w:widowControl/>
        <w:autoSpaceDE w:val="0"/>
        <w:autoSpaceDN w:val="0"/>
        <w:ind w:left="851"/>
        <w:rPr>
          <w:rFonts w:ascii="Calibri" w:hAnsi="Calibri" w:cs="Calibri"/>
          <w:szCs w:val="24"/>
          <w:lang w:val="pt-BR"/>
        </w:rPr>
      </w:pPr>
    </w:p>
    <w:p w:rsidR="00C16DDB" w:rsidRPr="00921985" w:rsidRDefault="00C16DDB"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B9551E"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w:t>
      </w:r>
      <w:r w:rsidR="00B9551E">
        <w:rPr>
          <w:rFonts w:ascii="Calibri" w:hAnsi="Calibri" w:cs="Calibri"/>
          <w:sz w:val="24"/>
          <w:szCs w:val="24"/>
        </w:rPr>
        <w:t>.</w:t>
      </w:r>
    </w:p>
    <w:p w:rsidR="00B9551E" w:rsidRDefault="00B9551E" w:rsidP="00C16DDB">
      <w:pPr>
        <w:tabs>
          <w:tab w:val="left" w:pos="2552"/>
        </w:tabs>
        <w:jc w:val="both"/>
        <w:rPr>
          <w:rFonts w:ascii="Calibri" w:hAnsi="Calibri" w:cs="Calibri"/>
          <w:sz w:val="24"/>
          <w:szCs w:val="24"/>
        </w:rPr>
      </w:pPr>
    </w:p>
    <w:p w:rsidR="00B9551E" w:rsidRPr="00B9551E" w:rsidRDefault="00B9551E" w:rsidP="00B9551E">
      <w:pPr>
        <w:pStyle w:val="PargrafodaLista"/>
        <w:numPr>
          <w:ilvl w:val="1"/>
          <w:numId w:val="25"/>
        </w:numPr>
        <w:tabs>
          <w:tab w:val="left" w:pos="284"/>
        </w:tabs>
        <w:spacing w:after="0" w:line="240" w:lineRule="auto"/>
        <w:ind w:left="709" w:hanging="425"/>
        <w:contextualSpacing w:val="0"/>
        <w:jc w:val="both"/>
        <w:rPr>
          <w:rFonts w:cs="Calibri"/>
          <w:b/>
          <w:bCs/>
          <w:sz w:val="24"/>
          <w:szCs w:val="24"/>
        </w:rPr>
      </w:pPr>
      <w:r w:rsidRPr="00B9551E">
        <w:rPr>
          <w:rFonts w:cs="Calibri"/>
          <w:b/>
          <w:bCs/>
          <w:sz w:val="24"/>
          <w:szCs w:val="24"/>
        </w:rPr>
        <w:lastRenderedPageBreak/>
        <w:t xml:space="preserve">  Moeda funcional e moeda de apresentação</w:t>
      </w:r>
    </w:p>
    <w:p w:rsidR="00B9551E" w:rsidRPr="00B9551E" w:rsidRDefault="00B9551E" w:rsidP="00B9551E">
      <w:pPr>
        <w:pStyle w:val="PargrafodaLista"/>
        <w:tabs>
          <w:tab w:val="left" w:pos="142"/>
          <w:tab w:val="left" w:pos="426"/>
        </w:tabs>
        <w:spacing w:after="0" w:line="240" w:lineRule="auto"/>
        <w:ind w:left="709"/>
        <w:contextualSpacing w:val="0"/>
        <w:jc w:val="both"/>
        <w:rPr>
          <w:rFonts w:cs="Calibri"/>
          <w:b/>
          <w:bCs/>
          <w:sz w:val="24"/>
          <w:szCs w:val="24"/>
        </w:rPr>
      </w:pPr>
    </w:p>
    <w:p w:rsidR="00B9551E" w:rsidRPr="00B9551E" w:rsidRDefault="00B9551E" w:rsidP="00B9551E">
      <w:pPr>
        <w:pStyle w:val="PargrafodaLista"/>
        <w:spacing w:after="0" w:line="240" w:lineRule="auto"/>
        <w:ind w:left="851"/>
        <w:jc w:val="both"/>
        <w:rPr>
          <w:rFonts w:cs="Calibri"/>
          <w:sz w:val="24"/>
          <w:szCs w:val="24"/>
        </w:rPr>
      </w:pPr>
      <w:r w:rsidRPr="00B9551E">
        <w:rPr>
          <w:rFonts w:cs="Calibri"/>
          <w:sz w:val="24"/>
          <w:szCs w:val="24"/>
        </w:rPr>
        <w:t>Essas demonstrações financeiras intermediárias estão apresentadas em Reais, que é a moeda funcional da Companhia. Todos os saldos foram arredondados para o milhar mais próximo, exceto quando indicado de outra forma.</w:t>
      </w:r>
    </w:p>
    <w:p w:rsidR="00B9551E" w:rsidRPr="00B9551E" w:rsidRDefault="00B9551E" w:rsidP="00C16DDB">
      <w:pPr>
        <w:tabs>
          <w:tab w:val="left" w:pos="2552"/>
        </w:tabs>
        <w:jc w:val="both"/>
        <w:rPr>
          <w:rFonts w:ascii="Calibri" w:hAnsi="Calibri" w:cs="Calibri"/>
          <w:sz w:val="24"/>
          <w:szCs w:val="24"/>
        </w:rPr>
      </w:pPr>
    </w:p>
    <w:p w:rsidR="008738AC" w:rsidRPr="007964CD" w:rsidRDefault="008738AC" w:rsidP="008738AC">
      <w:pPr>
        <w:rPr>
          <w:rFonts w:ascii="Calibri" w:hAnsi="Calibri" w:cs="Calibri"/>
          <w:sz w:val="24"/>
          <w:szCs w:val="24"/>
        </w:rPr>
      </w:pPr>
    </w:p>
    <w:p w:rsidR="008738AC" w:rsidRPr="00312424" w:rsidRDefault="008738AC" w:rsidP="008738AC">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3</w:t>
      </w:r>
      <w:r w:rsidRPr="00312424">
        <w:rPr>
          <w:rFonts w:ascii="Calibri" w:hAnsi="Calibri" w:cs="Calibri"/>
          <w:b/>
          <w:szCs w:val="24"/>
          <w:lang w:val="pt-BR"/>
        </w:rPr>
        <w:t xml:space="preserve"> </w:t>
      </w:r>
      <w:r w:rsidRPr="00312424">
        <w:rPr>
          <w:rFonts w:ascii="Calibri" w:hAnsi="Calibri" w:cs="Calibri"/>
          <w:b/>
          <w:szCs w:val="24"/>
        </w:rPr>
        <w:t xml:space="preserve">– </w:t>
      </w:r>
      <w:r>
        <w:rPr>
          <w:rFonts w:ascii="Calibri" w:hAnsi="Calibri" w:cs="Calibri"/>
          <w:b/>
          <w:szCs w:val="24"/>
          <w:u w:val="single"/>
          <w:lang w:val="pt-BR"/>
        </w:rPr>
        <w:t>REAPRESENTAÇÃO PARA FINS COMPARATIVOS</w:t>
      </w:r>
    </w:p>
    <w:p w:rsidR="008738AC" w:rsidRPr="00E33E15" w:rsidRDefault="008738AC" w:rsidP="008738AC">
      <w:pPr>
        <w:pStyle w:val="Recuodecorpodetexto"/>
        <w:widowControl/>
        <w:autoSpaceDE w:val="0"/>
        <w:autoSpaceDN w:val="0"/>
        <w:ind w:left="0"/>
        <w:rPr>
          <w:rFonts w:ascii="Arial" w:hAnsi="Arial" w:cs="Arial"/>
          <w:sz w:val="19"/>
          <w:szCs w:val="19"/>
        </w:rPr>
      </w:pPr>
    </w:p>
    <w:p w:rsidR="008738AC" w:rsidRDefault="008738AC" w:rsidP="008738AC">
      <w:pPr>
        <w:pStyle w:val="Recuodecorpodetexto"/>
        <w:widowControl/>
        <w:autoSpaceDE w:val="0"/>
        <w:autoSpaceDN w:val="0"/>
        <w:ind w:left="0"/>
        <w:rPr>
          <w:rFonts w:ascii="Calibri" w:hAnsi="Calibri" w:cs="Calibri"/>
          <w:szCs w:val="24"/>
          <w:lang w:val="pt-BR"/>
        </w:rPr>
      </w:pPr>
      <w:r w:rsidRPr="0043773C">
        <w:rPr>
          <w:rFonts w:ascii="Calibri" w:hAnsi="Calibri" w:cs="Calibri"/>
          <w:szCs w:val="24"/>
          <w:lang w:val="pt-BR"/>
        </w:rPr>
        <w:t>As demonstrações contábeis correspondentes a 31 de dezembro de 201</w:t>
      </w:r>
      <w:r w:rsidR="004044C2">
        <w:rPr>
          <w:rFonts w:ascii="Calibri" w:hAnsi="Calibri" w:cs="Calibri"/>
          <w:szCs w:val="24"/>
          <w:lang w:val="pt-BR"/>
        </w:rPr>
        <w:t>9</w:t>
      </w:r>
      <w:r w:rsidRPr="0043773C">
        <w:rPr>
          <w:rFonts w:ascii="Calibri" w:hAnsi="Calibri" w:cs="Calibri"/>
          <w:szCs w:val="24"/>
          <w:lang w:val="pt-BR"/>
        </w:rPr>
        <w:t xml:space="preserve">, originalmente divulgadas em </w:t>
      </w:r>
      <w:r w:rsidR="00B512E2">
        <w:rPr>
          <w:rFonts w:ascii="Calibri" w:hAnsi="Calibri" w:cs="Calibri"/>
          <w:szCs w:val="24"/>
          <w:lang w:val="pt-BR"/>
        </w:rPr>
        <w:t>28</w:t>
      </w:r>
      <w:r w:rsidRPr="0043773C">
        <w:rPr>
          <w:rFonts w:ascii="Calibri" w:hAnsi="Calibri" w:cs="Calibri"/>
          <w:szCs w:val="24"/>
          <w:lang w:val="pt-BR"/>
        </w:rPr>
        <w:t>/0</w:t>
      </w:r>
      <w:r w:rsidR="00B512E2">
        <w:rPr>
          <w:rFonts w:ascii="Calibri" w:hAnsi="Calibri" w:cs="Calibri"/>
          <w:szCs w:val="24"/>
          <w:lang w:val="pt-BR"/>
        </w:rPr>
        <w:t>8</w:t>
      </w:r>
      <w:r w:rsidRPr="0043773C">
        <w:rPr>
          <w:rFonts w:ascii="Calibri" w:hAnsi="Calibri" w:cs="Calibri"/>
          <w:szCs w:val="24"/>
          <w:lang w:val="pt-BR"/>
        </w:rPr>
        <w:t>/20</w:t>
      </w:r>
      <w:r w:rsidR="00B512E2">
        <w:rPr>
          <w:rFonts w:ascii="Calibri" w:hAnsi="Calibri" w:cs="Calibri"/>
          <w:szCs w:val="24"/>
          <w:lang w:val="pt-BR"/>
        </w:rPr>
        <w:t>20</w:t>
      </w:r>
      <w:r w:rsidRPr="0043773C">
        <w:rPr>
          <w:rFonts w:ascii="Calibri" w:hAnsi="Calibri" w:cs="Calibri"/>
          <w:szCs w:val="24"/>
          <w:lang w:val="pt-BR"/>
        </w:rPr>
        <w:t>, estão sendo reapresentadas, em conformidade com o CPC 23 - Políticas Contábeis, Mudança de Estimativa e Retificação de Erro e CPC 26 (R1) – Apresentação das Demonstrações Contábeis, para melhor refletir as operações da Companhia.</w:t>
      </w:r>
      <w:r w:rsidR="00AC7E1D">
        <w:rPr>
          <w:rFonts w:ascii="Calibri" w:hAnsi="Calibri" w:cs="Calibri"/>
          <w:szCs w:val="24"/>
          <w:lang w:val="pt-BR"/>
        </w:rPr>
        <w:t xml:space="preserve"> </w:t>
      </w:r>
      <w:r w:rsidRPr="0043773C">
        <w:rPr>
          <w:rFonts w:ascii="Calibri" w:hAnsi="Calibri" w:cs="Calibri"/>
          <w:szCs w:val="24"/>
          <w:lang w:val="pt-BR"/>
        </w:rPr>
        <w:t xml:space="preserve">Para tanto, a </w:t>
      </w:r>
      <w:r>
        <w:rPr>
          <w:rFonts w:ascii="Calibri" w:hAnsi="Calibri" w:cs="Calibri"/>
          <w:szCs w:val="24"/>
          <w:lang w:val="pt-BR"/>
        </w:rPr>
        <w:t>A</w:t>
      </w:r>
      <w:r w:rsidRPr="0043773C">
        <w:rPr>
          <w:rFonts w:ascii="Calibri" w:hAnsi="Calibri" w:cs="Calibri"/>
          <w:szCs w:val="24"/>
          <w:lang w:val="pt-BR"/>
        </w:rPr>
        <w:t>dministração da Companhia revisou a forma de contabilização e apresentação dos saldos das demonstrações contábeis, considerando os ativos, passivos e resultado do exercício, conforme sucinta descrição dos fatos:</w:t>
      </w:r>
    </w:p>
    <w:p w:rsidR="008738AC" w:rsidRDefault="008738AC" w:rsidP="008738AC">
      <w:pPr>
        <w:pStyle w:val="Recuodecorpodetexto"/>
        <w:widowControl/>
        <w:autoSpaceDE w:val="0"/>
        <w:autoSpaceDN w:val="0"/>
        <w:ind w:left="0"/>
        <w:rPr>
          <w:rFonts w:ascii="Calibri" w:hAnsi="Calibri" w:cs="Calibri"/>
          <w:szCs w:val="24"/>
          <w:lang w:val="pt-BR"/>
        </w:rPr>
      </w:pPr>
    </w:p>
    <w:p w:rsidR="00AD4FBE" w:rsidRDefault="0018550A"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Conforme nota explicativa nº 15 – Obrigações Tributárias, houve redução dos valores devidos a título de ISS em execução fiscal, com base em decisões favoráveis à exequente, o que resultou em levantamento do saldo de depósitos judiciais.</w:t>
      </w:r>
    </w:p>
    <w:p w:rsidR="0018550A" w:rsidRDefault="0018550A" w:rsidP="008738AC">
      <w:pPr>
        <w:pStyle w:val="Recuodecorpodetexto"/>
        <w:widowControl/>
        <w:autoSpaceDE w:val="0"/>
        <w:autoSpaceDN w:val="0"/>
        <w:ind w:left="0"/>
        <w:rPr>
          <w:rFonts w:ascii="Calibri" w:hAnsi="Calibri" w:cs="Calibri"/>
          <w:szCs w:val="24"/>
          <w:lang w:val="pt-BR"/>
        </w:rPr>
      </w:pPr>
    </w:p>
    <w:p w:rsidR="0018550A" w:rsidRDefault="0018550A"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A CDRJ celebrou o contrato 043/2019 com a empresa César Amaral Assessoria e Perícia Contábil – Sociedade Simples – Ltda. para prestação dos serviços de elaboração e revisão de cálculos judiciais nas esferas trabalhista, cível e tributária.</w:t>
      </w:r>
    </w:p>
    <w:p w:rsidR="0018550A" w:rsidRDefault="0018550A" w:rsidP="008738AC">
      <w:pPr>
        <w:pStyle w:val="Recuodecorpodetexto"/>
        <w:widowControl/>
        <w:autoSpaceDE w:val="0"/>
        <w:autoSpaceDN w:val="0"/>
        <w:ind w:left="0"/>
        <w:rPr>
          <w:rFonts w:ascii="Calibri" w:hAnsi="Calibri" w:cs="Calibri"/>
          <w:szCs w:val="24"/>
          <w:lang w:val="pt-BR"/>
        </w:rPr>
      </w:pPr>
    </w:p>
    <w:p w:rsidR="0018550A" w:rsidRDefault="0018550A"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O perito responsável pelos cálculos concluiu que o Passivo Circulante estava superavaliado, especificamente na conta Benefício a Empregados, com base nas decisões de processos de cobrança judicial.</w:t>
      </w:r>
    </w:p>
    <w:p w:rsidR="0018550A" w:rsidRDefault="0018550A" w:rsidP="008738AC">
      <w:pPr>
        <w:pStyle w:val="Recuodecorpodetexto"/>
        <w:widowControl/>
        <w:autoSpaceDE w:val="0"/>
        <w:autoSpaceDN w:val="0"/>
        <w:ind w:left="0"/>
        <w:rPr>
          <w:rFonts w:ascii="Calibri" w:hAnsi="Calibri" w:cs="Calibri"/>
          <w:szCs w:val="24"/>
          <w:lang w:val="pt-BR"/>
        </w:rPr>
      </w:pPr>
    </w:p>
    <w:p w:rsidR="0018550A" w:rsidRDefault="0018550A"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A seguir apresentamos o Balanço Patrimonial </w:t>
      </w:r>
      <w:r w:rsidR="00524BCE">
        <w:rPr>
          <w:rFonts w:ascii="Calibri" w:hAnsi="Calibri" w:cs="Calibri"/>
          <w:szCs w:val="24"/>
          <w:lang w:val="pt-BR"/>
        </w:rPr>
        <w:t>original comparado com os ajustes ora apresentados, bem como uma breve descrição de cada ajuste. Os demais demonstrativos foram apresentados apenas como alteração nos valores comparativos do exercício anterior.</w:t>
      </w:r>
    </w:p>
    <w:p w:rsidR="00524BCE" w:rsidRDefault="00524BCE" w:rsidP="008738AC">
      <w:pPr>
        <w:pStyle w:val="Recuodecorpodetexto"/>
        <w:widowControl/>
        <w:autoSpaceDE w:val="0"/>
        <w:autoSpaceDN w:val="0"/>
        <w:ind w:left="0"/>
        <w:rPr>
          <w:rFonts w:ascii="Calibri" w:hAnsi="Calibri" w:cs="Calibri"/>
          <w:szCs w:val="24"/>
          <w:lang w:val="pt-BR"/>
        </w:rPr>
      </w:pPr>
    </w:p>
    <w:p w:rsidR="00524BCE" w:rsidRDefault="00524BCE" w:rsidP="008738AC">
      <w:pPr>
        <w:pStyle w:val="Recuodecorpodetexto"/>
        <w:widowControl/>
        <w:autoSpaceDE w:val="0"/>
        <w:autoSpaceDN w:val="0"/>
        <w:ind w:left="0"/>
        <w:rPr>
          <w:rFonts w:ascii="Calibri" w:hAnsi="Calibri" w:cs="Calibri"/>
          <w:szCs w:val="24"/>
          <w:lang w:val="pt-BR"/>
        </w:rPr>
      </w:pPr>
    </w:p>
    <w:p w:rsidR="00524BCE" w:rsidRDefault="00524BCE" w:rsidP="008738AC">
      <w:pPr>
        <w:pStyle w:val="Recuodecorpodetexto"/>
        <w:widowControl/>
        <w:autoSpaceDE w:val="0"/>
        <w:autoSpaceDN w:val="0"/>
        <w:ind w:left="0"/>
        <w:rPr>
          <w:rFonts w:ascii="Calibri" w:hAnsi="Calibri" w:cs="Calibri"/>
          <w:szCs w:val="24"/>
          <w:lang w:val="pt-BR"/>
        </w:rPr>
      </w:pPr>
    </w:p>
    <w:p w:rsidR="00524BCE" w:rsidRDefault="00524BCE" w:rsidP="008738AC">
      <w:pPr>
        <w:pStyle w:val="Recuodecorpodetexto"/>
        <w:widowControl/>
        <w:autoSpaceDE w:val="0"/>
        <w:autoSpaceDN w:val="0"/>
        <w:ind w:left="0"/>
        <w:rPr>
          <w:rFonts w:ascii="Calibri" w:hAnsi="Calibri" w:cs="Calibri"/>
          <w:szCs w:val="24"/>
          <w:lang w:val="pt-BR"/>
        </w:rPr>
      </w:pPr>
    </w:p>
    <w:p w:rsidR="00AD4FBE" w:rsidRDefault="00AD4FBE" w:rsidP="00AD4FBE">
      <w:pPr>
        <w:pStyle w:val="Recuodecorpodetexto"/>
        <w:widowControl/>
        <w:tabs>
          <w:tab w:val="left" w:pos="1276"/>
        </w:tabs>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Pr="00B03145" w:rsidRDefault="008738AC" w:rsidP="008738AC">
      <w:pPr>
        <w:pStyle w:val="Ttulo3"/>
        <w:ind w:left="142" w:firstLine="142"/>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8738AC" w:rsidRPr="00B03145" w:rsidRDefault="008738AC" w:rsidP="008738AC">
      <w:pPr>
        <w:pStyle w:val="Ttulo1"/>
        <w:rPr>
          <w:rFonts w:ascii="Calibri" w:hAnsi="Calibri" w:cs="Calibri"/>
          <w:szCs w:val="24"/>
        </w:rPr>
      </w:pPr>
      <w:r w:rsidRPr="00B03145">
        <w:rPr>
          <w:rFonts w:ascii="Calibri" w:hAnsi="Calibri" w:cs="Calibri"/>
          <w:szCs w:val="24"/>
        </w:rPr>
        <w:t xml:space="preserve">BALANÇO PATRIMONIAL </w:t>
      </w:r>
    </w:p>
    <w:p w:rsidR="008738AC" w:rsidRDefault="008738AC" w:rsidP="008738AC">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524BCE" w:rsidRDefault="00524BCE" w:rsidP="008738AC">
      <w:pPr>
        <w:jc w:val="center"/>
        <w:rPr>
          <w:rFonts w:ascii="Calibri" w:hAnsi="Calibri" w:cs="Calibri"/>
          <w:sz w:val="22"/>
          <w:szCs w:val="22"/>
        </w:rPr>
      </w:pPr>
    </w:p>
    <w:p w:rsidR="008738AC" w:rsidRDefault="008738AC" w:rsidP="008738AC">
      <w:pPr>
        <w:jc w:val="center"/>
        <w:rPr>
          <w:rFonts w:ascii="Calibri" w:hAnsi="Calibri" w:cs="Calibri"/>
          <w:sz w:val="22"/>
          <w:szCs w:val="22"/>
        </w:rPr>
      </w:pPr>
    </w:p>
    <w:p w:rsidR="008738AC" w:rsidRDefault="00B512E2" w:rsidP="008738AC">
      <w:pPr>
        <w:jc w:val="center"/>
        <w:rPr>
          <w:rFonts w:ascii="Calibri" w:hAnsi="Calibri" w:cs="Calibri"/>
          <w:sz w:val="22"/>
          <w:szCs w:val="22"/>
        </w:rPr>
      </w:pPr>
      <w:r w:rsidRPr="00B512E2">
        <w:rPr>
          <w:noProof/>
        </w:rPr>
        <w:drawing>
          <wp:inline distT="0" distB="0" distL="0" distR="0">
            <wp:extent cx="5336540" cy="534289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6540" cy="5342890"/>
                    </a:xfrm>
                    <a:prstGeom prst="rect">
                      <a:avLst/>
                    </a:prstGeom>
                    <a:noFill/>
                    <a:ln>
                      <a:noFill/>
                    </a:ln>
                  </pic:spPr>
                </pic:pic>
              </a:graphicData>
            </a:graphic>
          </wp:inline>
        </w:drawing>
      </w:r>
    </w:p>
    <w:p w:rsidR="008738AC" w:rsidRDefault="008738AC" w:rsidP="008738AC">
      <w:pPr>
        <w:jc w:val="center"/>
        <w:rPr>
          <w:rFonts w:ascii="Calibri" w:hAnsi="Calibri" w:cs="Calibri"/>
          <w:sz w:val="22"/>
          <w:szCs w:val="22"/>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Pr="00B03145" w:rsidRDefault="008738AC" w:rsidP="008738AC">
      <w:pPr>
        <w:pStyle w:val="Ttulo3"/>
        <w:ind w:left="142" w:firstLine="142"/>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8738AC" w:rsidRPr="00B03145" w:rsidRDefault="008738AC" w:rsidP="008738AC">
      <w:pPr>
        <w:pStyle w:val="Ttulo1"/>
        <w:rPr>
          <w:rFonts w:ascii="Calibri" w:hAnsi="Calibri" w:cs="Calibri"/>
          <w:szCs w:val="24"/>
        </w:rPr>
      </w:pPr>
      <w:r w:rsidRPr="00B03145">
        <w:rPr>
          <w:rFonts w:ascii="Calibri" w:hAnsi="Calibri" w:cs="Calibri"/>
          <w:szCs w:val="24"/>
        </w:rPr>
        <w:t xml:space="preserve">BALANÇO PATRIMONIAL </w:t>
      </w:r>
    </w:p>
    <w:p w:rsidR="008738AC" w:rsidRDefault="008738AC" w:rsidP="008738AC">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524BCE" w:rsidRDefault="00524BCE" w:rsidP="008738AC">
      <w:pPr>
        <w:jc w:val="center"/>
        <w:rPr>
          <w:rFonts w:ascii="Calibri" w:hAnsi="Calibri" w:cs="Calibri"/>
          <w:sz w:val="22"/>
          <w:szCs w:val="22"/>
        </w:rPr>
      </w:pPr>
    </w:p>
    <w:p w:rsidR="008738AC" w:rsidRDefault="008738AC" w:rsidP="008738AC">
      <w:pPr>
        <w:jc w:val="center"/>
        <w:rPr>
          <w:rFonts w:ascii="Calibri" w:hAnsi="Calibri" w:cs="Calibri"/>
          <w:sz w:val="22"/>
          <w:szCs w:val="22"/>
        </w:rPr>
      </w:pPr>
    </w:p>
    <w:p w:rsidR="008738AC" w:rsidRDefault="00B512E2" w:rsidP="008738AC">
      <w:pPr>
        <w:jc w:val="center"/>
        <w:rPr>
          <w:rFonts w:ascii="Calibri" w:hAnsi="Calibri" w:cs="Calibri"/>
          <w:sz w:val="22"/>
          <w:szCs w:val="22"/>
        </w:rPr>
      </w:pPr>
      <w:r w:rsidRPr="00B512E2">
        <w:rPr>
          <w:noProof/>
        </w:rPr>
        <w:drawing>
          <wp:inline distT="0" distB="0" distL="0" distR="0">
            <wp:extent cx="5431790" cy="515175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1790" cy="5151755"/>
                    </a:xfrm>
                    <a:prstGeom prst="rect">
                      <a:avLst/>
                    </a:prstGeom>
                    <a:noFill/>
                    <a:ln>
                      <a:noFill/>
                    </a:ln>
                  </pic:spPr>
                </pic:pic>
              </a:graphicData>
            </a:graphic>
          </wp:inline>
        </w:drawing>
      </w:r>
    </w:p>
    <w:p w:rsidR="008738AC" w:rsidRDefault="008738AC" w:rsidP="008738AC">
      <w:pPr>
        <w:jc w:val="center"/>
        <w:rPr>
          <w:rFonts w:ascii="Calibri" w:hAnsi="Calibri" w:cs="Calibri"/>
          <w:sz w:val="22"/>
          <w:szCs w:val="22"/>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9E3968" w:rsidRDefault="009E3968"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4C21D0" w:rsidP="00905F4A">
      <w:pPr>
        <w:pStyle w:val="PargrafodaLista"/>
        <w:numPr>
          <w:ilvl w:val="1"/>
          <w:numId w:val="24"/>
        </w:numPr>
        <w:spacing w:after="0" w:line="240" w:lineRule="auto"/>
        <w:ind w:left="993" w:hanging="567"/>
        <w:rPr>
          <w:rFonts w:cs="Calibri"/>
          <w:b/>
          <w:sz w:val="24"/>
          <w:szCs w:val="24"/>
        </w:rPr>
      </w:pPr>
      <w:r>
        <w:rPr>
          <w:rFonts w:cs="Calibri"/>
          <w:b/>
          <w:sz w:val="24"/>
          <w:szCs w:val="24"/>
        </w:rPr>
        <w:lastRenderedPageBreak/>
        <w:t>Depósitos Judiciais</w:t>
      </w:r>
    </w:p>
    <w:p w:rsidR="008738AC" w:rsidRDefault="008738AC" w:rsidP="00905F4A">
      <w:pPr>
        <w:pStyle w:val="PargrafodaLista"/>
        <w:spacing w:after="0" w:line="240" w:lineRule="auto"/>
        <w:ind w:left="993"/>
        <w:rPr>
          <w:rFonts w:cs="Calibri"/>
          <w:b/>
          <w:sz w:val="24"/>
          <w:szCs w:val="24"/>
        </w:rPr>
      </w:pPr>
    </w:p>
    <w:p w:rsidR="004C21D0" w:rsidRDefault="008738AC" w:rsidP="00905F4A">
      <w:pPr>
        <w:ind w:left="851"/>
        <w:jc w:val="both"/>
        <w:rPr>
          <w:rFonts w:asciiTheme="minorHAnsi" w:hAnsiTheme="minorHAnsi" w:cstheme="minorHAnsi"/>
          <w:sz w:val="24"/>
          <w:szCs w:val="24"/>
        </w:rPr>
      </w:pPr>
      <w:r w:rsidRPr="00905F4A">
        <w:rPr>
          <w:rFonts w:asciiTheme="minorHAnsi" w:hAnsiTheme="minorHAnsi" w:cstheme="minorHAnsi"/>
          <w:sz w:val="24"/>
          <w:szCs w:val="24"/>
        </w:rPr>
        <w:t xml:space="preserve">Trata-se de </w:t>
      </w:r>
      <w:r w:rsidR="004C21D0">
        <w:rPr>
          <w:rFonts w:asciiTheme="minorHAnsi" w:hAnsiTheme="minorHAnsi" w:cstheme="minorHAnsi"/>
          <w:sz w:val="24"/>
          <w:szCs w:val="24"/>
        </w:rPr>
        <w:t>depósitos de natureza trabalhista, cível e tributária, realizados pela CDRJ com base em mandados expedidos pelos juízos competentes ou espontaneamente, nos casos de discussões futuras, como, por exemplo, as ações de imunidade tributária do Imposto Predial Territorial Urbano – IPTU e das Taxas de Ocupação e Aforamento, cobradas pela Secretaria do Patrimônio da União.</w:t>
      </w:r>
    </w:p>
    <w:p w:rsidR="0018550A" w:rsidRDefault="0018550A" w:rsidP="00905F4A">
      <w:pPr>
        <w:ind w:left="851"/>
        <w:jc w:val="both"/>
        <w:rPr>
          <w:rFonts w:asciiTheme="minorHAnsi" w:hAnsiTheme="minorHAnsi" w:cstheme="minorHAnsi"/>
          <w:sz w:val="24"/>
          <w:szCs w:val="24"/>
        </w:rPr>
      </w:pPr>
    </w:p>
    <w:p w:rsidR="0018550A" w:rsidRDefault="0018550A" w:rsidP="0018550A">
      <w:pPr>
        <w:ind w:left="851"/>
        <w:jc w:val="both"/>
        <w:rPr>
          <w:rFonts w:asciiTheme="minorHAnsi" w:hAnsiTheme="minorHAnsi" w:cstheme="minorHAnsi"/>
          <w:sz w:val="24"/>
          <w:szCs w:val="24"/>
        </w:rPr>
      </w:pPr>
      <w:r w:rsidRPr="0018550A">
        <w:rPr>
          <w:rFonts w:asciiTheme="minorHAnsi" w:hAnsiTheme="minorHAnsi" w:cstheme="minorHAnsi"/>
          <w:sz w:val="24"/>
          <w:szCs w:val="24"/>
        </w:rPr>
        <w:t xml:space="preserve">A CDRJ figura como ré em seis execuções fiscais movidas pelo Município do Rio de Janeiro, pela falta de recolhimento do Imposto Sobre Serviços – ISS no período compreendido entre julho de 1984 e fevereiro de 1999. As ações tramitam na 12ª Vara de Fazenda Pública da Comarca da Capital do Estado do Rio de Janeiro. </w:t>
      </w:r>
    </w:p>
    <w:p w:rsidR="0018550A" w:rsidRDefault="0018550A" w:rsidP="0018550A">
      <w:pPr>
        <w:ind w:left="851"/>
        <w:jc w:val="both"/>
        <w:rPr>
          <w:rFonts w:asciiTheme="minorHAnsi" w:hAnsiTheme="minorHAnsi" w:cstheme="minorHAnsi"/>
          <w:sz w:val="24"/>
          <w:szCs w:val="24"/>
        </w:rPr>
      </w:pPr>
    </w:p>
    <w:p w:rsidR="0018550A" w:rsidRPr="0018550A" w:rsidRDefault="0018550A" w:rsidP="0018550A">
      <w:pPr>
        <w:ind w:left="851"/>
        <w:jc w:val="both"/>
        <w:rPr>
          <w:rFonts w:asciiTheme="minorHAnsi" w:hAnsiTheme="minorHAnsi" w:cstheme="minorHAnsi"/>
          <w:sz w:val="24"/>
          <w:szCs w:val="24"/>
        </w:rPr>
      </w:pPr>
      <w:r w:rsidRPr="0018550A">
        <w:rPr>
          <w:rFonts w:asciiTheme="minorHAnsi" w:hAnsiTheme="minorHAnsi" w:cstheme="minorHAnsi"/>
          <w:sz w:val="24"/>
          <w:szCs w:val="24"/>
        </w:rPr>
        <w:t>A executada opôs embargos à execução, no exercício de 2002, entretanto realizou depósitos regulares entre maio de 2002 a fevereiro de 2010. Houve, durante o exercício de 2020, decisões favoráveis ao exequente, o Município do Rio de Janeiro, transitadas em julgado, o que resultou no levantamento dos valores depositados.</w:t>
      </w:r>
    </w:p>
    <w:p w:rsidR="004C21D0" w:rsidRDefault="004C21D0" w:rsidP="00905F4A">
      <w:pPr>
        <w:ind w:left="851"/>
        <w:jc w:val="both"/>
        <w:rPr>
          <w:rFonts w:asciiTheme="minorHAnsi" w:hAnsiTheme="minorHAnsi" w:cstheme="minorHAnsi"/>
          <w:sz w:val="24"/>
          <w:szCs w:val="24"/>
        </w:rPr>
      </w:pPr>
    </w:p>
    <w:p w:rsidR="004C21D0" w:rsidRDefault="004C21D0" w:rsidP="00905F4A">
      <w:pPr>
        <w:ind w:left="851"/>
        <w:jc w:val="both"/>
        <w:rPr>
          <w:rFonts w:asciiTheme="minorHAnsi" w:hAnsiTheme="minorHAnsi" w:cstheme="minorHAnsi"/>
          <w:sz w:val="24"/>
          <w:szCs w:val="24"/>
        </w:rPr>
      </w:pPr>
      <w:r>
        <w:rPr>
          <w:rFonts w:asciiTheme="minorHAnsi" w:hAnsiTheme="minorHAnsi" w:cstheme="minorHAnsi"/>
          <w:sz w:val="24"/>
          <w:szCs w:val="24"/>
        </w:rPr>
        <w:t>Foram realizados ajustes retrospectivos porque os depósitos efetuados foram contabilizados, à época, como despesas do</w:t>
      </w:r>
      <w:r w:rsidR="0018550A">
        <w:rPr>
          <w:rFonts w:asciiTheme="minorHAnsi" w:hAnsiTheme="minorHAnsi" w:cstheme="minorHAnsi"/>
          <w:sz w:val="24"/>
          <w:szCs w:val="24"/>
        </w:rPr>
        <w:t>s</w:t>
      </w:r>
      <w:r>
        <w:rPr>
          <w:rFonts w:asciiTheme="minorHAnsi" w:hAnsiTheme="minorHAnsi" w:cstheme="minorHAnsi"/>
          <w:sz w:val="24"/>
          <w:szCs w:val="24"/>
        </w:rPr>
        <w:t xml:space="preserve"> exercício</w:t>
      </w:r>
      <w:r w:rsidR="0018550A">
        <w:rPr>
          <w:rFonts w:asciiTheme="minorHAnsi" w:hAnsiTheme="minorHAnsi" w:cstheme="minorHAnsi"/>
          <w:sz w:val="24"/>
          <w:szCs w:val="24"/>
        </w:rPr>
        <w:t>s</w:t>
      </w:r>
      <w:r>
        <w:rPr>
          <w:rFonts w:asciiTheme="minorHAnsi" w:hAnsiTheme="minorHAnsi" w:cstheme="minorHAnsi"/>
          <w:sz w:val="24"/>
          <w:szCs w:val="24"/>
        </w:rPr>
        <w:t xml:space="preserve"> corrente</w:t>
      </w:r>
      <w:r w:rsidR="0018550A">
        <w:rPr>
          <w:rFonts w:asciiTheme="minorHAnsi" w:hAnsiTheme="minorHAnsi" w:cstheme="minorHAnsi"/>
          <w:sz w:val="24"/>
          <w:szCs w:val="24"/>
        </w:rPr>
        <w:t>s</w:t>
      </w:r>
      <w:r>
        <w:rPr>
          <w:rFonts w:asciiTheme="minorHAnsi" w:hAnsiTheme="minorHAnsi" w:cstheme="minorHAnsi"/>
          <w:sz w:val="24"/>
          <w:szCs w:val="24"/>
        </w:rPr>
        <w:t>.</w:t>
      </w:r>
    </w:p>
    <w:p w:rsidR="004C21D0" w:rsidRDefault="004C21D0" w:rsidP="00905F4A">
      <w:pPr>
        <w:ind w:left="851"/>
        <w:jc w:val="both"/>
        <w:rPr>
          <w:rFonts w:asciiTheme="minorHAnsi" w:hAnsiTheme="minorHAnsi" w:cstheme="minorHAnsi"/>
          <w:sz w:val="24"/>
          <w:szCs w:val="24"/>
        </w:rPr>
      </w:pPr>
    </w:p>
    <w:p w:rsidR="008738AC" w:rsidRDefault="008738AC" w:rsidP="00905F4A">
      <w:pPr>
        <w:pStyle w:val="PargrafodaLista"/>
        <w:spacing w:after="0" w:line="240" w:lineRule="auto"/>
        <w:ind w:left="993"/>
        <w:rPr>
          <w:rFonts w:cs="Calibri"/>
          <w:b/>
          <w:sz w:val="24"/>
          <w:szCs w:val="24"/>
        </w:rPr>
      </w:pPr>
    </w:p>
    <w:p w:rsidR="008738AC" w:rsidRDefault="008738AC" w:rsidP="00905F4A">
      <w:pPr>
        <w:pStyle w:val="PargrafodaLista"/>
        <w:numPr>
          <w:ilvl w:val="1"/>
          <w:numId w:val="24"/>
        </w:numPr>
        <w:spacing w:after="0" w:line="240" w:lineRule="auto"/>
        <w:ind w:left="993" w:hanging="567"/>
        <w:rPr>
          <w:rFonts w:cs="Calibri"/>
          <w:b/>
          <w:sz w:val="24"/>
          <w:szCs w:val="24"/>
        </w:rPr>
      </w:pPr>
      <w:r>
        <w:rPr>
          <w:rFonts w:cs="Calibri"/>
          <w:b/>
          <w:sz w:val="24"/>
          <w:szCs w:val="24"/>
        </w:rPr>
        <w:t>Benefícios Pós Emprego</w:t>
      </w:r>
      <w:r w:rsidR="00524BCE">
        <w:rPr>
          <w:rFonts w:cs="Calibri"/>
          <w:b/>
          <w:sz w:val="24"/>
          <w:szCs w:val="24"/>
        </w:rPr>
        <w:t xml:space="preserve"> – Curto Prazo</w:t>
      </w:r>
    </w:p>
    <w:p w:rsidR="008738AC" w:rsidRDefault="008738AC" w:rsidP="00905F4A">
      <w:pPr>
        <w:pStyle w:val="PargrafodaLista"/>
        <w:spacing w:after="0" w:line="240" w:lineRule="auto"/>
        <w:ind w:left="993"/>
        <w:rPr>
          <w:rFonts w:cs="Calibri"/>
          <w:b/>
          <w:sz w:val="24"/>
          <w:szCs w:val="24"/>
        </w:rPr>
      </w:pPr>
    </w:p>
    <w:p w:rsidR="00524BCE" w:rsidRDefault="00524BCE" w:rsidP="00905F4A">
      <w:pPr>
        <w:pStyle w:val="PargrafodaLista"/>
        <w:spacing w:after="0" w:line="240" w:lineRule="auto"/>
        <w:ind w:left="851"/>
        <w:jc w:val="both"/>
        <w:rPr>
          <w:rFonts w:cs="Calibri"/>
          <w:sz w:val="24"/>
          <w:szCs w:val="24"/>
        </w:rPr>
      </w:pPr>
      <w:r>
        <w:rPr>
          <w:rFonts w:cs="Calibri"/>
          <w:sz w:val="24"/>
          <w:szCs w:val="24"/>
        </w:rPr>
        <w:t xml:space="preserve">O grupo compreende os valores devidos ao </w:t>
      </w:r>
      <w:proofErr w:type="spellStart"/>
      <w:r>
        <w:rPr>
          <w:rFonts w:cs="Calibri"/>
          <w:sz w:val="24"/>
          <w:szCs w:val="24"/>
        </w:rPr>
        <w:t>Portus</w:t>
      </w:r>
      <w:proofErr w:type="spellEnd"/>
      <w:r>
        <w:rPr>
          <w:rFonts w:cs="Calibri"/>
          <w:sz w:val="24"/>
          <w:szCs w:val="24"/>
        </w:rPr>
        <w:t xml:space="preserve"> – Instituto de Seguridade Social a título de contribuições correntes e</w:t>
      </w:r>
      <w:r w:rsidR="00715245">
        <w:rPr>
          <w:rFonts w:cs="Calibri"/>
          <w:sz w:val="24"/>
          <w:szCs w:val="24"/>
        </w:rPr>
        <w:t xml:space="preserve"> referentes à</w:t>
      </w:r>
      <w:r>
        <w:rPr>
          <w:rFonts w:cs="Calibri"/>
          <w:sz w:val="24"/>
          <w:szCs w:val="24"/>
        </w:rPr>
        <w:t xml:space="preserve"> confissão de dívidas assinada em </w:t>
      </w:r>
      <w:r w:rsidR="00ED7CF3">
        <w:rPr>
          <w:rFonts w:cs="Calibri"/>
          <w:sz w:val="24"/>
          <w:szCs w:val="24"/>
        </w:rPr>
        <w:t>1º de outubro de 2015</w:t>
      </w:r>
      <w:r w:rsidR="00715245">
        <w:rPr>
          <w:rFonts w:cs="Calibri"/>
          <w:sz w:val="24"/>
          <w:szCs w:val="24"/>
        </w:rPr>
        <w:t>, cujo objeto são débitos em cobrança por meio de quatro processos judiciais, movidos entre os exercícios de 1997 e 201</w:t>
      </w:r>
      <w:r w:rsidR="00100343">
        <w:rPr>
          <w:rFonts w:cs="Calibri"/>
          <w:sz w:val="24"/>
          <w:szCs w:val="24"/>
        </w:rPr>
        <w:t>0</w:t>
      </w:r>
      <w:r w:rsidR="00715245">
        <w:rPr>
          <w:rFonts w:cs="Calibri"/>
          <w:sz w:val="24"/>
          <w:szCs w:val="24"/>
        </w:rPr>
        <w:t>.</w:t>
      </w:r>
    </w:p>
    <w:p w:rsidR="00100343" w:rsidRDefault="00100343" w:rsidP="00905F4A">
      <w:pPr>
        <w:pStyle w:val="PargrafodaLista"/>
        <w:spacing w:after="0" w:line="240" w:lineRule="auto"/>
        <w:ind w:left="851"/>
        <w:jc w:val="both"/>
        <w:rPr>
          <w:rFonts w:cs="Calibri"/>
          <w:sz w:val="24"/>
          <w:szCs w:val="24"/>
        </w:rPr>
      </w:pPr>
    </w:p>
    <w:p w:rsidR="00100343" w:rsidRDefault="00100343" w:rsidP="00905F4A">
      <w:pPr>
        <w:pStyle w:val="PargrafodaLista"/>
        <w:spacing w:after="0" w:line="240" w:lineRule="auto"/>
        <w:ind w:left="851"/>
        <w:jc w:val="both"/>
        <w:rPr>
          <w:rFonts w:cs="Calibri"/>
          <w:sz w:val="24"/>
          <w:szCs w:val="24"/>
        </w:rPr>
      </w:pPr>
      <w:r>
        <w:rPr>
          <w:rFonts w:cs="Calibri"/>
          <w:sz w:val="24"/>
          <w:szCs w:val="24"/>
        </w:rPr>
        <w:t xml:space="preserve">O registro da obrigação foi objeto de perícia contábil, no exercício de 2020, cuja conclusão foi pela baixa do valor registrado no Passivo Circulante, visto que, segundo o perito, </w:t>
      </w:r>
      <w:r w:rsidRPr="00754F58">
        <w:rPr>
          <w:rFonts w:cs="Calibri"/>
          <w:i/>
          <w:sz w:val="24"/>
          <w:szCs w:val="24"/>
        </w:rPr>
        <w:t>“já está provisionado no processo que tramita na 1ª Vara Federal do Rio de Janeiro, bem como no Processo da 26ª Vara Cível do Rio de Janeiro”</w:t>
      </w:r>
      <w:r>
        <w:rPr>
          <w:rFonts w:cs="Calibri"/>
          <w:sz w:val="24"/>
          <w:szCs w:val="24"/>
        </w:rPr>
        <w:t>.</w:t>
      </w:r>
      <w:r w:rsidR="00754F58">
        <w:rPr>
          <w:rFonts w:cs="Calibri"/>
          <w:sz w:val="24"/>
          <w:szCs w:val="24"/>
        </w:rPr>
        <w:t xml:space="preserve"> A Diretoria Executiva da CDRJ deliberou pela baixa do montante registrado no passivo em sua 2249ª reunião, de 28 de janeiro de 2021</w:t>
      </w:r>
    </w:p>
    <w:p w:rsidR="00100343" w:rsidRDefault="00100343" w:rsidP="00905F4A">
      <w:pPr>
        <w:pStyle w:val="PargrafodaLista"/>
        <w:spacing w:after="0" w:line="240" w:lineRule="auto"/>
        <w:ind w:left="851"/>
        <w:jc w:val="both"/>
        <w:rPr>
          <w:rFonts w:cs="Calibri"/>
          <w:sz w:val="24"/>
          <w:szCs w:val="24"/>
        </w:rPr>
      </w:pPr>
    </w:p>
    <w:p w:rsidR="00100343" w:rsidRDefault="00100343" w:rsidP="00905F4A">
      <w:pPr>
        <w:pStyle w:val="PargrafodaLista"/>
        <w:spacing w:after="0" w:line="240" w:lineRule="auto"/>
        <w:ind w:left="851"/>
        <w:jc w:val="both"/>
        <w:rPr>
          <w:rFonts w:cs="Calibri"/>
          <w:sz w:val="24"/>
          <w:szCs w:val="24"/>
        </w:rPr>
      </w:pPr>
      <w:r>
        <w:rPr>
          <w:rFonts w:cs="Calibri"/>
          <w:sz w:val="24"/>
          <w:szCs w:val="24"/>
        </w:rPr>
        <w:t xml:space="preserve">Os cálculos são de responsabilidade da empresa César Amaral Assessoria </w:t>
      </w:r>
      <w:r w:rsidR="00754F58" w:rsidRPr="00905F4A">
        <w:rPr>
          <w:rFonts w:asciiTheme="minorHAnsi" w:hAnsiTheme="minorHAnsi" w:cstheme="minorHAnsi"/>
          <w:sz w:val="24"/>
          <w:szCs w:val="24"/>
        </w:rPr>
        <w:t xml:space="preserve">e Perícia Contábil – Sociedade Simples Ltda., segundo termos do Contrato CDRJ nº 043/2019, cujo objeto é a </w:t>
      </w:r>
      <w:r w:rsidR="00754F58" w:rsidRPr="003B4A4C">
        <w:rPr>
          <w:rFonts w:asciiTheme="minorHAnsi" w:hAnsiTheme="minorHAnsi" w:cstheme="minorHAnsi"/>
          <w:sz w:val="24"/>
          <w:szCs w:val="24"/>
        </w:rPr>
        <w:t>“</w:t>
      </w:r>
      <w:r w:rsidR="00754F58" w:rsidRPr="001C4695">
        <w:rPr>
          <w:rFonts w:asciiTheme="minorHAnsi" w:hAnsiTheme="minorHAnsi" w:cstheme="minorHAnsi"/>
          <w:i/>
          <w:sz w:val="24"/>
          <w:szCs w:val="24"/>
        </w:rPr>
        <w:t>elaboração e revisão de cálculos judiciais nas esferas trabalhista e cível / tributária, emissão de pareceres técnicos (...) e elaboração de provisionamento contábil/financeiro, relacionados aos processos em que a CDRJ figure como parte da reclamação processual”</w:t>
      </w:r>
      <w:r w:rsidR="00754F58">
        <w:rPr>
          <w:rFonts w:asciiTheme="minorHAnsi" w:hAnsiTheme="minorHAnsi" w:cstheme="minorHAnsi"/>
          <w:i/>
          <w:sz w:val="24"/>
          <w:szCs w:val="24"/>
        </w:rPr>
        <w:t>.</w:t>
      </w:r>
    </w:p>
    <w:p w:rsidR="00100343" w:rsidRDefault="00100343" w:rsidP="00905F4A">
      <w:pPr>
        <w:pStyle w:val="PargrafodaLista"/>
        <w:spacing w:after="0" w:line="240" w:lineRule="auto"/>
        <w:ind w:left="851"/>
        <w:jc w:val="both"/>
        <w:rPr>
          <w:rFonts w:cs="Calibri"/>
          <w:sz w:val="24"/>
          <w:szCs w:val="24"/>
        </w:rPr>
      </w:pPr>
    </w:p>
    <w:p w:rsidR="00F75D53" w:rsidRDefault="00F75D53" w:rsidP="00905F4A">
      <w:pPr>
        <w:pStyle w:val="PargrafodaLista"/>
        <w:spacing w:after="0" w:line="240" w:lineRule="auto"/>
        <w:ind w:left="851"/>
        <w:jc w:val="both"/>
        <w:rPr>
          <w:rFonts w:cs="Calibri"/>
          <w:sz w:val="24"/>
          <w:szCs w:val="24"/>
        </w:rPr>
      </w:pPr>
    </w:p>
    <w:p w:rsidR="00F75D53" w:rsidRDefault="00F75D53" w:rsidP="00905F4A">
      <w:pPr>
        <w:pStyle w:val="PargrafodaLista"/>
        <w:spacing w:after="0" w:line="240" w:lineRule="auto"/>
        <w:ind w:left="851"/>
        <w:jc w:val="both"/>
        <w:rPr>
          <w:rFonts w:cs="Calibri"/>
          <w:sz w:val="24"/>
          <w:szCs w:val="24"/>
        </w:rPr>
      </w:pPr>
    </w:p>
    <w:p w:rsidR="00F75D53" w:rsidRDefault="00F75D53" w:rsidP="00905F4A">
      <w:pPr>
        <w:pStyle w:val="PargrafodaLista"/>
        <w:spacing w:after="0" w:line="240" w:lineRule="auto"/>
        <w:ind w:left="851"/>
        <w:jc w:val="both"/>
        <w:rPr>
          <w:rFonts w:cs="Calibri"/>
          <w:sz w:val="24"/>
          <w:szCs w:val="24"/>
        </w:rPr>
      </w:pPr>
    </w:p>
    <w:p w:rsidR="00F75D53" w:rsidRDefault="00F75D53" w:rsidP="00905F4A">
      <w:pPr>
        <w:pStyle w:val="PargrafodaLista"/>
        <w:spacing w:after="0" w:line="240" w:lineRule="auto"/>
        <w:ind w:left="851"/>
        <w:jc w:val="both"/>
        <w:rPr>
          <w:rFonts w:cs="Calibri"/>
          <w:sz w:val="24"/>
          <w:szCs w:val="24"/>
        </w:rPr>
      </w:pPr>
    </w:p>
    <w:p w:rsidR="00905F4A" w:rsidRPr="00524BCE" w:rsidRDefault="00905F4A" w:rsidP="00524BCE">
      <w:pPr>
        <w:jc w:val="both"/>
        <w:rPr>
          <w:rFonts w:cs="Calibri"/>
          <w:sz w:val="24"/>
          <w:szCs w:val="24"/>
        </w:rPr>
      </w:pPr>
    </w:p>
    <w:p w:rsidR="00C16DDB" w:rsidRPr="00312424" w:rsidRDefault="008738AC" w:rsidP="00C16DDB">
      <w:pPr>
        <w:tabs>
          <w:tab w:val="left" w:pos="2552"/>
        </w:tabs>
        <w:jc w:val="both"/>
        <w:rPr>
          <w:rFonts w:ascii="Calibri" w:hAnsi="Calibri" w:cs="Calibri"/>
          <w:b/>
          <w:sz w:val="24"/>
          <w:szCs w:val="24"/>
          <w:u w:val="single"/>
        </w:rPr>
      </w:pPr>
      <w:r>
        <w:rPr>
          <w:rFonts w:ascii="Calibri" w:hAnsi="Calibri" w:cs="Calibri"/>
          <w:b/>
          <w:sz w:val="24"/>
          <w:szCs w:val="24"/>
        </w:rPr>
        <w:lastRenderedPageBreak/>
        <w:t>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PRINCIPAIS P</w:t>
      </w:r>
      <w:r w:rsidR="000E32C9">
        <w:rPr>
          <w:rFonts w:ascii="Calibri" w:hAnsi="Calibri" w:cs="Calibri"/>
          <w:b/>
          <w:sz w:val="24"/>
          <w:szCs w:val="24"/>
          <w:u w:val="single"/>
        </w:rPr>
        <w:t>OLÍTICAS</w:t>
      </w:r>
      <w:r w:rsidR="00C16DDB" w:rsidRPr="00312424">
        <w:rPr>
          <w:rFonts w:ascii="Calibri" w:hAnsi="Calibri" w:cs="Calibri"/>
          <w:b/>
          <w:sz w:val="24"/>
          <w:szCs w:val="24"/>
          <w:u w:val="single"/>
        </w:rPr>
        <w:t xml:space="preserve">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0E32C9" w:rsidP="00905F4A">
      <w:pPr>
        <w:tabs>
          <w:tab w:val="left" w:pos="2552"/>
        </w:tabs>
        <w:jc w:val="both"/>
        <w:rPr>
          <w:rFonts w:ascii="Calibri" w:hAnsi="Calibri" w:cs="Calibri"/>
          <w:sz w:val="24"/>
          <w:szCs w:val="24"/>
        </w:rPr>
      </w:pPr>
      <w:r>
        <w:rPr>
          <w:rFonts w:ascii="Calibri" w:hAnsi="Calibri" w:cs="Calibri"/>
          <w:sz w:val="24"/>
          <w:szCs w:val="24"/>
        </w:rPr>
        <w:t>As principais políticas contábeis aplicadas na preparação destas informações contábeis estão definidas abaixo.</w:t>
      </w:r>
    </w:p>
    <w:p w:rsidR="00C16DDB" w:rsidRPr="00312424" w:rsidRDefault="00C16DDB" w:rsidP="00905F4A">
      <w:pPr>
        <w:tabs>
          <w:tab w:val="left" w:pos="2552"/>
        </w:tabs>
        <w:jc w:val="both"/>
        <w:rPr>
          <w:rFonts w:ascii="Calibri" w:hAnsi="Calibri" w:cs="Calibri"/>
          <w:b/>
          <w:sz w:val="24"/>
          <w:szCs w:val="24"/>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905F4A">
      <w:pPr>
        <w:pStyle w:val="Recuodecorpodetexto"/>
        <w:widowControl/>
        <w:autoSpaceDE w:val="0"/>
        <w:autoSpaceDN w:val="0"/>
        <w:ind w:left="851"/>
        <w:rPr>
          <w:rFonts w:ascii="Calibri" w:hAnsi="Calibri" w:cs="Calibri"/>
          <w:b/>
          <w:szCs w:val="24"/>
          <w:lang w:val="pt-BR"/>
        </w:rPr>
      </w:pPr>
    </w:p>
    <w:p w:rsidR="00C16DDB" w:rsidRPr="00312424" w:rsidRDefault="00C16DDB" w:rsidP="00905F4A">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prestação dos serviços</w:t>
      </w:r>
      <w:r w:rsidR="000E32C9">
        <w:rPr>
          <w:rFonts w:ascii="Calibri" w:hAnsi="Calibri" w:cs="Calibri"/>
          <w:szCs w:val="24"/>
          <w:lang w:val="pt-BR"/>
        </w:rPr>
        <w:t xml:space="preserve"> (tarifas portuárias)</w:t>
      </w:r>
      <w:r w:rsidRPr="00312424">
        <w:rPr>
          <w:rFonts w:ascii="Calibri" w:hAnsi="Calibri" w:cs="Calibri"/>
          <w:szCs w:val="24"/>
          <w:lang w:val="pt-BR"/>
        </w:rPr>
        <w:t xml:space="preserve">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905F4A">
      <w:pPr>
        <w:pStyle w:val="Recuodecorpodetexto"/>
        <w:ind w:left="1361"/>
        <w:rPr>
          <w:rFonts w:ascii="Calibri" w:hAnsi="Calibri" w:cs="Calibri"/>
          <w:szCs w:val="24"/>
        </w:rPr>
      </w:pPr>
    </w:p>
    <w:p w:rsidR="00C16DDB" w:rsidRPr="00312424" w:rsidRDefault="00947D01" w:rsidP="00905F4A">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905F4A">
      <w:pPr>
        <w:pStyle w:val="Recuodecorpodetexto"/>
        <w:ind w:left="1389"/>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905F4A">
      <w:pPr>
        <w:pStyle w:val="Recuodecorpodetexto"/>
        <w:ind w:left="1361"/>
        <w:rPr>
          <w:rFonts w:ascii="Calibri" w:hAnsi="Calibri" w:cs="Calibri"/>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947D01" w:rsidP="00905F4A">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w:t>
      </w:r>
      <w:r w:rsidR="000E32C9">
        <w:rPr>
          <w:rFonts w:ascii="Calibri" w:hAnsi="Calibri" w:cs="Calibri"/>
          <w:szCs w:val="24"/>
          <w:lang w:val="pt-BR"/>
        </w:rPr>
        <w:t xml:space="preserve"> e outros</w:t>
      </w:r>
      <w:r w:rsidR="00C16DDB" w:rsidRPr="00312424">
        <w:rPr>
          <w:rFonts w:ascii="Calibri" w:hAnsi="Calibri" w:cs="Calibri"/>
          <w:szCs w:val="24"/>
          <w:lang w:val="pt-BR"/>
        </w:rPr>
        <w:t>. Os valores são remetidos por meio do Sistema Integrado de Administração Financeira – SIAFI.</w:t>
      </w:r>
    </w:p>
    <w:p w:rsidR="00C16DDB" w:rsidRPr="00312424" w:rsidRDefault="00C16DDB" w:rsidP="00905F4A">
      <w:pPr>
        <w:pStyle w:val="Recuodecorpodetexto"/>
        <w:widowControl/>
        <w:autoSpaceDE w:val="0"/>
        <w:autoSpaceDN w:val="0"/>
        <w:ind w:left="360" w:firstLine="1058"/>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Ativos </w:t>
      </w:r>
      <w:r w:rsidR="007B713C">
        <w:rPr>
          <w:rFonts w:ascii="Calibri" w:hAnsi="Calibri" w:cs="Calibri"/>
          <w:b/>
          <w:szCs w:val="24"/>
          <w:lang w:val="pt-BR"/>
        </w:rPr>
        <w:t>F</w:t>
      </w:r>
      <w:r w:rsidRPr="00312424">
        <w:rPr>
          <w:rFonts w:ascii="Calibri" w:hAnsi="Calibri" w:cs="Calibri"/>
          <w:b/>
          <w:szCs w:val="24"/>
          <w:lang w:val="pt-BR"/>
        </w:rPr>
        <w:t>inanceiros</w:t>
      </w:r>
    </w:p>
    <w:p w:rsidR="00AF1EA7" w:rsidRDefault="00AF1EA7" w:rsidP="00905F4A">
      <w:pPr>
        <w:pStyle w:val="Recuodecorpodetexto"/>
        <w:widowControl/>
        <w:autoSpaceDE w:val="0"/>
        <w:autoSpaceDN w:val="0"/>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a)</w:t>
      </w:r>
      <w:r w:rsidR="00AF1EA7" w:rsidRPr="007B713C">
        <w:rPr>
          <w:rFonts w:ascii="Calibri" w:hAnsi="Calibri" w:cs="Calibri"/>
          <w:b/>
          <w:szCs w:val="24"/>
          <w:lang w:val="pt-BR"/>
        </w:rPr>
        <w:t xml:space="preserve"> Reconhecimento </w:t>
      </w:r>
      <w:r w:rsidR="00153B3C">
        <w:rPr>
          <w:rFonts w:ascii="Calibri" w:hAnsi="Calibri" w:cs="Calibri"/>
          <w:b/>
          <w:szCs w:val="24"/>
          <w:lang w:val="pt-BR"/>
        </w:rPr>
        <w:t>I</w:t>
      </w:r>
      <w:r w:rsidR="00AF1EA7" w:rsidRPr="007B713C">
        <w:rPr>
          <w:rFonts w:ascii="Calibri" w:hAnsi="Calibri" w:cs="Calibri"/>
          <w:b/>
          <w:szCs w:val="24"/>
          <w:lang w:val="pt-BR"/>
        </w:rPr>
        <w:t xml:space="preserve">nicial e </w:t>
      </w:r>
      <w:r w:rsidR="00153B3C">
        <w:rPr>
          <w:rFonts w:ascii="Calibri" w:hAnsi="Calibri" w:cs="Calibri"/>
          <w:b/>
          <w:szCs w:val="24"/>
          <w:lang w:val="pt-BR"/>
        </w:rPr>
        <w:t>M</w:t>
      </w:r>
      <w:r w:rsidR="00AF1EA7" w:rsidRPr="007B713C">
        <w:rPr>
          <w:rFonts w:ascii="Calibri" w:hAnsi="Calibri" w:cs="Calibri"/>
          <w:b/>
          <w:szCs w:val="24"/>
          <w:lang w:val="pt-BR"/>
        </w:rPr>
        <w:t>ensuração</w:t>
      </w:r>
    </w:p>
    <w:p w:rsidR="00AF1EA7" w:rsidRDefault="00C16DDB"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 xml:space="preserve">inanceiros </w:t>
      </w:r>
      <w:r w:rsidR="00AF1EA7">
        <w:rPr>
          <w:rFonts w:ascii="Calibri" w:hAnsi="Calibri" w:cs="Calibri"/>
          <w:szCs w:val="24"/>
          <w:lang w:val="pt-BR"/>
        </w:rPr>
        <w:t xml:space="preserve">são classificados como ativos financeiros a valor justo por meio do resultado ou empréstimos e recebíveis. A </w:t>
      </w:r>
      <w:r w:rsidR="003924AB">
        <w:rPr>
          <w:rFonts w:ascii="Calibri" w:hAnsi="Calibri" w:cs="Calibri"/>
          <w:szCs w:val="24"/>
          <w:lang w:val="pt-BR"/>
        </w:rPr>
        <w:t>Companhia</w:t>
      </w:r>
      <w:r w:rsidR="00AF1EA7">
        <w:rPr>
          <w:rFonts w:ascii="Calibri" w:hAnsi="Calibri" w:cs="Calibri"/>
          <w:szCs w:val="24"/>
          <w:lang w:val="pt-BR"/>
        </w:rPr>
        <w:t xml:space="preserve"> determina a classificação dos seus ativos financeiros no momento do seu reconhecimento inicial, quando ele se torna parte das disposições contratuais do instrumento.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financeiros são reconhecidos </w:t>
      </w:r>
      <w:r w:rsidRPr="00AF1EA7">
        <w:rPr>
          <w:rFonts w:ascii="Calibri" w:hAnsi="Calibri" w:cs="Calibri"/>
          <w:szCs w:val="24"/>
          <w:lang w:val="pt-BR"/>
        </w:rPr>
        <w:t xml:space="preserve">inicialmente ao valor justo, acrescidos, no caso de investimentos não designados a valor justo por meio do resultado, dos custos de transação que sejam diretamente atribuíveis à aquisição do ativo financeiro. Os ativos financeiros da </w:t>
      </w:r>
      <w:r w:rsidR="003924AB">
        <w:rPr>
          <w:rFonts w:ascii="Calibri" w:hAnsi="Calibri" w:cs="Calibri"/>
          <w:szCs w:val="24"/>
          <w:lang w:val="pt-BR"/>
        </w:rPr>
        <w:t>Companhia</w:t>
      </w:r>
      <w:r w:rsidRPr="00AF1EA7">
        <w:rPr>
          <w:rFonts w:ascii="Calibri" w:hAnsi="Calibri" w:cs="Calibri"/>
          <w:szCs w:val="24"/>
          <w:lang w:val="pt-BR"/>
        </w:rPr>
        <w:t xml:space="preserve"> incluem caixa e equivalentes de caixa, contas a receber de clientes e outras contas a receber.</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b)</w:t>
      </w:r>
      <w:r w:rsidR="00AF1EA7" w:rsidRPr="007B713C">
        <w:rPr>
          <w:rFonts w:ascii="Calibri" w:hAnsi="Calibri" w:cs="Calibri"/>
          <w:b/>
          <w:szCs w:val="24"/>
          <w:lang w:val="pt-BR"/>
        </w:rPr>
        <w:t xml:space="preserve"> Mensuração </w:t>
      </w:r>
      <w:r w:rsidR="00153B3C">
        <w:rPr>
          <w:rFonts w:ascii="Calibri" w:hAnsi="Calibri" w:cs="Calibri"/>
          <w:b/>
          <w:szCs w:val="24"/>
          <w:lang w:val="pt-BR"/>
        </w:rPr>
        <w:t>S</w:t>
      </w:r>
      <w:r w:rsidR="00AF1EA7" w:rsidRPr="007B713C">
        <w:rPr>
          <w:rFonts w:ascii="Calibri" w:hAnsi="Calibri" w:cs="Calibri"/>
          <w:b/>
          <w:szCs w:val="24"/>
          <w:lang w:val="pt-BR"/>
        </w:rPr>
        <w:t>ubsequente</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w:t>
      </w:r>
      <w:r w:rsidRPr="00AF1EA7">
        <w:rPr>
          <w:rFonts w:ascii="Calibri" w:hAnsi="Calibri" w:cs="Calibri"/>
          <w:szCs w:val="24"/>
          <w:lang w:val="pt-BR"/>
        </w:rPr>
        <w:t xml:space="preserve"> de ativos financeiros depende da sua classificação, que pode ser da seguinte forma:</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lastRenderedPageBreak/>
        <w:t xml:space="preserve">Ativos </w:t>
      </w:r>
      <w:r>
        <w:rPr>
          <w:rFonts w:ascii="Calibri" w:hAnsi="Calibri" w:cs="Calibri"/>
          <w:b/>
          <w:szCs w:val="24"/>
          <w:lang w:val="pt-BR"/>
        </w:rPr>
        <w:t>F</w:t>
      </w:r>
      <w:r w:rsidRPr="00AF1EA7">
        <w:rPr>
          <w:rFonts w:ascii="Calibri" w:hAnsi="Calibri" w:cs="Calibri"/>
          <w:b/>
          <w:szCs w:val="24"/>
          <w:lang w:val="pt-BR"/>
        </w:rPr>
        <w:t xml:space="preserve">inanceiros a </w:t>
      </w:r>
      <w:r>
        <w:rPr>
          <w:rFonts w:ascii="Calibri" w:hAnsi="Calibri" w:cs="Calibri"/>
          <w:b/>
          <w:szCs w:val="24"/>
          <w:lang w:val="pt-BR"/>
        </w:rPr>
        <w:t>V</w:t>
      </w:r>
      <w:r w:rsidRPr="00AF1EA7">
        <w:rPr>
          <w:rFonts w:ascii="Calibri" w:hAnsi="Calibri" w:cs="Calibri"/>
          <w:b/>
          <w:szCs w:val="24"/>
          <w:lang w:val="pt-BR"/>
        </w:rPr>
        <w:t xml:space="preserve">alor </w:t>
      </w:r>
      <w:r>
        <w:rPr>
          <w:rFonts w:ascii="Calibri" w:hAnsi="Calibri" w:cs="Calibri"/>
          <w:b/>
          <w:szCs w:val="24"/>
          <w:lang w:val="pt-BR"/>
        </w:rPr>
        <w:t>J</w:t>
      </w:r>
      <w:r w:rsidRPr="00AF1EA7">
        <w:rPr>
          <w:rFonts w:ascii="Calibri" w:hAnsi="Calibri" w:cs="Calibri"/>
          <w:b/>
          <w:szCs w:val="24"/>
          <w:lang w:val="pt-BR"/>
        </w:rPr>
        <w:t xml:space="preserve">usto por </w:t>
      </w:r>
      <w:r>
        <w:rPr>
          <w:rFonts w:ascii="Calibri" w:hAnsi="Calibri" w:cs="Calibri"/>
          <w:b/>
          <w:szCs w:val="24"/>
          <w:lang w:val="pt-BR"/>
        </w:rPr>
        <w:t>M</w:t>
      </w:r>
      <w:r w:rsidRPr="00AF1EA7">
        <w:rPr>
          <w:rFonts w:ascii="Calibri" w:hAnsi="Calibri" w:cs="Calibri"/>
          <w:b/>
          <w:szCs w:val="24"/>
          <w:lang w:val="pt-BR"/>
        </w:rPr>
        <w:t xml:space="preserve">eio do </w:t>
      </w:r>
      <w:r>
        <w:rPr>
          <w:rFonts w:ascii="Calibri" w:hAnsi="Calibri" w:cs="Calibri"/>
          <w:b/>
          <w:szCs w:val="24"/>
          <w:lang w:val="pt-BR"/>
        </w:rPr>
        <w:t>R</w:t>
      </w:r>
      <w:r w:rsidRPr="00AF1EA7">
        <w:rPr>
          <w:rFonts w:ascii="Calibri" w:hAnsi="Calibri" w:cs="Calibri"/>
          <w:b/>
          <w:szCs w:val="24"/>
          <w:lang w:val="pt-BR"/>
        </w:rPr>
        <w:t>esultado</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w:t>
      </w:r>
      <w:r w:rsidRPr="00AF1EA7">
        <w:rPr>
          <w:rFonts w:ascii="Calibri" w:hAnsi="Calibri" w:cs="Calibri"/>
          <w:szCs w:val="24"/>
          <w:lang w:val="pt-BR"/>
        </w:rPr>
        <w:t>financeiros a valor justo por meio do resultado incluem ativos financeiros mantidos para negociação e ativos financeiros designados no reconhecimento inicial a valor justo por meio do resultado. Ativos financeiros são classificados como mantidos para negociação se forem adquiridos com o objetivo de venda no curto prazo. Ativos financeiros a valor justo por meio do resultado são apresentados no balanço patrimonial a valor justo, com os correspondentes ganhos ou perdas reconhecidas na demonstração do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Empréstimos e Recebíveis</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Empréstimos e R</w:t>
      </w:r>
      <w:r w:rsidRPr="00AF1EA7">
        <w:rPr>
          <w:rFonts w:ascii="Calibri" w:hAnsi="Calibri" w:cs="Calibri"/>
          <w:szCs w:val="24"/>
          <w:lang w:val="pt-BR"/>
        </w:rPr>
        <w:t>ecebíveis são ativos financeiros não derivativos, com pagamentos fixos ou determináveis, não cotados em um mercado ativo. Após a mensuração inicial, esses ativos financeiros são contabilizados ao custo amortizado, utilizando o método de juros efetivos (taxa de juros efetiva), menos perda por redução ao valor recuperável. O custo amortizado é calculado levando em consideração qualquer desconto ou “prêmio” na aquisição e taxas ou custos incorridos. A amortização do método de juros efetivos é incluída na linha de receita financeira na demonstração de resultado. As perdas por redução ao valor recuperável são reconhecidas como despesa financeira no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c)</w:t>
      </w:r>
      <w:r w:rsidR="00AF1EA7" w:rsidRPr="007B713C">
        <w:rPr>
          <w:rFonts w:ascii="Calibri" w:hAnsi="Calibri" w:cs="Calibri"/>
          <w:b/>
          <w:szCs w:val="24"/>
          <w:lang w:val="pt-BR"/>
        </w:rPr>
        <w:t xml:space="preserve"> Baixa</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Um ativo financeiro </w:t>
      </w:r>
      <w:r w:rsidRPr="007B713C">
        <w:rPr>
          <w:rFonts w:ascii="Calibri" w:hAnsi="Calibri" w:cs="Calibri"/>
          <w:szCs w:val="24"/>
          <w:lang w:val="pt-BR"/>
        </w:rPr>
        <w:t>(ou, quando for o caso, uma parte de um ativo financeiro ou parte de um grupo de ativos financeiros semelhantes) é baixado quando:</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Os direitos de receber fluxos de caixa do ativo expirarem;</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A empresa transfere </w:t>
      </w:r>
      <w:r w:rsidRPr="007B713C">
        <w:rPr>
          <w:rFonts w:ascii="Calibri" w:hAnsi="Calibri" w:cs="Calibri"/>
          <w:szCs w:val="24"/>
          <w:lang w:val="pt-BR"/>
        </w:rPr>
        <w:t>os seus direitos de receber fluxos de caixa do ativo ou assum</w:t>
      </w:r>
      <w:r>
        <w:rPr>
          <w:rFonts w:ascii="Calibri" w:hAnsi="Calibri" w:cs="Calibri"/>
          <w:szCs w:val="24"/>
          <w:lang w:val="pt-BR"/>
        </w:rPr>
        <w:t>e</w:t>
      </w:r>
      <w:r w:rsidRPr="007B713C">
        <w:rPr>
          <w:rFonts w:ascii="Calibri" w:hAnsi="Calibri" w:cs="Calibri"/>
          <w:szCs w:val="24"/>
          <w:lang w:val="pt-BR"/>
        </w:rPr>
        <w:t xml:space="preserve"> uma obrigação de pagar integralmente os fluxos de caixa recebidos, sem demora significativa, a um terceiro</w:t>
      </w:r>
      <w:r>
        <w:rPr>
          <w:rFonts w:ascii="Calibri" w:hAnsi="Calibri" w:cs="Calibri"/>
          <w:szCs w:val="24"/>
          <w:lang w:val="pt-BR"/>
        </w:rPr>
        <w:t>,</w:t>
      </w:r>
      <w:r w:rsidRPr="007B713C">
        <w:rPr>
          <w:rFonts w:ascii="Calibri" w:hAnsi="Calibri" w:cs="Calibri"/>
          <w:szCs w:val="24"/>
          <w:lang w:val="pt-BR"/>
        </w:rPr>
        <w:t xml:space="preserve"> por força de um acordo de “repasse”;</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transfe</w:t>
      </w:r>
      <w:r>
        <w:rPr>
          <w:rFonts w:ascii="Calibri" w:hAnsi="Calibri" w:cs="Calibri"/>
          <w:szCs w:val="24"/>
          <w:lang w:val="pt-BR"/>
        </w:rPr>
        <w:t>re,</w:t>
      </w:r>
      <w:r w:rsidRPr="007B713C">
        <w:rPr>
          <w:rFonts w:ascii="Calibri" w:hAnsi="Calibri" w:cs="Calibri"/>
          <w:szCs w:val="24"/>
          <w:lang w:val="pt-BR"/>
        </w:rPr>
        <w:t xml:space="preserve"> substancialmente</w:t>
      </w:r>
      <w:r>
        <w:rPr>
          <w:rFonts w:ascii="Calibri" w:hAnsi="Calibri" w:cs="Calibri"/>
          <w:szCs w:val="24"/>
          <w:lang w:val="pt-BR"/>
        </w:rPr>
        <w:t>,</w:t>
      </w:r>
      <w:r w:rsidRPr="007B713C">
        <w:rPr>
          <w:rFonts w:ascii="Calibri" w:hAnsi="Calibri" w:cs="Calibri"/>
          <w:szCs w:val="24"/>
          <w:lang w:val="pt-BR"/>
        </w:rPr>
        <w:t xml:space="preserve"> todos os riscos e benefícios do ativo</w:t>
      </w:r>
      <w:r>
        <w:rPr>
          <w:rFonts w:ascii="Calibri" w:hAnsi="Calibri" w:cs="Calibri"/>
          <w:szCs w:val="24"/>
          <w:lang w:val="pt-BR"/>
        </w:rPr>
        <w:t>;</w:t>
      </w:r>
    </w:p>
    <w:p w:rsidR="007B713C" w:rsidRP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não transfer</w:t>
      </w:r>
      <w:r>
        <w:rPr>
          <w:rFonts w:ascii="Calibri" w:hAnsi="Calibri" w:cs="Calibri"/>
          <w:szCs w:val="24"/>
          <w:lang w:val="pt-BR"/>
        </w:rPr>
        <w:t>e</w:t>
      </w:r>
      <w:r w:rsidRPr="007B713C">
        <w:rPr>
          <w:rFonts w:ascii="Calibri" w:hAnsi="Calibri" w:cs="Calibri"/>
          <w:szCs w:val="24"/>
          <w:lang w:val="pt-BR"/>
        </w:rPr>
        <w:t xml:space="preserve"> nem ret</w:t>
      </w:r>
      <w:r>
        <w:rPr>
          <w:rFonts w:ascii="Calibri" w:hAnsi="Calibri" w:cs="Calibri"/>
          <w:szCs w:val="24"/>
          <w:lang w:val="pt-BR"/>
        </w:rPr>
        <w:t>ém</w:t>
      </w:r>
      <w:r w:rsidRPr="007B713C">
        <w:rPr>
          <w:rFonts w:ascii="Calibri" w:hAnsi="Calibri" w:cs="Calibri"/>
          <w:szCs w:val="24"/>
          <w:lang w:val="pt-BR"/>
        </w:rPr>
        <w:t xml:space="preserve"> substancialmente todos os riscos e benefícios relativos ao ativo, mas transfer</w:t>
      </w:r>
      <w:r>
        <w:rPr>
          <w:rFonts w:ascii="Calibri" w:hAnsi="Calibri" w:cs="Calibri"/>
          <w:szCs w:val="24"/>
          <w:lang w:val="pt-BR"/>
        </w:rPr>
        <w:t>e</w:t>
      </w:r>
      <w:r w:rsidRPr="007B713C">
        <w:rPr>
          <w:rFonts w:ascii="Calibri" w:hAnsi="Calibri" w:cs="Calibri"/>
          <w:szCs w:val="24"/>
          <w:lang w:val="pt-BR"/>
        </w:rPr>
        <w:t xml:space="preserve"> o controle sobre o ativo.</w:t>
      </w:r>
    </w:p>
    <w:p w:rsidR="00C16DDB" w:rsidRPr="00312424" w:rsidRDefault="00C16DDB" w:rsidP="00905F4A">
      <w:pPr>
        <w:pStyle w:val="Recuodecorpodetexto"/>
        <w:widowControl/>
        <w:autoSpaceDE w:val="0"/>
        <w:autoSpaceDN w:val="0"/>
        <w:ind w:left="0"/>
        <w:rPr>
          <w:rFonts w:ascii="Calibri" w:hAnsi="Calibri" w:cs="Calibri"/>
          <w:szCs w:val="24"/>
          <w:lang w:val="pt-BR"/>
        </w:rPr>
      </w:pPr>
    </w:p>
    <w:p w:rsidR="00C16DDB"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t xml:space="preserve">Redução ao Valor Recuperável de Ativos </w:t>
      </w:r>
      <w:r w:rsidR="007964CD">
        <w:rPr>
          <w:rFonts w:ascii="Calibri" w:hAnsi="Calibri" w:cs="Calibri"/>
          <w:b/>
          <w:szCs w:val="24"/>
          <w:lang w:val="pt-BR"/>
        </w:rPr>
        <w:t>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A </w:t>
      </w:r>
      <w:r w:rsidR="003924AB">
        <w:rPr>
          <w:rFonts w:ascii="Calibri" w:hAnsi="Calibri" w:cs="Calibri"/>
          <w:szCs w:val="24"/>
          <w:lang w:val="pt-BR"/>
        </w:rPr>
        <w:t>Companhia</w:t>
      </w:r>
      <w:r w:rsidRPr="00153B3C">
        <w:rPr>
          <w:rFonts w:ascii="Calibri" w:hAnsi="Calibri" w:cs="Calibri"/>
          <w:szCs w:val="24"/>
        </w:rPr>
        <w:t xml:space="preserve"> avalia</w:t>
      </w:r>
      <w:r>
        <w:rPr>
          <w:rFonts w:ascii="Calibri" w:hAnsi="Calibri" w:cs="Calibri"/>
          <w:szCs w:val="24"/>
          <w:lang w:val="pt-BR"/>
        </w:rPr>
        <w:t>,</w:t>
      </w:r>
      <w:r w:rsidRPr="00153B3C">
        <w:rPr>
          <w:rFonts w:ascii="Calibri" w:hAnsi="Calibri" w:cs="Calibri"/>
          <w:szCs w:val="24"/>
        </w:rPr>
        <w:t xml:space="preserve"> nas datas do balanço</w:t>
      </w:r>
      <w:r>
        <w:rPr>
          <w:rFonts w:ascii="Calibri" w:hAnsi="Calibri" w:cs="Calibri"/>
          <w:szCs w:val="24"/>
          <w:lang w:val="pt-BR"/>
        </w:rPr>
        <w:t>,</w:t>
      </w:r>
      <w:r w:rsidRPr="00153B3C">
        <w:rPr>
          <w:rFonts w:ascii="Calibri" w:hAnsi="Calibri" w:cs="Calibri"/>
          <w:szCs w:val="24"/>
        </w:rPr>
        <w:t xml:space="preserve"> se há alguma evidência objetiva que determine se o ativo financeiro ou grupo de ativos financeiros não é recuperável. </w:t>
      </w:r>
    </w:p>
    <w:p w:rsidR="00153B3C" w:rsidRDefault="00153B3C" w:rsidP="00905F4A">
      <w:pPr>
        <w:pStyle w:val="Recuodecorpodetexto"/>
        <w:widowControl/>
        <w:autoSpaceDE w:val="0"/>
        <w:autoSpaceDN w:val="0"/>
        <w:ind w:left="851"/>
        <w:rPr>
          <w:rFonts w:ascii="Calibri" w:hAnsi="Calibri" w:cs="Calibri"/>
          <w:szCs w:val="24"/>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Um ativo financeiro ou grupo de ativos financeiros é considerado como não recuperável se, e somente se, houver evidência objetiva de ausência de </w:t>
      </w:r>
      <w:proofErr w:type="spellStart"/>
      <w:r w:rsidRPr="00153B3C">
        <w:rPr>
          <w:rFonts w:ascii="Calibri" w:hAnsi="Calibri" w:cs="Calibri"/>
          <w:szCs w:val="24"/>
        </w:rPr>
        <w:t>recuperabilidade</w:t>
      </w:r>
      <w:proofErr w:type="spellEnd"/>
      <w:r w:rsidRPr="00153B3C">
        <w:rPr>
          <w:rFonts w:ascii="Calibri" w:hAnsi="Calibri" w:cs="Calibri"/>
          <w:szCs w:val="24"/>
        </w:rPr>
        <w:t xml:space="preserve"> como resultado de um ou mais eventos que tenham acontecido depois do reconhecimento inicial do ativo (“um evento de perda” incorrido) e este evento de perda tenha impacto no fluxo de caixa futuro estimado do ativo financeiro ou da </w:t>
      </w:r>
      <w:r>
        <w:rPr>
          <w:rFonts w:ascii="Calibri" w:hAnsi="Calibri" w:cs="Calibri"/>
          <w:szCs w:val="24"/>
          <w:lang w:val="pt-BR"/>
        </w:rPr>
        <w:t>empresa</w:t>
      </w:r>
      <w:r w:rsidRPr="00153B3C">
        <w:rPr>
          <w:rFonts w:ascii="Calibri" w:hAnsi="Calibri" w:cs="Calibri"/>
          <w:szCs w:val="24"/>
        </w:rPr>
        <w:t xml:space="preserve">. </w:t>
      </w:r>
    </w:p>
    <w:p w:rsidR="00153B3C" w:rsidRDefault="00153B3C" w:rsidP="00905F4A">
      <w:pPr>
        <w:pStyle w:val="Recuodecorpodetexto"/>
        <w:widowControl/>
        <w:autoSpaceDE w:val="0"/>
        <w:autoSpaceDN w:val="0"/>
        <w:rPr>
          <w:rFonts w:ascii="Calibri" w:hAnsi="Calibri" w:cs="Calibri"/>
          <w:b/>
          <w:szCs w:val="24"/>
        </w:rPr>
      </w:pPr>
    </w:p>
    <w:p w:rsidR="00F75D53" w:rsidRDefault="00F75D53" w:rsidP="00905F4A">
      <w:pPr>
        <w:pStyle w:val="Recuodecorpodetexto"/>
        <w:widowControl/>
        <w:autoSpaceDE w:val="0"/>
        <w:autoSpaceDN w:val="0"/>
        <w:rPr>
          <w:rFonts w:ascii="Calibri" w:hAnsi="Calibri" w:cs="Calibri"/>
          <w:b/>
          <w:szCs w:val="24"/>
        </w:rPr>
      </w:pPr>
    </w:p>
    <w:p w:rsidR="00F75D53" w:rsidRDefault="00F75D53" w:rsidP="00905F4A">
      <w:pPr>
        <w:pStyle w:val="Recuodecorpodetexto"/>
        <w:widowControl/>
        <w:autoSpaceDE w:val="0"/>
        <w:autoSpaceDN w:val="0"/>
        <w:rPr>
          <w:rFonts w:ascii="Calibri" w:hAnsi="Calibri" w:cs="Calibri"/>
          <w:b/>
          <w:szCs w:val="24"/>
        </w:rPr>
      </w:pPr>
    </w:p>
    <w:p w:rsidR="00F75D53" w:rsidRDefault="00F75D53" w:rsidP="00905F4A">
      <w:pPr>
        <w:pStyle w:val="Recuodecorpodetexto"/>
        <w:widowControl/>
        <w:autoSpaceDE w:val="0"/>
        <w:autoSpaceDN w:val="0"/>
        <w:rPr>
          <w:rFonts w:ascii="Calibri" w:hAnsi="Calibri" w:cs="Calibri"/>
          <w:b/>
          <w:szCs w:val="24"/>
        </w:rPr>
      </w:pPr>
    </w:p>
    <w:p w:rsidR="00F75D53" w:rsidRPr="00153B3C" w:rsidRDefault="00F75D53" w:rsidP="00905F4A">
      <w:pPr>
        <w:pStyle w:val="Recuodecorpodetexto"/>
        <w:widowControl/>
        <w:autoSpaceDE w:val="0"/>
        <w:autoSpaceDN w:val="0"/>
        <w:rPr>
          <w:rFonts w:ascii="Calibri" w:hAnsi="Calibri" w:cs="Calibri"/>
          <w:b/>
          <w:szCs w:val="24"/>
        </w:rPr>
      </w:pPr>
    </w:p>
    <w:p w:rsidR="00153B3C"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lastRenderedPageBreak/>
        <w:t>Passivos 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 xml:space="preserve">a) Reconhecimento </w:t>
      </w:r>
      <w:r>
        <w:rPr>
          <w:rFonts w:ascii="Calibri" w:hAnsi="Calibri" w:cs="Calibri"/>
          <w:b/>
          <w:szCs w:val="24"/>
          <w:lang w:val="pt-BR"/>
        </w:rPr>
        <w:t>I</w:t>
      </w:r>
      <w:r w:rsidRPr="007B713C">
        <w:rPr>
          <w:rFonts w:ascii="Calibri" w:hAnsi="Calibri" w:cs="Calibri"/>
          <w:b/>
          <w:szCs w:val="24"/>
          <w:lang w:val="pt-BR"/>
        </w:rPr>
        <w:t xml:space="preserve">nicial e </w:t>
      </w:r>
      <w:r>
        <w:rPr>
          <w:rFonts w:ascii="Calibri" w:hAnsi="Calibri" w:cs="Calibri"/>
          <w:b/>
          <w:szCs w:val="24"/>
          <w:lang w:val="pt-BR"/>
        </w:rPr>
        <w:t>M</w:t>
      </w:r>
      <w:r w:rsidRPr="007B713C">
        <w:rPr>
          <w:rFonts w:ascii="Calibri" w:hAnsi="Calibri" w:cs="Calibri"/>
          <w:b/>
          <w:szCs w:val="24"/>
          <w:lang w:val="pt-BR"/>
        </w:rPr>
        <w:t>ensuração</w:t>
      </w:r>
    </w:p>
    <w:p w:rsidR="00BF684A" w:rsidRDefault="00153B3C"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BF684A">
        <w:rPr>
          <w:rFonts w:ascii="Calibri" w:hAnsi="Calibri" w:cs="Calibri"/>
          <w:szCs w:val="24"/>
          <w:lang w:val="pt-BR"/>
        </w:rPr>
        <w:t xml:space="preserve">passivos </w:t>
      </w:r>
      <w:r>
        <w:rPr>
          <w:rFonts w:ascii="Calibri" w:hAnsi="Calibri" w:cs="Calibri"/>
          <w:szCs w:val="24"/>
          <w:lang w:val="pt-BR"/>
        </w:rPr>
        <w:t>f</w:t>
      </w:r>
      <w:r w:rsidRPr="00312424">
        <w:rPr>
          <w:rFonts w:ascii="Calibri" w:hAnsi="Calibri" w:cs="Calibri"/>
          <w:szCs w:val="24"/>
          <w:lang w:val="pt-BR"/>
        </w:rPr>
        <w:t xml:space="preserve">inanceiros </w:t>
      </w:r>
      <w:r>
        <w:rPr>
          <w:rFonts w:ascii="Calibri" w:hAnsi="Calibri" w:cs="Calibri"/>
          <w:szCs w:val="24"/>
          <w:lang w:val="pt-BR"/>
        </w:rPr>
        <w:t xml:space="preserve">são </w:t>
      </w:r>
      <w:r w:rsidR="00BF684A" w:rsidRPr="00BF684A">
        <w:rPr>
          <w:rFonts w:ascii="Calibri" w:hAnsi="Calibri" w:cs="Calibri"/>
          <w:szCs w:val="24"/>
          <w:lang w:val="pt-BR"/>
        </w:rPr>
        <w:t xml:space="preserve">classificados na categoria de empréstimos e financiamentos. A </w:t>
      </w:r>
      <w:r w:rsidR="003924AB">
        <w:rPr>
          <w:rFonts w:ascii="Calibri" w:hAnsi="Calibri" w:cs="Calibri"/>
          <w:szCs w:val="24"/>
          <w:lang w:val="pt-BR"/>
        </w:rPr>
        <w:t>Companhia</w:t>
      </w:r>
      <w:r w:rsidR="00BF684A" w:rsidRPr="00BF684A">
        <w:rPr>
          <w:rFonts w:ascii="Calibri" w:hAnsi="Calibri" w:cs="Calibri"/>
          <w:szCs w:val="24"/>
          <w:lang w:val="pt-BR"/>
        </w:rPr>
        <w:t xml:space="preserve"> determina a classificação dos seus passivos financeiros no momento do seu reconhecimento inicial. </w:t>
      </w:r>
    </w:p>
    <w:p w:rsidR="00BF684A" w:rsidRDefault="00BF684A" w:rsidP="00905F4A">
      <w:pPr>
        <w:pStyle w:val="Recuodecorpodetexto"/>
        <w:widowControl/>
        <w:autoSpaceDE w:val="0"/>
        <w:autoSpaceDN w:val="0"/>
        <w:ind w:left="1701"/>
        <w:rPr>
          <w:rFonts w:ascii="Calibri" w:hAnsi="Calibri" w:cs="Calibri"/>
          <w:szCs w:val="24"/>
          <w:lang w:val="pt-BR"/>
        </w:rPr>
      </w:pPr>
    </w:p>
    <w:p w:rsidR="00153B3C" w:rsidRDefault="00BF684A" w:rsidP="00905F4A">
      <w:pPr>
        <w:pStyle w:val="Recuodecorpodetexto"/>
        <w:widowControl/>
        <w:autoSpaceDE w:val="0"/>
        <w:autoSpaceDN w:val="0"/>
        <w:ind w:left="1701"/>
        <w:rPr>
          <w:rFonts w:ascii="Calibri" w:hAnsi="Calibri" w:cs="Calibri"/>
          <w:szCs w:val="24"/>
          <w:lang w:val="pt-BR"/>
        </w:rPr>
      </w:pPr>
      <w:r w:rsidRPr="00BF684A">
        <w:rPr>
          <w:rFonts w:ascii="Calibri" w:hAnsi="Calibri" w:cs="Calibri"/>
          <w:szCs w:val="24"/>
          <w:lang w:val="pt-BR"/>
        </w:rPr>
        <w:t>Passivos financeiros são inicialmente reconhecidos a valor justo e, no caso de empréstimos e financiamentos, são acrescidos do custo da transação diretamente relacionado.</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Os passivos financeiros incluem contas a pagar a fornecedores, outras contas a pagar e empréstimos e financiamentos.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b</w:t>
      </w:r>
      <w:r w:rsidRPr="007B713C">
        <w:rPr>
          <w:rFonts w:ascii="Calibri" w:hAnsi="Calibri" w:cs="Calibri"/>
          <w:b/>
          <w:szCs w:val="24"/>
          <w:lang w:val="pt-BR"/>
        </w:rPr>
        <w:t xml:space="preserve">) </w:t>
      </w:r>
      <w:r>
        <w:rPr>
          <w:rFonts w:ascii="Calibri" w:hAnsi="Calibri" w:cs="Calibri"/>
          <w:b/>
          <w:szCs w:val="24"/>
          <w:lang w:val="pt-BR"/>
        </w:rPr>
        <w:t>Mensuração Subsequente</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 dos passivos financeiros depende da sua classificação, que pode ser da seguinte forma:</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Pr="00AF1EA7" w:rsidRDefault="00BF684A"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Empréstimos e </w:t>
      </w:r>
      <w:r>
        <w:rPr>
          <w:rFonts w:ascii="Calibri" w:hAnsi="Calibri" w:cs="Calibri"/>
          <w:b/>
          <w:szCs w:val="24"/>
          <w:lang w:val="pt-BR"/>
        </w:rPr>
        <w:t>Financiamentos</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Após </w:t>
      </w:r>
      <w:r w:rsidRPr="00BF684A">
        <w:rPr>
          <w:rFonts w:ascii="Calibri" w:hAnsi="Calibri" w:cs="Calibri"/>
          <w:szCs w:val="24"/>
          <w:lang w:val="pt-BR"/>
        </w:rPr>
        <w:t>reconhecimento inicial, empréstimos e financiamentos sujeitos a juros são mensurados subsequentemente pelo custo amortizado, utilizando o método da taxa de juros efetivos. Ganhos e perdas são reconhecidos na demonstração do resultado no momento da baixa dos passivos, bem como durante o processo de amortização pelo método da taxa de juros efetivos.</w:t>
      </w:r>
    </w:p>
    <w:p w:rsidR="00153B3C" w:rsidRDefault="00153B3C" w:rsidP="00905F4A">
      <w:pPr>
        <w:pStyle w:val="Recuodecorpodetexto"/>
        <w:widowControl/>
        <w:autoSpaceDE w:val="0"/>
        <w:autoSpaceDN w:val="0"/>
        <w:ind w:left="1701"/>
        <w:rPr>
          <w:rFonts w:ascii="Calibri" w:hAnsi="Calibri" w:cs="Calibri"/>
          <w:szCs w:val="24"/>
          <w:lang w:val="pt-BR"/>
        </w:rPr>
      </w:pPr>
    </w:p>
    <w:p w:rsidR="00153B3C" w:rsidRPr="007B713C" w:rsidRDefault="00BF684A"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c</w:t>
      </w:r>
      <w:r w:rsidR="00153B3C" w:rsidRPr="007B713C">
        <w:rPr>
          <w:rFonts w:ascii="Calibri" w:hAnsi="Calibri" w:cs="Calibri"/>
          <w:b/>
          <w:szCs w:val="24"/>
          <w:lang w:val="pt-BR"/>
        </w:rPr>
        <w:t xml:space="preserve">) </w:t>
      </w:r>
      <w:r w:rsidR="00153B3C">
        <w:rPr>
          <w:rFonts w:ascii="Calibri" w:hAnsi="Calibri" w:cs="Calibri"/>
          <w:b/>
          <w:szCs w:val="24"/>
          <w:lang w:val="pt-BR"/>
        </w:rPr>
        <w:t>Baixa</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Um passivo financeiro é baixado quando:</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obrigação é revogada, cancelada ou quando expirar;</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Quando </w:t>
      </w:r>
      <w:r w:rsidRPr="00BF684A">
        <w:rPr>
          <w:rFonts w:ascii="Calibri" w:hAnsi="Calibri" w:cs="Calibri"/>
          <w:szCs w:val="24"/>
          <w:lang w:val="pt-BR"/>
        </w:rPr>
        <w:t>for substituído por outro do mesmo mutuante com termos substancialmente diferentes</w:t>
      </w:r>
      <w:r>
        <w:rPr>
          <w:rFonts w:ascii="Calibri" w:hAnsi="Calibri" w:cs="Calibri"/>
          <w:szCs w:val="24"/>
          <w:lang w:val="pt-BR"/>
        </w:rPr>
        <w:t>;</w:t>
      </w:r>
    </w:p>
    <w:p w:rsidR="00153B3C"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Quando</w:t>
      </w:r>
      <w:r w:rsidRPr="00BF684A">
        <w:rPr>
          <w:rFonts w:ascii="Calibri" w:hAnsi="Calibri" w:cs="Calibri"/>
          <w:szCs w:val="24"/>
          <w:lang w:val="pt-BR"/>
        </w:rPr>
        <w:t xml:space="preserve"> os termos de um passivo existente forem significativamente de um novo passivo, sendo a diferença nos correspondentes valores contábeis reconhecida na demonstração do resultado.</w:t>
      </w:r>
    </w:p>
    <w:p w:rsidR="00462F47" w:rsidRPr="00312424" w:rsidRDefault="00462F47"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widowControl/>
        <w:autoSpaceDE w:val="0"/>
        <w:autoSpaceDN w:val="0"/>
        <w:ind w:left="851"/>
        <w:rPr>
          <w:rFonts w:ascii="Calibri" w:hAnsi="Calibri" w:cs="Calibri"/>
          <w:szCs w:val="24"/>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em montantes considerados suficientes pela Administração para cobrir as possíveis perda</w:t>
      </w:r>
      <w:r w:rsidR="007B3EDF">
        <w:rPr>
          <w:rFonts w:ascii="Calibri" w:hAnsi="Calibri" w:cs="Calibri"/>
          <w:szCs w:val="24"/>
          <w:lang w:val="pt-BR"/>
        </w:rPr>
        <w:t>s na realização destes créditos</w:t>
      </w:r>
      <w:r w:rsidR="00F366E4">
        <w:rPr>
          <w:rFonts w:ascii="Calibri" w:hAnsi="Calibri" w:cs="Calibri"/>
          <w:szCs w:val="24"/>
          <w:lang w:val="pt-BR"/>
        </w:rPr>
        <w:t>.</w:t>
      </w: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lastRenderedPageBreak/>
        <w:t>Estoques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00F75D53">
        <w:rPr>
          <w:rFonts w:ascii="Calibri" w:hAnsi="Calibri" w:cs="Calibri"/>
          <w:szCs w:val="24"/>
          <w:lang w:val="pt-BR"/>
        </w:rPr>
        <w:t xml:space="preserve"> (material de consumo)</w:t>
      </w:r>
      <w:r w:rsidRPr="00312424">
        <w:rPr>
          <w:rFonts w:ascii="Calibri" w:hAnsi="Calibri" w:cs="Calibri"/>
          <w:szCs w:val="24"/>
        </w:rPr>
        <w:t xml:space="preserve"> a serem utilizados nas atividades da </w:t>
      </w:r>
      <w:r w:rsidR="003924AB">
        <w:rPr>
          <w:rFonts w:ascii="Calibri" w:hAnsi="Calibri" w:cs="Calibri"/>
          <w:szCs w:val="24"/>
          <w:lang w:val="pt-BR"/>
        </w:rPr>
        <w:t>Companhia</w:t>
      </w:r>
      <w:r w:rsidRPr="00312424">
        <w:rPr>
          <w:rFonts w:ascii="Calibri" w:hAnsi="Calibri" w:cs="Calibri"/>
          <w:szCs w:val="24"/>
        </w:rPr>
        <w:t xml:space="preserve"> e estão avaliados ao custo médio de aquisição, não excedendo o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E606FD"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s por outros órgãos públicos.</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Uma vez classificados como bens disponibilizados para vendas e/ou cessão, os ativos não são depreciados e seu registro se dá pelo menor valor entre seu valor r</w:t>
      </w:r>
      <w:r w:rsidR="00E37661">
        <w:rPr>
          <w:rFonts w:ascii="Calibri" w:hAnsi="Calibri" w:cs="Calibri"/>
          <w:szCs w:val="24"/>
          <w:lang w:val="pt-BR"/>
        </w:rPr>
        <w:t>esidual e seu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E606FD"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w:t>
      </w:r>
      <w:r w:rsidR="00BD3CB0">
        <w:rPr>
          <w:rFonts w:ascii="Calibri" w:hAnsi="Calibri" w:cs="Calibri"/>
          <w:szCs w:val="24"/>
          <w:lang w:val="pt-BR"/>
        </w:rPr>
        <w:t xml:space="preserve"> judicial</w:t>
      </w:r>
      <w:r w:rsidRPr="00312424">
        <w:rPr>
          <w:rFonts w:ascii="Calibri" w:hAnsi="Calibri" w:cs="Calibri"/>
          <w:szCs w:val="24"/>
          <w:lang w:val="pt-BR"/>
        </w:rPr>
        <w:t xml:space="preserve"> acerca dos valores envolvidos e sua exigibilidade.</w:t>
      </w:r>
    </w:p>
    <w:p w:rsidR="006715E0" w:rsidRPr="00312424" w:rsidRDefault="006715E0"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w:t>
      </w:r>
    </w:p>
    <w:p w:rsidR="00AE3EE6" w:rsidRPr="00312424" w:rsidRDefault="00AE3EE6" w:rsidP="00905F4A">
      <w:pPr>
        <w:rPr>
          <w:rFonts w:ascii="Calibri" w:hAnsi="Calibri" w:cs="Calibri"/>
          <w:sz w:val="24"/>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905F4A">
      <w:pPr>
        <w:pStyle w:val="Recuodecorpodetexto"/>
        <w:widowControl/>
        <w:autoSpaceDE w:val="0"/>
        <w:autoSpaceDN w:val="0"/>
        <w:ind w:left="1418"/>
        <w:rPr>
          <w:rFonts w:ascii="Calibri" w:hAnsi="Calibri" w:cs="Calibri"/>
          <w:szCs w:val="24"/>
        </w:rPr>
      </w:pPr>
    </w:p>
    <w:p w:rsidR="00861708"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w:t>
      </w:r>
      <w:r w:rsidR="00861708">
        <w:rPr>
          <w:rFonts w:ascii="Calibri" w:hAnsi="Calibri" w:cs="Calibri"/>
          <w:sz w:val="24"/>
          <w:szCs w:val="24"/>
        </w:rPr>
        <w:t xml:space="preserve">é registrado pelo valor de </w:t>
      </w:r>
      <w:r w:rsidRPr="00312424">
        <w:rPr>
          <w:rFonts w:ascii="Calibri" w:hAnsi="Calibri" w:cs="Calibri"/>
          <w:sz w:val="24"/>
          <w:szCs w:val="24"/>
        </w:rPr>
        <w:t>custo</w:t>
      </w:r>
      <w:r w:rsidR="00861708">
        <w:rPr>
          <w:rFonts w:ascii="Calibri" w:hAnsi="Calibri" w:cs="Calibri"/>
          <w:sz w:val="24"/>
          <w:szCs w:val="24"/>
        </w:rPr>
        <w:t>, o qual é formado pelo custo</w:t>
      </w:r>
      <w:r w:rsidRPr="00312424">
        <w:rPr>
          <w:rFonts w:ascii="Calibri" w:hAnsi="Calibri" w:cs="Calibri"/>
          <w:sz w:val="24"/>
          <w:szCs w:val="24"/>
        </w:rPr>
        <w:t xml:space="preserve"> de aquisição,</w:t>
      </w:r>
      <w:r w:rsidR="00861708">
        <w:rPr>
          <w:rFonts w:ascii="Calibri" w:hAnsi="Calibri" w:cs="Calibri"/>
          <w:sz w:val="24"/>
          <w:szCs w:val="24"/>
        </w:rPr>
        <w:t xml:space="preserve"> formação ou construção, adicionados os juros e demais encargos financeiros incorridos durante a construção ou desenvolvimento de projetos, líquido</w:t>
      </w:r>
      <w:r w:rsidRPr="00312424">
        <w:rPr>
          <w:rFonts w:ascii="Calibri" w:hAnsi="Calibri" w:cs="Calibri"/>
          <w:sz w:val="24"/>
          <w:szCs w:val="24"/>
        </w:rPr>
        <w:t xml:space="preserve"> de depreciação</w:t>
      </w:r>
      <w:r w:rsidR="00861708">
        <w:rPr>
          <w:rFonts w:ascii="Calibri" w:hAnsi="Calibri" w:cs="Calibri"/>
          <w:sz w:val="24"/>
          <w:szCs w:val="24"/>
        </w:rPr>
        <w:t>.</w:t>
      </w:r>
      <w:r w:rsidRPr="00312424">
        <w:rPr>
          <w:rFonts w:ascii="Calibri" w:hAnsi="Calibri" w:cs="Calibri"/>
          <w:sz w:val="24"/>
          <w:szCs w:val="24"/>
        </w:rPr>
        <w:t xml:space="preserve"> </w:t>
      </w:r>
    </w:p>
    <w:p w:rsidR="00F5394A" w:rsidRPr="00F5394A" w:rsidRDefault="00F5394A" w:rsidP="00F5394A"/>
    <w:p w:rsidR="00F5394A" w:rsidRPr="00D711D0" w:rsidRDefault="00F5394A" w:rsidP="00F5394A">
      <w:pPr>
        <w:pStyle w:val="PargrafodaLista"/>
        <w:numPr>
          <w:ilvl w:val="0"/>
          <w:numId w:val="26"/>
        </w:numPr>
        <w:jc w:val="both"/>
        <w:rPr>
          <w:rFonts w:cs="Calibri"/>
          <w:b/>
          <w:sz w:val="24"/>
          <w:szCs w:val="24"/>
        </w:rPr>
      </w:pPr>
      <w:r w:rsidRPr="00D711D0">
        <w:rPr>
          <w:rFonts w:cs="Calibri"/>
          <w:b/>
          <w:sz w:val="24"/>
          <w:szCs w:val="24"/>
          <w:u w:val="single"/>
        </w:rPr>
        <w:t>T</w:t>
      </w:r>
      <w:r w:rsidR="00B328CF">
        <w:rPr>
          <w:rFonts w:cs="Calibri"/>
          <w:b/>
          <w:sz w:val="24"/>
          <w:szCs w:val="24"/>
          <w:u w:val="single"/>
        </w:rPr>
        <w:t xml:space="preserve">este de </w:t>
      </w:r>
      <w:proofErr w:type="spellStart"/>
      <w:r w:rsidR="00B328CF">
        <w:rPr>
          <w:rFonts w:cs="Calibri"/>
          <w:b/>
          <w:sz w:val="24"/>
          <w:szCs w:val="24"/>
          <w:u w:val="single"/>
        </w:rPr>
        <w:t>recuperabilidade</w:t>
      </w:r>
      <w:proofErr w:type="spellEnd"/>
      <w:r w:rsidRPr="00D711D0">
        <w:rPr>
          <w:rFonts w:cs="Calibri"/>
          <w:b/>
          <w:sz w:val="24"/>
          <w:szCs w:val="24"/>
          <w:u w:val="single"/>
        </w:rPr>
        <w:t xml:space="preserve"> – </w:t>
      </w:r>
      <w:proofErr w:type="spellStart"/>
      <w:r w:rsidRPr="00D711D0">
        <w:rPr>
          <w:rFonts w:cs="Calibri"/>
          <w:b/>
          <w:i/>
          <w:sz w:val="24"/>
          <w:szCs w:val="24"/>
          <w:u w:val="single"/>
        </w:rPr>
        <w:t>I</w:t>
      </w:r>
      <w:r w:rsidR="00B328CF">
        <w:rPr>
          <w:rFonts w:cs="Calibri"/>
          <w:b/>
          <w:i/>
          <w:sz w:val="24"/>
          <w:szCs w:val="24"/>
          <w:u w:val="single"/>
        </w:rPr>
        <w:t>mpairment</w:t>
      </w:r>
      <w:proofErr w:type="spellEnd"/>
    </w:p>
    <w:p w:rsidR="00F5394A" w:rsidRDefault="00BE3488" w:rsidP="00F5394A">
      <w:pPr>
        <w:ind w:left="851"/>
        <w:jc w:val="both"/>
        <w:rPr>
          <w:rFonts w:ascii="Calibri" w:hAnsi="Calibri" w:cs="Calibri"/>
          <w:noProof/>
          <w:snapToGrid/>
          <w:sz w:val="24"/>
          <w:szCs w:val="24"/>
        </w:rPr>
      </w:pPr>
      <w:r>
        <w:rPr>
          <w:rFonts w:ascii="Calibri" w:hAnsi="Calibri" w:cs="Calibri"/>
          <w:noProof/>
          <w:snapToGrid/>
          <w:sz w:val="24"/>
          <w:szCs w:val="24"/>
        </w:rPr>
        <w:t xml:space="preserve">Estudos </w:t>
      </w:r>
      <w:r w:rsidR="00FD16A0">
        <w:rPr>
          <w:rFonts w:ascii="Calibri" w:hAnsi="Calibri" w:cs="Calibri"/>
          <w:noProof/>
          <w:snapToGrid/>
          <w:sz w:val="24"/>
          <w:szCs w:val="24"/>
        </w:rPr>
        <w:t xml:space="preserve">internos </w:t>
      </w:r>
      <w:r>
        <w:rPr>
          <w:rFonts w:ascii="Calibri" w:hAnsi="Calibri" w:cs="Calibri"/>
          <w:noProof/>
          <w:snapToGrid/>
          <w:sz w:val="24"/>
          <w:szCs w:val="24"/>
        </w:rPr>
        <w:t xml:space="preserve">provaram </w:t>
      </w:r>
      <w:r w:rsidR="00F5394A">
        <w:rPr>
          <w:rFonts w:ascii="Calibri" w:hAnsi="Calibri" w:cs="Calibri"/>
          <w:noProof/>
          <w:snapToGrid/>
          <w:sz w:val="24"/>
          <w:szCs w:val="24"/>
        </w:rPr>
        <w:t>a recuperabilidade de todos os ativos tangíveis e intangíveis</w:t>
      </w:r>
      <w:r w:rsidR="00FD16A0">
        <w:rPr>
          <w:rFonts w:ascii="Calibri" w:hAnsi="Calibri" w:cs="Calibri"/>
          <w:noProof/>
          <w:snapToGrid/>
          <w:sz w:val="24"/>
          <w:szCs w:val="24"/>
        </w:rPr>
        <w:t xml:space="preserve"> das quatro unidades geradoras de caixa: </w:t>
      </w:r>
      <w:r w:rsidR="00F5394A">
        <w:rPr>
          <w:rFonts w:ascii="Calibri" w:hAnsi="Calibri" w:cs="Calibri"/>
          <w:noProof/>
          <w:snapToGrid/>
          <w:sz w:val="24"/>
          <w:szCs w:val="24"/>
        </w:rPr>
        <w:t>UGC Porto do Rio de Janeiro</w:t>
      </w:r>
      <w:r w:rsidR="00FD16A0">
        <w:rPr>
          <w:rFonts w:ascii="Calibri" w:hAnsi="Calibri" w:cs="Calibri"/>
          <w:noProof/>
          <w:snapToGrid/>
          <w:sz w:val="24"/>
          <w:szCs w:val="24"/>
        </w:rPr>
        <w:t>,</w:t>
      </w:r>
      <w:r w:rsidR="00F5394A">
        <w:rPr>
          <w:rFonts w:ascii="Calibri" w:hAnsi="Calibri" w:cs="Calibri"/>
          <w:noProof/>
          <w:snapToGrid/>
          <w:sz w:val="24"/>
          <w:szCs w:val="24"/>
        </w:rPr>
        <w:t xml:space="preserve"> UGC Porto de Itaguaí, UGC Porto de Niterói e UGC Porto de Angra dos Reis.</w:t>
      </w:r>
      <w:r>
        <w:rPr>
          <w:rFonts w:ascii="Calibri" w:hAnsi="Calibri" w:cs="Calibri"/>
          <w:noProof/>
          <w:snapToGrid/>
          <w:sz w:val="24"/>
          <w:szCs w:val="24"/>
        </w:rPr>
        <w:t xml:space="preserve"> Os estudos provaram também que não houve indícios de perda por desvalorização.</w:t>
      </w:r>
    </w:p>
    <w:p w:rsidR="00F5394A" w:rsidRDefault="00F5394A" w:rsidP="00F5394A">
      <w:pPr>
        <w:ind w:left="851"/>
        <w:jc w:val="both"/>
        <w:rPr>
          <w:rFonts w:ascii="Calibri" w:hAnsi="Calibri" w:cs="Calibri"/>
          <w:noProof/>
          <w:snapToGrid/>
          <w:sz w:val="24"/>
          <w:szCs w:val="24"/>
        </w:rPr>
      </w:pPr>
    </w:p>
    <w:p w:rsidR="00F5394A" w:rsidRDefault="00F5394A" w:rsidP="00F5394A"/>
    <w:p w:rsidR="00BE3488" w:rsidRPr="00D711D0" w:rsidRDefault="00BE3488" w:rsidP="00F5394A"/>
    <w:p w:rsidR="00F5394A" w:rsidRPr="00D711D0" w:rsidRDefault="00F5394A" w:rsidP="00F5394A">
      <w:pPr>
        <w:pStyle w:val="Ttulo3"/>
        <w:numPr>
          <w:ilvl w:val="0"/>
          <w:numId w:val="26"/>
        </w:numPr>
        <w:jc w:val="both"/>
        <w:rPr>
          <w:rFonts w:ascii="Calibri" w:hAnsi="Calibri" w:cs="Calibri"/>
          <w:b/>
          <w:bCs/>
          <w:sz w:val="24"/>
          <w:szCs w:val="24"/>
        </w:rPr>
      </w:pPr>
      <w:r w:rsidRPr="00D711D0">
        <w:rPr>
          <w:rFonts w:ascii="Calibri" w:hAnsi="Calibri" w:cs="Calibri"/>
          <w:b/>
          <w:bCs/>
          <w:sz w:val="24"/>
          <w:szCs w:val="24"/>
        </w:rPr>
        <w:lastRenderedPageBreak/>
        <w:t>Vida útil</w:t>
      </w:r>
    </w:p>
    <w:p w:rsidR="00F5394A" w:rsidRPr="00D711D0" w:rsidRDefault="00F5394A" w:rsidP="00F5394A"/>
    <w:p w:rsidR="00F5394A" w:rsidRPr="00312424" w:rsidRDefault="00F5394A" w:rsidP="00F5394A">
      <w:pPr>
        <w:pStyle w:val="Ttulo3"/>
        <w:ind w:left="851"/>
        <w:jc w:val="both"/>
        <w:rPr>
          <w:rFonts w:ascii="Calibri" w:hAnsi="Calibri" w:cs="Calibri"/>
          <w:sz w:val="24"/>
          <w:szCs w:val="24"/>
        </w:rPr>
      </w:pPr>
      <w:r w:rsidRPr="00312424">
        <w:rPr>
          <w:rFonts w:ascii="Calibri" w:hAnsi="Calibri" w:cs="Calibri"/>
          <w:sz w:val="24"/>
          <w:szCs w:val="24"/>
        </w:rPr>
        <w:t>A depreciação é calculada segundo o método linear, com base em taxas que contemplam a vida útil-econômica estimada para cada classe de bens</w:t>
      </w:r>
      <w:r>
        <w:rPr>
          <w:rFonts w:ascii="Calibri" w:hAnsi="Calibri" w:cs="Calibri"/>
          <w:sz w:val="24"/>
          <w:szCs w:val="24"/>
        </w:rPr>
        <w:t>.</w:t>
      </w:r>
    </w:p>
    <w:p w:rsidR="00F5394A" w:rsidRDefault="00F5394A" w:rsidP="00F5394A">
      <w:pPr>
        <w:pStyle w:val="Recuodecorpodetexto"/>
        <w:widowControl/>
        <w:autoSpaceDE w:val="0"/>
        <w:autoSpaceDN w:val="0"/>
        <w:ind w:left="1353"/>
        <w:rPr>
          <w:rFonts w:ascii="Calibri" w:hAnsi="Calibri" w:cs="Calibri"/>
          <w:b/>
          <w:szCs w:val="24"/>
          <w:lang w:val="pt-BR"/>
        </w:rPr>
      </w:pPr>
    </w:p>
    <w:p w:rsidR="00F5394A" w:rsidRDefault="00F5394A" w:rsidP="00F5394A">
      <w:pPr>
        <w:pStyle w:val="Ttulo3"/>
        <w:ind w:left="851"/>
        <w:jc w:val="both"/>
        <w:rPr>
          <w:rFonts w:ascii="Calibri" w:hAnsi="Calibri" w:cs="Calibri"/>
          <w:sz w:val="24"/>
          <w:szCs w:val="24"/>
        </w:rPr>
      </w:pPr>
      <w:r>
        <w:rPr>
          <w:rFonts w:ascii="Calibri" w:hAnsi="Calibri" w:cs="Calibri"/>
          <w:sz w:val="24"/>
          <w:szCs w:val="24"/>
        </w:rPr>
        <w:t>O Imobilizado está segregado nos seguintes grupos, segundo o Manual de Contas das Autoridades Portuárias, instituído pela Portaria nº 57, de 8 de março de 2016, da ANTAQ, e possui as seguintes taxas anuais de depreciação:</w:t>
      </w:r>
    </w:p>
    <w:p w:rsidR="008B1598" w:rsidRDefault="008B1598" w:rsidP="008B1598"/>
    <w:p w:rsidR="00F75D53" w:rsidRDefault="00F75D53" w:rsidP="008B1598"/>
    <w:tbl>
      <w:tblPr>
        <w:tblW w:w="6737" w:type="dxa"/>
        <w:jc w:val="center"/>
        <w:tblCellMar>
          <w:left w:w="70" w:type="dxa"/>
          <w:right w:w="70" w:type="dxa"/>
        </w:tblCellMar>
        <w:tblLook w:val="04A0" w:firstRow="1" w:lastRow="0" w:firstColumn="1" w:lastColumn="0" w:noHBand="0" w:noVBand="1"/>
      </w:tblPr>
      <w:tblGrid>
        <w:gridCol w:w="195"/>
        <w:gridCol w:w="190"/>
        <w:gridCol w:w="4232"/>
        <w:gridCol w:w="2120"/>
      </w:tblGrid>
      <w:tr w:rsidR="008B1598" w:rsidRPr="00CC4E45" w:rsidTr="00CC4E45">
        <w:trPr>
          <w:trHeight w:val="284"/>
          <w:jc w:val="center"/>
        </w:trPr>
        <w:tc>
          <w:tcPr>
            <w:tcW w:w="46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CC4E45" w:rsidRDefault="008B1598"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Bens em Operação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CC4E45" w:rsidRDefault="008B1598" w:rsidP="008B1598">
            <w:pPr>
              <w:widowControl/>
              <w:jc w:val="center"/>
              <w:rPr>
                <w:rFonts w:ascii="Calibri" w:hAnsi="Calibri" w:cs="Calibri"/>
                <w:b/>
                <w:snapToGrid/>
                <w:color w:val="000000"/>
                <w:sz w:val="22"/>
                <w:szCs w:val="22"/>
              </w:rPr>
            </w:pPr>
            <w:r w:rsidRPr="00CC4E45">
              <w:rPr>
                <w:rFonts w:ascii="Calibri" w:hAnsi="Calibri" w:cs="Calibri"/>
                <w:b/>
                <w:snapToGrid/>
                <w:color w:val="000000"/>
                <w:sz w:val="22"/>
                <w:szCs w:val="22"/>
              </w:rPr>
              <w:t>Taxas Anuais de Depreciação</w:t>
            </w:r>
          </w:p>
        </w:tc>
      </w:tr>
      <w:tr w:rsidR="008B1598" w:rsidRPr="00CC4E4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CC4E45" w:rsidRDefault="008B1598"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 </w:t>
            </w:r>
          </w:p>
        </w:tc>
        <w:tc>
          <w:tcPr>
            <w:tcW w:w="4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CC4E45" w:rsidRDefault="008B1598"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CC4E45" w:rsidRDefault="008B1598" w:rsidP="008B1598">
            <w:pPr>
              <w:widowControl/>
              <w:rPr>
                <w:rFonts w:ascii="Calibri" w:hAnsi="Calibri" w:cs="Calibri"/>
                <w:b/>
                <w:snapToGrid/>
                <w:color w:val="000000"/>
                <w:sz w:val="22"/>
                <w:szCs w:val="22"/>
              </w:rPr>
            </w:pP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Dragagem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Aprofundamento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Sinalização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Proteção Marítima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Berço e Cais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Estacionamento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Vias Internas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Linha Férrea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Pátios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Armazéns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Tancagem</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7%</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Silo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Guindaste</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8%</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Portêiner</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Ship</w:t>
            </w:r>
            <w:proofErr w:type="spellEnd"/>
            <w:r w:rsidRPr="001C4695">
              <w:rPr>
                <w:rFonts w:ascii="Calibri" w:hAnsi="Calibri" w:cs="Calibri"/>
                <w:snapToGrid/>
                <w:color w:val="000000"/>
                <w:sz w:val="22"/>
                <w:szCs w:val="22"/>
              </w:rPr>
              <w:t xml:space="preserve"> </w:t>
            </w:r>
            <w:proofErr w:type="spellStart"/>
            <w:r w:rsidRPr="001C4695">
              <w:rPr>
                <w:rFonts w:ascii="Calibri" w:hAnsi="Calibri" w:cs="Calibri"/>
                <w:snapToGrid/>
                <w:color w:val="000000"/>
                <w:sz w:val="22"/>
                <w:szCs w:val="22"/>
              </w:rPr>
              <w:t>Loader</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7%</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Correia Transportadora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7% e 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Tubulação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Grab</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20%</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Empilhadeira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12%</w:t>
            </w:r>
          </w:p>
        </w:tc>
      </w:tr>
      <w:tr w:rsidR="008B159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Outros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20%</w:t>
            </w:r>
          </w:p>
        </w:tc>
      </w:tr>
      <w:tr w:rsidR="00BE3488" w:rsidRPr="00CC4E45" w:rsidTr="00CC4E45">
        <w:trPr>
          <w:trHeight w:val="284"/>
          <w:jc w:val="center"/>
        </w:trPr>
        <w:tc>
          <w:tcPr>
            <w:tcW w:w="4617" w:type="dxa"/>
            <w:gridSpan w:val="3"/>
            <w:tcBorders>
              <w:top w:val="nil"/>
              <w:left w:val="single" w:sz="4" w:space="0" w:color="auto"/>
              <w:bottom w:val="single" w:sz="4" w:space="0" w:color="auto"/>
              <w:right w:val="single" w:sz="4" w:space="0" w:color="auto"/>
            </w:tcBorders>
            <w:shd w:val="clear" w:color="auto" w:fill="auto"/>
            <w:noWrap/>
            <w:vAlign w:val="center"/>
          </w:tcPr>
          <w:p w:rsidR="00BE3488" w:rsidRPr="00CC4E45" w:rsidRDefault="00BE3488"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 xml:space="preserve">Bens – Administração </w:t>
            </w:r>
          </w:p>
        </w:tc>
        <w:tc>
          <w:tcPr>
            <w:tcW w:w="2120" w:type="dxa"/>
            <w:vMerge w:val="restart"/>
            <w:tcBorders>
              <w:top w:val="single" w:sz="4" w:space="0" w:color="auto"/>
              <w:left w:val="nil"/>
              <w:bottom w:val="single" w:sz="4" w:space="0" w:color="auto"/>
              <w:right w:val="single" w:sz="4" w:space="0" w:color="auto"/>
            </w:tcBorders>
            <w:shd w:val="clear" w:color="auto" w:fill="auto"/>
            <w:noWrap/>
            <w:vAlign w:val="center"/>
          </w:tcPr>
          <w:p w:rsidR="00BE3488" w:rsidRPr="00CC4E45" w:rsidRDefault="00BE3488" w:rsidP="008B1598">
            <w:pPr>
              <w:widowControl/>
              <w:jc w:val="center"/>
              <w:rPr>
                <w:rFonts w:ascii="Calibri" w:hAnsi="Calibri" w:cs="Calibri"/>
                <w:b/>
                <w:snapToGrid/>
                <w:color w:val="000000"/>
                <w:sz w:val="22"/>
                <w:szCs w:val="22"/>
              </w:rPr>
            </w:pPr>
            <w:r w:rsidRPr="00CC4E45">
              <w:rPr>
                <w:rFonts w:ascii="Calibri" w:hAnsi="Calibri" w:cs="Calibri"/>
                <w:b/>
                <w:snapToGrid/>
                <w:color w:val="000000"/>
                <w:sz w:val="22"/>
                <w:szCs w:val="22"/>
              </w:rPr>
              <w:t>Taxas Anuais de Depreciação</w:t>
            </w:r>
          </w:p>
        </w:tc>
      </w:tr>
      <w:tr w:rsidR="00BE3488" w:rsidRPr="00CC4E4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CC4E45" w:rsidRDefault="00BE3488" w:rsidP="008B1598">
            <w:pPr>
              <w:widowControl/>
              <w:rPr>
                <w:rFonts w:ascii="Calibri" w:hAnsi="Calibri" w:cs="Calibri"/>
                <w:b/>
                <w:snapToGrid/>
                <w:color w:val="000000"/>
                <w:sz w:val="22"/>
                <w:szCs w:val="22"/>
              </w:rPr>
            </w:pPr>
          </w:p>
        </w:tc>
        <w:tc>
          <w:tcPr>
            <w:tcW w:w="4422" w:type="dxa"/>
            <w:gridSpan w:val="2"/>
            <w:tcBorders>
              <w:top w:val="nil"/>
              <w:left w:val="nil"/>
              <w:bottom w:val="single" w:sz="4" w:space="0" w:color="auto"/>
              <w:right w:val="single" w:sz="4" w:space="0" w:color="auto"/>
            </w:tcBorders>
            <w:shd w:val="clear" w:color="auto" w:fill="auto"/>
            <w:noWrap/>
            <w:vAlign w:val="center"/>
          </w:tcPr>
          <w:p w:rsidR="00BE3488" w:rsidRPr="00CC4E45" w:rsidRDefault="00BE3488"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Contas</w:t>
            </w:r>
          </w:p>
        </w:tc>
        <w:tc>
          <w:tcPr>
            <w:tcW w:w="2120" w:type="dxa"/>
            <w:vMerge/>
            <w:tcBorders>
              <w:top w:val="single" w:sz="4" w:space="0" w:color="auto"/>
              <w:left w:val="nil"/>
              <w:bottom w:val="single" w:sz="4" w:space="0" w:color="auto"/>
              <w:right w:val="single" w:sz="4" w:space="0" w:color="auto"/>
            </w:tcBorders>
            <w:shd w:val="clear" w:color="auto" w:fill="auto"/>
            <w:noWrap/>
            <w:vAlign w:val="center"/>
          </w:tcPr>
          <w:p w:rsidR="00BE3488" w:rsidRPr="00CC4E45" w:rsidRDefault="00BE3488" w:rsidP="008B1598">
            <w:pPr>
              <w:widowControl/>
              <w:jc w:val="center"/>
              <w:rPr>
                <w:rFonts w:ascii="Calibri" w:hAnsi="Calibri" w:cs="Calibri"/>
                <w:b/>
                <w:snapToGrid/>
                <w:color w:val="000000"/>
                <w:sz w:val="22"/>
                <w:szCs w:val="22"/>
              </w:rPr>
            </w:pPr>
          </w:p>
        </w:tc>
      </w:tr>
      <w:tr w:rsidR="00BE348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r>
              <w:rPr>
                <w:rFonts w:ascii="Calibri" w:hAnsi="Calibri" w:cs="Calibri"/>
                <w:snapToGrid/>
                <w:color w:val="000000"/>
                <w:sz w:val="22"/>
                <w:szCs w:val="22"/>
              </w:rPr>
              <w:t>Terrenos</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BE3488" w:rsidRPr="001C4695" w:rsidRDefault="00BE3488"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Não deprecia</w:t>
            </w:r>
          </w:p>
        </w:tc>
      </w:tr>
      <w:tr w:rsidR="00BE348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r>
              <w:rPr>
                <w:rFonts w:ascii="Calibri" w:hAnsi="Calibri" w:cs="Calibri"/>
                <w:snapToGrid/>
                <w:color w:val="000000"/>
                <w:sz w:val="22"/>
                <w:szCs w:val="22"/>
              </w:rPr>
              <w:t>Edificações</w:t>
            </w:r>
          </w:p>
        </w:tc>
        <w:tc>
          <w:tcPr>
            <w:tcW w:w="2120"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Entre 4% e 25%</w:t>
            </w:r>
          </w:p>
        </w:tc>
      </w:tr>
      <w:tr w:rsidR="00BE348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r>
              <w:rPr>
                <w:rFonts w:ascii="Calibri" w:hAnsi="Calibri" w:cs="Calibri"/>
                <w:snapToGrid/>
                <w:color w:val="000000"/>
                <w:sz w:val="22"/>
                <w:szCs w:val="22"/>
              </w:rPr>
              <w:t>Instalações</w:t>
            </w:r>
          </w:p>
        </w:tc>
        <w:tc>
          <w:tcPr>
            <w:tcW w:w="2120"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Entre 2% e 10%</w:t>
            </w:r>
          </w:p>
        </w:tc>
      </w:tr>
      <w:tr w:rsidR="00BE348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r>
              <w:rPr>
                <w:rFonts w:ascii="Calibri" w:hAnsi="Calibri" w:cs="Calibri"/>
                <w:snapToGrid/>
                <w:color w:val="000000"/>
                <w:sz w:val="22"/>
                <w:szCs w:val="22"/>
              </w:rPr>
              <w:t>Máquinas, Aparelhos e Equipamentos</w:t>
            </w:r>
          </w:p>
        </w:tc>
        <w:tc>
          <w:tcPr>
            <w:tcW w:w="2120"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Entre 5% e 50%</w:t>
            </w:r>
          </w:p>
        </w:tc>
      </w:tr>
      <w:tr w:rsidR="00BE348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r>
              <w:rPr>
                <w:rFonts w:ascii="Calibri" w:hAnsi="Calibri" w:cs="Calibri"/>
                <w:snapToGrid/>
                <w:color w:val="000000"/>
                <w:sz w:val="22"/>
                <w:szCs w:val="22"/>
              </w:rPr>
              <w:t>Equipamentos de Informática</w:t>
            </w:r>
          </w:p>
        </w:tc>
        <w:tc>
          <w:tcPr>
            <w:tcW w:w="2120"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Entre 10% e 33%</w:t>
            </w:r>
          </w:p>
        </w:tc>
      </w:tr>
      <w:tr w:rsidR="00BE3488"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rPr>
                <w:rFonts w:ascii="Calibri" w:hAnsi="Calibri" w:cs="Calibri"/>
                <w:snapToGrid/>
                <w:color w:val="000000"/>
                <w:sz w:val="22"/>
                <w:szCs w:val="22"/>
              </w:rPr>
            </w:pPr>
            <w:r>
              <w:rPr>
                <w:rFonts w:ascii="Calibri" w:hAnsi="Calibri" w:cs="Calibri"/>
                <w:snapToGrid/>
                <w:color w:val="000000"/>
                <w:sz w:val="22"/>
                <w:szCs w:val="22"/>
              </w:rPr>
              <w:t>Sistemas Aplicativos (Software)</w:t>
            </w:r>
          </w:p>
        </w:tc>
        <w:tc>
          <w:tcPr>
            <w:tcW w:w="2120" w:type="dxa"/>
            <w:tcBorders>
              <w:top w:val="nil"/>
              <w:left w:val="nil"/>
              <w:bottom w:val="single" w:sz="4" w:space="0" w:color="auto"/>
              <w:right w:val="single" w:sz="4" w:space="0" w:color="auto"/>
            </w:tcBorders>
            <w:shd w:val="clear" w:color="auto" w:fill="auto"/>
            <w:noWrap/>
            <w:vAlign w:val="center"/>
          </w:tcPr>
          <w:p w:rsidR="00BE3488" w:rsidRPr="001C4695" w:rsidRDefault="00BE3488"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Entre 10% e 20%</w:t>
            </w:r>
          </w:p>
        </w:tc>
      </w:tr>
      <w:tr w:rsidR="00CC4E45"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r>
              <w:rPr>
                <w:rFonts w:ascii="Calibri" w:hAnsi="Calibri" w:cs="Calibri"/>
                <w:snapToGrid/>
                <w:color w:val="000000"/>
                <w:sz w:val="22"/>
                <w:szCs w:val="22"/>
              </w:rPr>
              <w:t>Mobiliário</w:t>
            </w:r>
          </w:p>
        </w:tc>
        <w:tc>
          <w:tcPr>
            <w:tcW w:w="2120" w:type="dxa"/>
            <w:tcBorders>
              <w:top w:val="nil"/>
              <w:left w:val="nil"/>
              <w:bottom w:val="single" w:sz="4" w:space="0" w:color="auto"/>
              <w:right w:val="single" w:sz="4" w:space="0" w:color="auto"/>
            </w:tcBorders>
            <w:shd w:val="clear" w:color="auto" w:fill="auto"/>
            <w:noWrap/>
            <w:vAlign w:val="center"/>
          </w:tcPr>
          <w:p w:rsidR="00CC4E45" w:rsidRPr="001C4695" w:rsidRDefault="00CC4E45" w:rsidP="00CC4E4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r w:rsidR="00CC4E45"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r>
              <w:rPr>
                <w:rFonts w:ascii="Calibri" w:hAnsi="Calibri" w:cs="Calibri"/>
                <w:snapToGrid/>
                <w:color w:val="000000"/>
                <w:sz w:val="22"/>
                <w:szCs w:val="22"/>
              </w:rPr>
              <w:t>Veículos</w:t>
            </w:r>
          </w:p>
        </w:tc>
        <w:tc>
          <w:tcPr>
            <w:tcW w:w="2120" w:type="dxa"/>
            <w:tcBorders>
              <w:top w:val="nil"/>
              <w:left w:val="nil"/>
              <w:bottom w:val="single" w:sz="4" w:space="0" w:color="auto"/>
              <w:right w:val="single" w:sz="4" w:space="0" w:color="auto"/>
            </w:tcBorders>
            <w:shd w:val="clear" w:color="auto" w:fill="auto"/>
            <w:noWrap/>
            <w:vAlign w:val="center"/>
          </w:tcPr>
          <w:p w:rsidR="00CC4E45" w:rsidRPr="001C4695" w:rsidRDefault="00CC4E45" w:rsidP="00CC4E4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CC4E45"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CC4E45" w:rsidRPr="001C4695" w:rsidRDefault="00CC4E45" w:rsidP="00CC4E45">
            <w:pPr>
              <w:widowControl/>
              <w:rPr>
                <w:rFonts w:ascii="Calibri" w:hAnsi="Calibri" w:cs="Calibri"/>
                <w:snapToGrid/>
                <w:color w:val="000000"/>
                <w:sz w:val="22"/>
                <w:szCs w:val="22"/>
              </w:rPr>
            </w:pPr>
            <w:r>
              <w:rPr>
                <w:rFonts w:ascii="Calibri" w:hAnsi="Calibri" w:cs="Calibri"/>
                <w:snapToGrid/>
                <w:color w:val="000000"/>
                <w:sz w:val="22"/>
                <w:szCs w:val="22"/>
              </w:rPr>
              <w:t>Ferramentas</w:t>
            </w:r>
          </w:p>
        </w:tc>
        <w:tc>
          <w:tcPr>
            <w:tcW w:w="2120" w:type="dxa"/>
            <w:tcBorders>
              <w:top w:val="nil"/>
              <w:left w:val="nil"/>
              <w:bottom w:val="single" w:sz="4" w:space="0" w:color="auto"/>
              <w:right w:val="single" w:sz="4" w:space="0" w:color="auto"/>
            </w:tcBorders>
            <w:shd w:val="clear" w:color="auto" w:fill="auto"/>
            <w:noWrap/>
            <w:vAlign w:val="center"/>
          </w:tcPr>
          <w:p w:rsidR="00CC4E45" w:rsidRPr="001C4695" w:rsidRDefault="00CC4E45" w:rsidP="00CC4E4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10%</w:t>
            </w:r>
          </w:p>
        </w:tc>
      </w:tr>
      <w:tr w:rsidR="00CC4E45" w:rsidRPr="00CC4E45" w:rsidTr="00EF5DC6">
        <w:trPr>
          <w:trHeight w:val="284"/>
          <w:jc w:val="center"/>
        </w:trPr>
        <w:tc>
          <w:tcPr>
            <w:tcW w:w="4617" w:type="dxa"/>
            <w:gridSpan w:val="3"/>
            <w:tcBorders>
              <w:top w:val="nil"/>
              <w:left w:val="single" w:sz="4" w:space="0" w:color="auto"/>
              <w:bottom w:val="single" w:sz="4" w:space="0" w:color="auto"/>
              <w:right w:val="single" w:sz="4" w:space="0" w:color="auto"/>
            </w:tcBorders>
            <w:shd w:val="clear" w:color="auto" w:fill="auto"/>
            <w:noWrap/>
            <w:vAlign w:val="center"/>
          </w:tcPr>
          <w:p w:rsidR="00CC4E45" w:rsidRPr="00CC4E45" w:rsidRDefault="00CC4E45"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Imobilizado em Andamento</w:t>
            </w:r>
          </w:p>
        </w:tc>
        <w:tc>
          <w:tcPr>
            <w:tcW w:w="2120" w:type="dxa"/>
            <w:vMerge w:val="restart"/>
            <w:tcBorders>
              <w:top w:val="nil"/>
              <w:left w:val="nil"/>
              <w:right w:val="single" w:sz="4" w:space="0" w:color="auto"/>
            </w:tcBorders>
            <w:shd w:val="clear" w:color="auto" w:fill="auto"/>
            <w:noWrap/>
            <w:vAlign w:val="center"/>
          </w:tcPr>
          <w:p w:rsidR="00CC4E45" w:rsidRPr="00CC4E45" w:rsidRDefault="00CC4E45" w:rsidP="008B1598">
            <w:pPr>
              <w:widowControl/>
              <w:jc w:val="center"/>
              <w:rPr>
                <w:rFonts w:ascii="Calibri" w:hAnsi="Calibri" w:cs="Calibri"/>
                <w:b/>
                <w:snapToGrid/>
                <w:color w:val="000000"/>
                <w:sz w:val="22"/>
                <w:szCs w:val="22"/>
              </w:rPr>
            </w:pPr>
            <w:r w:rsidRPr="00CC4E45">
              <w:rPr>
                <w:rFonts w:ascii="Calibri" w:hAnsi="Calibri" w:cs="Calibri"/>
                <w:b/>
                <w:snapToGrid/>
                <w:color w:val="000000"/>
                <w:sz w:val="22"/>
                <w:szCs w:val="22"/>
              </w:rPr>
              <w:t>Taxas Anuais de Depreciação</w:t>
            </w:r>
          </w:p>
        </w:tc>
      </w:tr>
      <w:tr w:rsidR="00CC4E45" w:rsidRPr="00CC4E45" w:rsidTr="00EF5DC6">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CC4E45" w:rsidRPr="00CC4E45" w:rsidRDefault="00CC4E45" w:rsidP="008B1598">
            <w:pPr>
              <w:widowControl/>
              <w:rPr>
                <w:rFonts w:ascii="Calibri" w:hAnsi="Calibri" w:cs="Calibri"/>
                <w:b/>
                <w:snapToGrid/>
                <w:color w:val="000000"/>
                <w:sz w:val="22"/>
                <w:szCs w:val="22"/>
              </w:rPr>
            </w:pPr>
          </w:p>
        </w:tc>
        <w:tc>
          <w:tcPr>
            <w:tcW w:w="4422" w:type="dxa"/>
            <w:gridSpan w:val="2"/>
            <w:tcBorders>
              <w:top w:val="nil"/>
              <w:left w:val="nil"/>
              <w:bottom w:val="single" w:sz="4" w:space="0" w:color="auto"/>
              <w:right w:val="single" w:sz="4" w:space="0" w:color="auto"/>
            </w:tcBorders>
            <w:shd w:val="clear" w:color="auto" w:fill="auto"/>
            <w:noWrap/>
            <w:vAlign w:val="center"/>
          </w:tcPr>
          <w:p w:rsidR="00CC4E45" w:rsidRPr="00CC4E45" w:rsidRDefault="00CC4E45" w:rsidP="008B1598">
            <w:pPr>
              <w:widowControl/>
              <w:rPr>
                <w:rFonts w:ascii="Calibri" w:hAnsi="Calibri" w:cs="Calibri"/>
                <w:b/>
                <w:snapToGrid/>
                <w:color w:val="000000"/>
                <w:sz w:val="22"/>
                <w:szCs w:val="22"/>
              </w:rPr>
            </w:pPr>
            <w:r w:rsidRPr="00CC4E45">
              <w:rPr>
                <w:rFonts w:ascii="Calibri" w:hAnsi="Calibri" w:cs="Calibri"/>
                <w:b/>
                <w:snapToGrid/>
                <w:color w:val="000000"/>
                <w:sz w:val="22"/>
                <w:szCs w:val="22"/>
              </w:rPr>
              <w:t>Contas</w:t>
            </w:r>
          </w:p>
        </w:tc>
        <w:tc>
          <w:tcPr>
            <w:tcW w:w="2120" w:type="dxa"/>
            <w:vMerge/>
            <w:tcBorders>
              <w:left w:val="nil"/>
              <w:bottom w:val="single" w:sz="4" w:space="0" w:color="auto"/>
              <w:right w:val="single" w:sz="4" w:space="0" w:color="auto"/>
            </w:tcBorders>
            <w:shd w:val="clear" w:color="auto" w:fill="auto"/>
            <w:noWrap/>
            <w:vAlign w:val="center"/>
          </w:tcPr>
          <w:p w:rsidR="00CC4E45" w:rsidRPr="00CC4E45" w:rsidRDefault="00CC4E45" w:rsidP="008B1598">
            <w:pPr>
              <w:widowControl/>
              <w:jc w:val="center"/>
              <w:rPr>
                <w:rFonts w:ascii="Calibri" w:hAnsi="Calibri" w:cs="Calibri"/>
                <w:b/>
                <w:snapToGrid/>
                <w:color w:val="000000"/>
                <w:sz w:val="22"/>
                <w:szCs w:val="22"/>
              </w:rPr>
            </w:pPr>
          </w:p>
        </w:tc>
      </w:tr>
      <w:tr w:rsidR="00CC4E45"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CC4E45" w:rsidRPr="001C4695" w:rsidRDefault="00CC4E45"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CC4E45" w:rsidRPr="001C4695" w:rsidRDefault="00CC4E45"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CC4E45" w:rsidRPr="001C4695" w:rsidRDefault="00CC4E45" w:rsidP="008B1598">
            <w:pPr>
              <w:widowControl/>
              <w:rPr>
                <w:rFonts w:ascii="Calibri" w:hAnsi="Calibri" w:cs="Calibri"/>
                <w:snapToGrid/>
                <w:color w:val="000000"/>
                <w:sz w:val="22"/>
                <w:szCs w:val="22"/>
              </w:rPr>
            </w:pPr>
            <w:r>
              <w:rPr>
                <w:rFonts w:ascii="Calibri" w:hAnsi="Calibri" w:cs="Calibri"/>
                <w:snapToGrid/>
                <w:color w:val="000000"/>
                <w:sz w:val="22"/>
                <w:szCs w:val="22"/>
              </w:rPr>
              <w:t>Obras em Andamento</w:t>
            </w:r>
          </w:p>
        </w:tc>
        <w:tc>
          <w:tcPr>
            <w:tcW w:w="2120" w:type="dxa"/>
            <w:tcBorders>
              <w:top w:val="nil"/>
              <w:left w:val="nil"/>
              <w:bottom w:val="single" w:sz="4" w:space="0" w:color="auto"/>
              <w:right w:val="single" w:sz="4" w:space="0" w:color="auto"/>
            </w:tcBorders>
            <w:shd w:val="clear" w:color="auto" w:fill="auto"/>
            <w:noWrap/>
            <w:vAlign w:val="center"/>
          </w:tcPr>
          <w:p w:rsidR="00CC4E45" w:rsidRPr="001C4695" w:rsidRDefault="00CC4E45"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Não deprecia</w:t>
            </w:r>
          </w:p>
        </w:tc>
      </w:tr>
      <w:tr w:rsidR="00CC4E45" w:rsidRPr="001C4695" w:rsidTr="00CC4E45">
        <w:trPr>
          <w:trHeight w:val="284"/>
          <w:jc w:val="center"/>
        </w:trPr>
        <w:tc>
          <w:tcPr>
            <w:tcW w:w="195" w:type="dxa"/>
            <w:tcBorders>
              <w:top w:val="nil"/>
              <w:left w:val="single" w:sz="4" w:space="0" w:color="auto"/>
              <w:bottom w:val="single" w:sz="4" w:space="0" w:color="auto"/>
              <w:right w:val="nil"/>
            </w:tcBorders>
            <w:shd w:val="clear" w:color="auto" w:fill="auto"/>
            <w:noWrap/>
            <w:vAlign w:val="center"/>
          </w:tcPr>
          <w:p w:rsidR="00CC4E45" w:rsidRPr="001C4695" w:rsidRDefault="00CC4E45" w:rsidP="008B1598">
            <w:pPr>
              <w:widowControl/>
              <w:rPr>
                <w:rFonts w:ascii="Calibri" w:hAnsi="Calibri" w:cs="Calibri"/>
                <w:snapToGrid/>
                <w:color w:val="000000"/>
                <w:sz w:val="22"/>
                <w:szCs w:val="22"/>
              </w:rPr>
            </w:pPr>
          </w:p>
        </w:tc>
        <w:tc>
          <w:tcPr>
            <w:tcW w:w="190" w:type="dxa"/>
            <w:tcBorders>
              <w:top w:val="nil"/>
              <w:left w:val="nil"/>
              <w:bottom w:val="single" w:sz="4" w:space="0" w:color="auto"/>
              <w:right w:val="nil"/>
            </w:tcBorders>
            <w:shd w:val="clear" w:color="auto" w:fill="auto"/>
            <w:noWrap/>
            <w:vAlign w:val="center"/>
          </w:tcPr>
          <w:p w:rsidR="00CC4E45" w:rsidRPr="001C4695" w:rsidRDefault="00CC4E45" w:rsidP="008B1598">
            <w:pPr>
              <w:widowControl/>
              <w:rPr>
                <w:rFonts w:ascii="Calibri" w:hAnsi="Calibri" w:cs="Calibri"/>
                <w:snapToGrid/>
                <w:color w:val="000000"/>
                <w:sz w:val="22"/>
                <w:szCs w:val="22"/>
              </w:rPr>
            </w:pPr>
          </w:p>
        </w:tc>
        <w:tc>
          <w:tcPr>
            <w:tcW w:w="4232" w:type="dxa"/>
            <w:tcBorders>
              <w:top w:val="nil"/>
              <w:left w:val="nil"/>
              <w:bottom w:val="single" w:sz="4" w:space="0" w:color="auto"/>
              <w:right w:val="single" w:sz="4" w:space="0" w:color="auto"/>
            </w:tcBorders>
            <w:shd w:val="clear" w:color="auto" w:fill="auto"/>
            <w:noWrap/>
            <w:vAlign w:val="center"/>
          </w:tcPr>
          <w:p w:rsidR="00CC4E45" w:rsidRPr="001C4695" w:rsidRDefault="00CC4E45" w:rsidP="008B1598">
            <w:pPr>
              <w:widowControl/>
              <w:rPr>
                <w:rFonts w:ascii="Calibri" w:hAnsi="Calibri" w:cs="Calibri"/>
                <w:snapToGrid/>
                <w:color w:val="000000"/>
                <w:sz w:val="22"/>
                <w:szCs w:val="22"/>
              </w:rPr>
            </w:pPr>
            <w:r>
              <w:rPr>
                <w:rFonts w:ascii="Calibri" w:hAnsi="Calibri" w:cs="Calibri"/>
                <w:snapToGrid/>
                <w:color w:val="000000"/>
                <w:sz w:val="22"/>
                <w:szCs w:val="22"/>
              </w:rPr>
              <w:t>Imobilizações a Classificar</w:t>
            </w:r>
          </w:p>
        </w:tc>
        <w:tc>
          <w:tcPr>
            <w:tcW w:w="2120" w:type="dxa"/>
            <w:tcBorders>
              <w:top w:val="nil"/>
              <w:left w:val="nil"/>
              <w:bottom w:val="single" w:sz="4" w:space="0" w:color="auto"/>
              <w:right w:val="single" w:sz="4" w:space="0" w:color="auto"/>
            </w:tcBorders>
            <w:shd w:val="clear" w:color="auto" w:fill="auto"/>
            <w:noWrap/>
            <w:vAlign w:val="center"/>
          </w:tcPr>
          <w:p w:rsidR="00CC4E45" w:rsidRPr="001C4695" w:rsidRDefault="00CC4E45" w:rsidP="008B1598">
            <w:pPr>
              <w:widowControl/>
              <w:jc w:val="center"/>
              <w:rPr>
                <w:rFonts w:ascii="Calibri" w:hAnsi="Calibri" w:cs="Calibri"/>
                <w:snapToGrid/>
                <w:color w:val="000000"/>
                <w:sz w:val="22"/>
                <w:szCs w:val="22"/>
              </w:rPr>
            </w:pPr>
            <w:r>
              <w:rPr>
                <w:rFonts w:ascii="Calibri" w:hAnsi="Calibri" w:cs="Calibri"/>
                <w:snapToGrid/>
                <w:color w:val="000000"/>
                <w:sz w:val="22"/>
                <w:szCs w:val="22"/>
              </w:rPr>
              <w:t>Entre 3% e 20%</w:t>
            </w:r>
          </w:p>
        </w:tc>
      </w:tr>
    </w:tbl>
    <w:p w:rsidR="008B1598" w:rsidRPr="008B1598" w:rsidRDefault="008B1598" w:rsidP="008B1598">
      <w:pPr>
        <w:pStyle w:val="Recuodecorpodetexto"/>
        <w:widowControl/>
        <w:autoSpaceDE w:val="0"/>
        <w:autoSpaceDN w:val="0"/>
        <w:ind w:left="1353"/>
        <w:rPr>
          <w:rFonts w:ascii="Calibri" w:hAnsi="Calibri" w:cs="Calibri"/>
          <w:b/>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lastRenderedPageBreak/>
        <w:t>Bens em Operação</w:t>
      </w:r>
      <w:r>
        <w:rPr>
          <w:rFonts w:ascii="Calibri" w:hAnsi="Calibri" w:cs="Calibri"/>
          <w:szCs w:val="24"/>
          <w:lang w:val="pt-BR"/>
        </w:rPr>
        <w:t xml:space="preserve"> registram os itens de propriedade da CDRJ que são utilizados nas atividades operacionais.</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da Administração</w:t>
      </w:r>
      <w:r>
        <w:rPr>
          <w:rFonts w:ascii="Calibri" w:hAnsi="Calibri" w:cs="Calibri"/>
          <w:szCs w:val="24"/>
          <w:lang w:val="pt-BR"/>
        </w:rPr>
        <w:t xml:space="preserve"> registram os itens utilizados na atividade administrativa.</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b/>
          <w:szCs w:val="24"/>
          <w:lang w:val="pt-BR"/>
        </w:rPr>
      </w:pPr>
      <w:r w:rsidRPr="0036637E">
        <w:rPr>
          <w:rFonts w:ascii="Calibri" w:hAnsi="Calibri" w:cs="Calibri"/>
          <w:b/>
          <w:szCs w:val="24"/>
          <w:lang w:val="pt-BR"/>
        </w:rPr>
        <w:t>Imobilizado em andamento</w:t>
      </w:r>
      <w:r>
        <w:rPr>
          <w:rFonts w:ascii="Calibri" w:hAnsi="Calibri" w:cs="Calibri"/>
          <w:szCs w:val="24"/>
          <w:lang w:val="pt-BR"/>
        </w:rPr>
        <w:t xml:space="preserve"> registram os itens que ainda não estão operando.</w:t>
      </w:r>
    </w:p>
    <w:p w:rsidR="0036637E" w:rsidRPr="00312424" w:rsidRDefault="0036637E"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O ativo intangível </w:t>
      </w:r>
      <w:r w:rsidR="00754F58">
        <w:rPr>
          <w:rFonts w:ascii="Calibri" w:hAnsi="Calibri" w:cs="Calibri"/>
          <w:sz w:val="24"/>
          <w:szCs w:val="24"/>
        </w:rPr>
        <w:t>é</w:t>
      </w:r>
      <w:r w:rsidRPr="00312424">
        <w:rPr>
          <w:rFonts w:ascii="Calibri" w:hAnsi="Calibri" w:cs="Calibri"/>
          <w:sz w:val="24"/>
          <w:szCs w:val="24"/>
        </w:rPr>
        <w:t xml:space="preserve">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calculada segundo o método linear, com base em taxas que contemplam a vida útil-econômica estimada para cada classe de bens</w:t>
      </w:r>
      <w:r w:rsidR="00D0760C">
        <w:rPr>
          <w:rFonts w:ascii="Calibri" w:hAnsi="Calibri" w:cs="Calibri"/>
          <w:sz w:val="24"/>
          <w:szCs w:val="24"/>
        </w:rPr>
        <w:t>.</w:t>
      </w:r>
      <w:r w:rsidRPr="00312424">
        <w:rPr>
          <w:rFonts w:ascii="Calibri" w:hAnsi="Calibri" w:cs="Calibri"/>
          <w:sz w:val="24"/>
          <w:szCs w:val="24"/>
        </w:rPr>
        <w:t xml:space="preserve">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Os benefícios concedidos a empregados e seus beneficiários, em especial os planos de aposentadoria e pensão junto ao PORTUS – Instituto de Seguridade Social, decorrem de</w:t>
      </w:r>
      <w:r w:rsidR="00754F58">
        <w:rPr>
          <w:rFonts w:ascii="Calibri" w:hAnsi="Calibri" w:cs="Calibri"/>
          <w:sz w:val="24"/>
          <w:szCs w:val="24"/>
        </w:rPr>
        <w:t xml:space="preserve"> acordos de pagamento</w:t>
      </w:r>
      <w:r w:rsidRPr="00312424">
        <w:rPr>
          <w:rFonts w:ascii="Calibri" w:hAnsi="Calibri" w:cs="Calibri"/>
          <w:sz w:val="24"/>
          <w:szCs w:val="24"/>
        </w:rPr>
        <w:t xml:space="preserve">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As provisões para contingências foram reconhecidas com base nas estimativas de perdas prováveis em ações nas quais a Companhia é parte, mensuradas através de relatórios gerenciados pela Superintendência Jurídica da CDRJ, sendo o seu reconhecimento, mensuração e divulgação efetuados em atendimento ao CPC 25 – Provisões, passivos contingentes e ativos contingentes.</w:t>
      </w:r>
    </w:p>
    <w:p w:rsidR="006715E0" w:rsidRPr="00D15E30" w:rsidRDefault="006715E0" w:rsidP="00947D01">
      <w:pPr>
        <w:rPr>
          <w:rFonts w:ascii="Calibri" w:hAnsi="Calibri" w:cs="Calibri"/>
          <w:sz w:val="24"/>
          <w:szCs w:val="24"/>
        </w:rPr>
      </w:pPr>
    </w:p>
    <w:p w:rsidR="00D15E30" w:rsidRPr="00D15E30" w:rsidRDefault="00F5394A"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Adiantamentos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w:t>
      </w:r>
      <w:r w:rsidR="0087058E">
        <w:rPr>
          <w:rFonts w:ascii="Calibri" w:hAnsi="Calibri" w:cs="Calibri"/>
          <w:sz w:val="24"/>
          <w:szCs w:val="24"/>
        </w:rPr>
        <w:t>, pelo regime de competência.</w:t>
      </w:r>
      <w:r w:rsidRPr="00D15E30">
        <w:rPr>
          <w:rFonts w:ascii="Calibri" w:hAnsi="Calibri" w:cs="Calibri"/>
          <w:sz w:val="24"/>
          <w:szCs w:val="24"/>
        </w:rPr>
        <w:t xml:space="preserve"> </w:t>
      </w:r>
    </w:p>
    <w:p w:rsidR="00AE3EE6" w:rsidRPr="00AE3EE6" w:rsidRDefault="00AE3EE6" w:rsidP="00AE3EE6"/>
    <w:p w:rsidR="00D15E30" w:rsidRPr="00A87863"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A87863" w:rsidRPr="00A87863" w:rsidRDefault="00A87863" w:rsidP="00A87863">
      <w:pPr>
        <w:pStyle w:val="Recuodecorpodetexto"/>
        <w:widowControl/>
        <w:autoSpaceDE w:val="0"/>
        <w:autoSpaceDN w:val="0"/>
        <w:ind w:left="993"/>
        <w:rPr>
          <w:rFonts w:ascii="Calibri" w:hAnsi="Calibri" w:cs="Calibri"/>
          <w:b/>
          <w:szCs w:val="24"/>
        </w:rPr>
      </w:pPr>
    </w:p>
    <w:p w:rsidR="00A87863" w:rsidRDefault="00A87863" w:rsidP="00A87863">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quando estiverem relacionadas com itens reconhecidos diretamente no patrimônio líquido. Os encargos de imposto de renda e contribuição social, correntes e </w:t>
      </w:r>
      <w:r w:rsidRPr="00921985">
        <w:rPr>
          <w:rFonts w:ascii="Calibri" w:hAnsi="Calibri" w:cs="Calibri"/>
          <w:sz w:val="24"/>
          <w:szCs w:val="24"/>
        </w:rPr>
        <w:t>diferidos, são calculados com base nas leis tributárias vigentes</w:t>
      </w:r>
      <w:r>
        <w:rPr>
          <w:rFonts w:ascii="Calibri" w:hAnsi="Calibri" w:cs="Calibri"/>
          <w:sz w:val="24"/>
          <w:szCs w:val="24"/>
        </w:rPr>
        <w:t>.</w:t>
      </w:r>
    </w:p>
    <w:p w:rsidR="00CC4E45" w:rsidRDefault="00CC4E45" w:rsidP="00CC4E45"/>
    <w:p w:rsidR="00CC4E45" w:rsidRDefault="00CC4E45" w:rsidP="00CC4E45"/>
    <w:p w:rsidR="00CC4E45" w:rsidRPr="00CC4E45" w:rsidRDefault="00CC4E45" w:rsidP="00CC4E45"/>
    <w:p w:rsidR="00A87863" w:rsidRPr="00A87863" w:rsidRDefault="00A87863" w:rsidP="00A87863">
      <w:pPr>
        <w:pStyle w:val="Recuodecorpodetexto"/>
        <w:widowControl/>
        <w:autoSpaceDE w:val="0"/>
        <w:autoSpaceDN w:val="0"/>
        <w:rPr>
          <w:rFonts w:ascii="Calibri" w:hAnsi="Calibri" w:cs="Calibri"/>
          <w:b/>
          <w:szCs w:val="24"/>
        </w:rPr>
      </w:pPr>
    </w:p>
    <w:p w:rsidR="00A87863" w:rsidRPr="00A87863" w:rsidRDefault="00A87863" w:rsidP="00A87863">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lastRenderedPageBreak/>
        <w:t>Receita Operacional</w:t>
      </w:r>
    </w:p>
    <w:p w:rsidR="00D15E30" w:rsidRPr="00D15E30" w:rsidRDefault="00D15E30" w:rsidP="00D15E30">
      <w:pPr>
        <w:pStyle w:val="Ttulo3"/>
        <w:ind w:left="851"/>
        <w:jc w:val="both"/>
        <w:rPr>
          <w:rFonts w:ascii="Calibri" w:hAnsi="Calibri" w:cs="Calibri"/>
          <w:sz w:val="24"/>
          <w:szCs w:val="24"/>
        </w:rPr>
      </w:pPr>
    </w:p>
    <w:p w:rsidR="006B4C02" w:rsidRDefault="00D15E30" w:rsidP="00A87863">
      <w:pPr>
        <w:pStyle w:val="Ttulo3"/>
        <w:ind w:left="851"/>
        <w:jc w:val="both"/>
        <w:rPr>
          <w:rFonts w:ascii="Calibri" w:hAnsi="Calibri" w:cs="Calibri"/>
          <w:sz w:val="24"/>
          <w:szCs w:val="24"/>
        </w:rPr>
      </w:pPr>
      <w:r>
        <w:rPr>
          <w:rFonts w:ascii="Calibri" w:hAnsi="Calibri" w:cs="Calibri"/>
          <w:sz w:val="24"/>
          <w:szCs w:val="24"/>
        </w:rPr>
        <w:t xml:space="preserve">A </w:t>
      </w:r>
      <w:r w:rsidR="00A87863">
        <w:rPr>
          <w:rFonts w:ascii="Calibri" w:hAnsi="Calibri" w:cs="Calibri"/>
          <w:sz w:val="24"/>
          <w:szCs w:val="24"/>
        </w:rPr>
        <w:t xml:space="preserve">receita é mensurada </w:t>
      </w:r>
      <w:r w:rsidR="006B4C02">
        <w:rPr>
          <w:rFonts w:ascii="Calibri" w:hAnsi="Calibri" w:cs="Calibri"/>
          <w:sz w:val="24"/>
          <w:szCs w:val="24"/>
        </w:rPr>
        <w:t xml:space="preserve">quando seu valor pode ser mensurado de maneira confiável, sendo provável que os benefícios econômicos futuros serão transferidos para a sociedade, os custos incorridos na transação possam ser mensurados e os riscos e benefícios foram transferidos e assumidos pelo tomador do serviço. Uma receita não é reconhecida se há uma incerteza significativa na sua realização. </w:t>
      </w:r>
    </w:p>
    <w:p w:rsidR="006B4C02" w:rsidRDefault="006B4C02" w:rsidP="00A87863">
      <w:pPr>
        <w:pStyle w:val="Ttulo3"/>
        <w:ind w:left="851"/>
        <w:jc w:val="both"/>
        <w:rPr>
          <w:rFonts w:ascii="Calibri" w:hAnsi="Calibri" w:cs="Calibri"/>
          <w:sz w:val="24"/>
          <w:szCs w:val="24"/>
        </w:rPr>
      </w:pPr>
    </w:p>
    <w:p w:rsidR="007964CD" w:rsidRDefault="00A87863" w:rsidP="005623D9">
      <w:pPr>
        <w:pStyle w:val="PargrafodaLista"/>
        <w:numPr>
          <w:ilvl w:val="0"/>
          <w:numId w:val="27"/>
        </w:numPr>
        <w:spacing w:after="0" w:line="240" w:lineRule="auto"/>
        <w:ind w:left="852" w:firstLine="0"/>
        <w:jc w:val="both"/>
        <w:rPr>
          <w:rFonts w:cs="Calibri"/>
          <w:b/>
          <w:sz w:val="24"/>
          <w:szCs w:val="24"/>
        </w:rPr>
      </w:pPr>
      <w:r w:rsidRPr="005623D9">
        <w:rPr>
          <w:rFonts w:cs="Calibri"/>
          <w:b/>
          <w:sz w:val="24"/>
          <w:szCs w:val="24"/>
        </w:rPr>
        <w:t>Tarifas Portuárias</w:t>
      </w:r>
    </w:p>
    <w:p w:rsidR="005623D9" w:rsidRPr="005623D9" w:rsidRDefault="005623D9" w:rsidP="005623D9">
      <w:pPr>
        <w:pStyle w:val="PargrafodaLista"/>
        <w:spacing w:after="0" w:line="240" w:lineRule="auto"/>
        <w:ind w:left="852"/>
        <w:jc w:val="both"/>
        <w:rPr>
          <w:rFonts w:cs="Calibri"/>
          <w:b/>
          <w:sz w:val="24"/>
          <w:szCs w:val="24"/>
        </w:rPr>
      </w:pPr>
    </w:p>
    <w:p w:rsidR="00A87863" w:rsidRDefault="005623D9" w:rsidP="005623D9">
      <w:pPr>
        <w:pStyle w:val="PargrafodaLista"/>
        <w:spacing w:after="0" w:line="240" w:lineRule="auto"/>
        <w:ind w:left="851"/>
        <w:jc w:val="both"/>
        <w:rPr>
          <w:rFonts w:cs="Calibri"/>
          <w:sz w:val="24"/>
          <w:szCs w:val="24"/>
        </w:rPr>
      </w:pPr>
      <w:r>
        <w:rPr>
          <w:rFonts w:cs="Calibri"/>
          <w:sz w:val="24"/>
          <w:szCs w:val="24"/>
        </w:rPr>
        <w:t>A</w:t>
      </w:r>
      <w:r w:rsidR="006B4C02">
        <w:rPr>
          <w:rFonts w:cs="Calibri"/>
          <w:sz w:val="24"/>
          <w:szCs w:val="24"/>
        </w:rPr>
        <w:t>s</w:t>
      </w:r>
      <w:r>
        <w:rPr>
          <w:rFonts w:cs="Calibri"/>
          <w:sz w:val="24"/>
          <w:szCs w:val="24"/>
        </w:rPr>
        <w:t xml:space="preserve"> receita</w:t>
      </w:r>
      <w:r w:rsidR="006B4C02">
        <w:rPr>
          <w:rFonts w:cs="Calibri"/>
          <w:sz w:val="24"/>
          <w:szCs w:val="24"/>
        </w:rPr>
        <w:t>s</w:t>
      </w:r>
      <w:r>
        <w:rPr>
          <w:rFonts w:cs="Calibri"/>
          <w:sz w:val="24"/>
          <w:szCs w:val="24"/>
        </w:rPr>
        <w:t xml:space="preserve"> tarifária</w:t>
      </w:r>
      <w:r w:rsidR="006B4C02">
        <w:rPr>
          <w:rFonts w:cs="Calibri"/>
          <w:sz w:val="24"/>
          <w:szCs w:val="24"/>
        </w:rPr>
        <w:t xml:space="preserve">s são registradas com base na utilização de cais público, por atracação de navios de carga e passageiros, movimentação de cargas e passageiros, fundeio, utilização do canal de acesso </w:t>
      </w:r>
      <w:proofErr w:type="spellStart"/>
      <w:r w:rsidR="006B4C02">
        <w:rPr>
          <w:rFonts w:cs="Calibri"/>
          <w:sz w:val="24"/>
          <w:szCs w:val="24"/>
        </w:rPr>
        <w:t>aquaviário</w:t>
      </w:r>
      <w:proofErr w:type="spellEnd"/>
      <w:r w:rsidR="006B4C02">
        <w:rPr>
          <w:rFonts w:cs="Calibri"/>
          <w:sz w:val="24"/>
          <w:szCs w:val="24"/>
        </w:rPr>
        <w:t xml:space="preserve">, utilização de estrutura terrestre, armazenagem e utilização de equipamentos. A receita é reconhecida quando existe evidência convincente de que os riscos e benefícios </w:t>
      </w:r>
      <w:r w:rsidR="00231CD6">
        <w:rPr>
          <w:rFonts w:cs="Calibri"/>
          <w:sz w:val="24"/>
          <w:szCs w:val="24"/>
        </w:rPr>
        <w:t>inerentes aos serviços foram transferidos para o usuário, sendo provável que os benefícios econômicos associados às transações fluirão para a Companhia e o valor da receita puder ser mensurado com confiabilidade.</w:t>
      </w:r>
    </w:p>
    <w:p w:rsidR="00A87863" w:rsidRDefault="00A87863"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t>Receita de Arrendamento</w:t>
      </w:r>
    </w:p>
    <w:p w:rsidR="005623D9" w:rsidRPr="005623D9" w:rsidRDefault="005623D9" w:rsidP="005623D9">
      <w:pPr>
        <w:pStyle w:val="PargrafodaLista"/>
        <w:spacing w:after="0" w:line="240" w:lineRule="auto"/>
        <w:ind w:left="851"/>
        <w:jc w:val="both"/>
        <w:rPr>
          <w:rFonts w:cs="Calibri"/>
          <w:b/>
          <w:sz w:val="24"/>
          <w:szCs w:val="24"/>
        </w:rPr>
      </w:pPr>
    </w:p>
    <w:p w:rsidR="00A87863" w:rsidRDefault="00231CD6" w:rsidP="005623D9">
      <w:pPr>
        <w:pStyle w:val="PargrafodaLista"/>
        <w:spacing w:after="0" w:line="240" w:lineRule="auto"/>
        <w:ind w:left="851"/>
        <w:jc w:val="both"/>
        <w:rPr>
          <w:rFonts w:cs="Calibri"/>
          <w:sz w:val="24"/>
          <w:szCs w:val="24"/>
        </w:rPr>
      </w:pPr>
      <w:r>
        <w:rPr>
          <w:rFonts w:cs="Calibri"/>
          <w:sz w:val="24"/>
          <w:szCs w:val="24"/>
        </w:rPr>
        <w:t xml:space="preserve">As receitas de arrendamento são registradas com base em contratos de arrendamento </w:t>
      </w:r>
      <w:r w:rsidR="00DA7121">
        <w:rPr>
          <w:rFonts w:cs="Calibri"/>
          <w:sz w:val="24"/>
          <w:szCs w:val="24"/>
        </w:rPr>
        <w:t xml:space="preserve">operacionais </w:t>
      </w:r>
      <w:r>
        <w:rPr>
          <w:rFonts w:cs="Calibri"/>
          <w:sz w:val="24"/>
          <w:szCs w:val="24"/>
        </w:rPr>
        <w:t xml:space="preserve">de áreas primárias dos portos e são calculadas por meio da movimentação de carga e </w:t>
      </w:r>
      <w:r w:rsidR="00DA7121">
        <w:rPr>
          <w:rFonts w:cs="Calibri"/>
          <w:sz w:val="24"/>
          <w:szCs w:val="24"/>
        </w:rPr>
        <w:t xml:space="preserve">de </w:t>
      </w:r>
      <w:r>
        <w:rPr>
          <w:rFonts w:cs="Calibri"/>
          <w:sz w:val="24"/>
          <w:szCs w:val="24"/>
        </w:rPr>
        <w:t>passageiros e do preço do arrendamento, cobrado independentemente da movimentaç</w:t>
      </w:r>
      <w:r w:rsidR="00DA7121">
        <w:rPr>
          <w:rFonts w:cs="Calibri"/>
          <w:sz w:val="24"/>
          <w:szCs w:val="24"/>
        </w:rPr>
        <w:t>ão, conforme a particularidade de cada contrato. A receita é reconhecida quando existe evidência convincente acerca da remuneração do contrato e da movimentação, atestada pela fiscalização dos contratos.</w:t>
      </w:r>
    </w:p>
    <w:p w:rsidR="00F75D53" w:rsidRDefault="00F75D53"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t>Receita de Juros</w:t>
      </w:r>
    </w:p>
    <w:p w:rsidR="005623D9" w:rsidRPr="005623D9" w:rsidRDefault="005623D9" w:rsidP="005623D9">
      <w:pPr>
        <w:pStyle w:val="PargrafodaLista"/>
        <w:spacing w:after="0" w:line="240" w:lineRule="auto"/>
        <w:ind w:left="851"/>
        <w:jc w:val="both"/>
        <w:rPr>
          <w:rFonts w:cs="Calibri"/>
          <w:b/>
          <w:sz w:val="24"/>
          <w:szCs w:val="24"/>
        </w:rPr>
      </w:pPr>
    </w:p>
    <w:p w:rsidR="00A87863" w:rsidRDefault="00A87863" w:rsidP="005623D9">
      <w:pPr>
        <w:pStyle w:val="PargrafodaLista"/>
        <w:spacing w:after="0" w:line="240" w:lineRule="auto"/>
        <w:ind w:left="851"/>
        <w:jc w:val="both"/>
        <w:rPr>
          <w:rFonts w:cs="Calibri"/>
          <w:sz w:val="24"/>
          <w:szCs w:val="24"/>
        </w:rPr>
      </w:pPr>
      <w:r>
        <w:rPr>
          <w:rFonts w:cs="Calibri"/>
          <w:sz w:val="24"/>
          <w:szCs w:val="24"/>
        </w:rPr>
        <w:t xml:space="preserve">Para todos os instrumentos financeiros avaliados ao custo amortizado e ativos financeiros que rendem juros, a receita financeira é contabilizada utilizando-se </w:t>
      </w:r>
      <w:r w:rsidR="005623D9">
        <w:rPr>
          <w:rFonts w:cs="Calibri"/>
          <w:sz w:val="24"/>
          <w:szCs w:val="24"/>
        </w:rPr>
        <w:t>a taxa de juros efetiva, que desconta exatamente ou pagamentos ou recebimentos futuros estimados de caixa ao longo da vida estimada do instrumento financeiro ou em um período de tempo mais curto, quando aplicável, ao valor contábil líquido do ativo ou passivo financeiro. A receita de juros é incluída na rubrica receita financeira, da demonstração de resultado.</w:t>
      </w:r>
    </w:p>
    <w:p w:rsidR="005623D9" w:rsidRDefault="005623D9" w:rsidP="005623D9">
      <w:pPr>
        <w:pStyle w:val="PargrafodaLista"/>
        <w:spacing w:after="0" w:line="240" w:lineRule="auto"/>
        <w:ind w:left="851"/>
        <w:jc w:val="both"/>
        <w:rPr>
          <w:rFonts w:cs="Calibri"/>
          <w:sz w:val="24"/>
          <w:szCs w:val="24"/>
        </w:rPr>
      </w:pPr>
    </w:p>
    <w:p w:rsidR="005623D9" w:rsidRDefault="005623D9" w:rsidP="005623D9">
      <w:pPr>
        <w:pStyle w:val="PargrafodaLista"/>
        <w:spacing w:after="0" w:line="240" w:lineRule="auto"/>
        <w:ind w:left="851"/>
        <w:jc w:val="both"/>
        <w:rPr>
          <w:rFonts w:cs="Calibri"/>
          <w:sz w:val="24"/>
          <w:szCs w:val="24"/>
        </w:rPr>
      </w:pPr>
      <w:r>
        <w:rPr>
          <w:rFonts w:cs="Calibri"/>
          <w:sz w:val="24"/>
          <w:szCs w:val="24"/>
        </w:rPr>
        <w:t>De acordo com o CPC 47, a receita é reconhecida à medida em que seja altamente provável que não ocorra uma reversão significativa de valor da receita acumulada.</w:t>
      </w:r>
    </w:p>
    <w:p w:rsidR="00A87863" w:rsidRPr="00A87863" w:rsidRDefault="00A87863" w:rsidP="005623D9">
      <w:pPr>
        <w:pStyle w:val="PargrafodaLista"/>
        <w:spacing w:after="0" w:line="240" w:lineRule="auto"/>
        <w:jc w:val="both"/>
        <w:rPr>
          <w:rFonts w:cs="Calibri"/>
          <w:sz w:val="24"/>
          <w:szCs w:val="24"/>
        </w:rPr>
      </w:pPr>
    </w:p>
    <w:p w:rsidR="00A87863" w:rsidRDefault="00A87863" w:rsidP="005623D9">
      <w:pPr>
        <w:jc w:val="both"/>
        <w:rPr>
          <w:rFonts w:ascii="Calibri" w:hAnsi="Calibri" w:cs="Calibri"/>
          <w:sz w:val="24"/>
          <w:szCs w:val="24"/>
        </w:rPr>
      </w:pPr>
    </w:p>
    <w:p w:rsidR="00CC4E45" w:rsidRDefault="00CC4E45" w:rsidP="005623D9">
      <w:pPr>
        <w:jc w:val="both"/>
        <w:rPr>
          <w:rFonts w:ascii="Calibri" w:hAnsi="Calibri" w:cs="Calibri"/>
          <w:sz w:val="24"/>
          <w:szCs w:val="24"/>
        </w:rPr>
      </w:pPr>
    </w:p>
    <w:p w:rsidR="00CC4E45" w:rsidRDefault="00CC4E45" w:rsidP="005623D9">
      <w:pPr>
        <w:jc w:val="both"/>
        <w:rPr>
          <w:rFonts w:ascii="Calibri" w:hAnsi="Calibri" w:cs="Calibri"/>
          <w:sz w:val="24"/>
          <w:szCs w:val="24"/>
        </w:rPr>
      </w:pPr>
    </w:p>
    <w:p w:rsidR="00CC4E45" w:rsidRDefault="00CC4E45" w:rsidP="005623D9">
      <w:pPr>
        <w:jc w:val="both"/>
        <w:rPr>
          <w:rFonts w:ascii="Calibri" w:hAnsi="Calibri" w:cs="Calibri"/>
          <w:sz w:val="24"/>
          <w:szCs w:val="24"/>
        </w:rPr>
      </w:pPr>
    </w:p>
    <w:p w:rsidR="00CC4E45" w:rsidRDefault="00CC4E45" w:rsidP="005623D9">
      <w:pPr>
        <w:jc w:val="both"/>
        <w:rPr>
          <w:rFonts w:ascii="Calibri" w:hAnsi="Calibri" w:cs="Calibri"/>
          <w:sz w:val="24"/>
          <w:szCs w:val="24"/>
        </w:rPr>
      </w:pPr>
    </w:p>
    <w:p w:rsidR="00CC4E45" w:rsidRDefault="00CC4E45" w:rsidP="005623D9">
      <w:pPr>
        <w:jc w:val="both"/>
        <w:rPr>
          <w:rFonts w:ascii="Calibri" w:hAnsi="Calibri" w:cs="Calibri"/>
          <w:sz w:val="24"/>
          <w:szCs w:val="24"/>
        </w:rPr>
      </w:pPr>
    </w:p>
    <w:p w:rsidR="00CC4E45" w:rsidRDefault="00CC4E45" w:rsidP="005623D9">
      <w:pPr>
        <w:jc w:val="both"/>
        <w:rPr>
          <w:rFonts w:ascii="Calibri" w:hAnsi="Calibri" w:cs="Calibri"/>
          <w:sz w:val="24"/>
          <w:szCs w:val="24"/>
        </w:rPr>
      </w:pPr>
    </w:p>
    <w:p w:rsidR="00C16DDB" w:rsidRPr="00312424" w:rsidRDefault="0043773C"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lastRenderedPageBreak/>
        <w:t>5</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507124" w:rsidRDefault="00507124" w:rsidP="00C16DDB">
      <w:pPr>
        <w:pStyle w:val="Recuodecorpodetexto"/>
        <w:widowControl/>
        <w:autoSpaceDE w:val="0"/>
        <w:autoSpaceDN w:val="0"/>
        <w:ind w:left="0"/>
        <w:rPr>
          <w:rFonts w:ascii="Calibri" w:hAnsi="Calibri" w:cs="Calibri"/>
          <w:szCs w:val="24"/>
          <w:lang w:val="pt-BR"/>
        </w:rPr>
      </w:pPr>
    </w:p>
    <w:p w:rsidR="00507124" w:rsidRDefault="00507124" w:rsidP="00C16DDB">
      <w:pPr>
        <w:pStyle w:val="Recuodecorpodetexto"/>
        <w:widowControl/>
        <w:autoSpaceDE w:val="0"/>
        <w:autoSpaceDN w:val="0"/>
        <w:ind w:left="0"/>
        <w:rPr>
          <w:rFonts w:ascii="Calibri" w:hAnsi="Calibri" w:cs="Calibri"/>
          <w:szCs w:val="24"/>
          <w:lang w:val="pt-BR"/>
        </w:rPr>
      </w:pPr>
    </w:p>
    <w:tbl>
      <w:tblPr>
        <w:tblW w:w="9160" w:type="dxa"/>
        <w:jc w:val="center"/>
        <w:tblCellMar>
          <w:left w:w="70" w:type="dxa"/>
          <w:right w:w="70" w:type="dxa"/>
        </w:tblCellMar>
        <w:tblLook w:val="04A0" w:firstRow="1" w:lastRow="0" w:firstColumn="1" w:lastColumn="0" w:noHBand="0" w:noVBand="1"/>
      </w:tblPr>
      <w:tblGrid>
        <w:gridCol w:w="1840"/>
        <w:gridCol w:w="1210"/>
        <w:gridCol w:w="1255"/>
        <w:gridCol w:w="1195"/>
        <w:gridCol w:w="1210"/>
        <w:gridCol w:w="1255"/>
        <w:gridCol w:w="1195"/>
      </w:tblGrid>
      <w:tr w:rsidR="00507124" w:rsidRPr="00507124" w:rsidTr="00507124">
        <w:trPr>
          <w:trHeight w:val="330"/>
          <w:jc w:val="center"/>
        </w:trPr>
        <w:tc>
          <w:tcPr>
            <w:tcW w:w="1840" w:type="dxa"/>
            <w:tcBorders>
              <w:top w:val="nil"/>
              <w:left w:val="nil"/>
              <w:bottom w:val="nil"/>
              <w:right w:val="nil"/>
            </w:tcBorders>
            <w:shd w:val="clear" w:color="auto" w:fill="auto"/>
            <w:noWrap/>
            <w:vAlign w:val="center"/>
            <w:hideMark/>
          </w:tcPr>
          <w:p w:rsidR="00507124" w:rsidRPr="00507124" w:rsidRDefault="00507124" w:rsidP="00507124">
            <w:pPr>
              <w:widowControl/>
              <w:rPr>
                <w:snapToGrid/>
                <w:sz w:val="24"/>
                <w:szCs w:val="24"/>
              </w:rPr>
            </w:pPr>
          </w:p>
        </w:tc>
        <w:tc>
          <w:tcPr>
            <w:tcW w:w="3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31/12/2020</w:t>
            </w:r>
          </w:p>
        </w:tc>
        <w:tc>
          <w:tcPr>
            <w:tcW w:w="3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31/12/2019</w:t>
            </w:r>
          </w:p>
        </w:tc>
      </w:tr>
      <w:tr w:rsidR="00507124" w:rsidRPr="00507124" w:rsidTr="00507124">
        <w:trPr>
          <w:trHeight w:val="330"/>
          <w:jc w:val="center"/>
        </w:trPr>
        <w:tc>
          <w:tcPr>
            <w:tcW w:w="1840" w:type="dxa"/>
            <w:tcBorders>
              <w:top w:val="nil"/>
              <w:left w:val="nil"/>
              <w:bottom w:val="nil"/>
              <w:right w:val="nil"/>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Bruto</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(PECLD)</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Líquido</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Bruto</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(PECLD)</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jc w:val="center"/>
              <w:rPr>
                <w:rFonts w:ascii="Calibri" w:hAnsi="Calibri" w:cs="Calibri"/>
                <w:b/>
                <w:bCs/>
                <w:snapToGrid/>
                <w:color w:val="000000"/>
                <w:sz w:val="24"/>
                <w:szCs w:val="24"/>
              </w:rPr>
            </w:pPr>
            <w:r w:rsidRPr="00507124">
              <w:rPr>
                <w:rFonts w:ascii="Calibri" w:hAnsi="Calibri" w:cs="Calibri"/>
                <w:b/>
                <w:bCs/>
                <w:snapToGrid/>
                <w:color w:val="000000"/>
                <w:sz w:val="24"/>
                <w:szCs w:val="24"/>
              </w:rPr>
              <w:t>Líquido</w:t>
            </w:r>
          </w:p>
        </w:tc>
      </w:tr>
      <w:tr w:rsidR="00507124" w:rsidRPr="00507124" w:rsidTr="00507124">
        <w:trPr>
          <w:trHeight w:val="33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Porto do Rio</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156.782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(141.119)</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15.663 </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139.311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(133.773)</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5.538 </w:t>
            </w:r>
          </w:p>
        </w:tc>
      </w:tr>
      <w:tr w:rsidR="00507124" w:rsidRPr="00507124" w:rsidTr="00507124">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Porto de Itaguaí</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32.255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(9.758)</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22.497 </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59.216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(10.615)</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48.601 </w:t>
            </w:r>
          </w:p>
        </w:tc>
      </w:tr>
      <w:tr w:rsidR="00507124" w:rsidRPr="00507124" w:rsidTr="00507124">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Porto de Niterói</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2.513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(436)</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2.077 </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3.974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(3.396)</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578 </w:t>
            </w:r>
          </w:p>
        </w:tc>
      </w:tr>
      <w:tr w:rsidR="00507124" w:rsidRPr="00507124" w:rsidTr="00507124">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Porto de Angra</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944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(306)</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638 </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29.813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(29.746)</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snapToGrid/>
                <w:color w:val="000000"/>
                <w:sz w:val="24"/>
                <w:szCs w:val="24"/>
              </w:rPr>
            </w:pPr>
            <w:r w:rsidRPr="00507124">
              <w:rPr>
                <w:rFonts w:ascii="Calibri" w:hAnsi="Calibri" w:cs="Calibri"/>
                <w:snapToGrid/>
                <w:color w:val="000000"/>
                <w:sz w:val="24"/>
                <w:szCs w:val="24"/>
              </w:rPr>
              <w:t xml:space="preserve">              67 </w:t>
            </w:r>
          </w:p>
        </w:tc>
      </w:tr>
      <w:tr w:rsidR="00507124" w:rsidRPr="00507124" w:rsidTr="00507124">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Totais</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 xml:space="preserve">     192.494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 xml:space="preserve">   (151.619)</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 xml:space="preserve">       40.875 </w:t>
            </w:r>
          </w:p>
        </w:tc>
        <w:tc>
          <w:tcPr>
            <w:tcW w:w="1210"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 xml:space="preserve">     232.314 </w:t>
            </w:r>
          </w:p>
        </w:tc>
        <w:tc>
          <w:tcPr>
            <w:tcW w:w="125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 xml:space="preserve">   (177.530)</w:t>
            </w:r>
          </w:p>
        </w:tc>
        <w:tc>
          <w:tcPr>
            <w:tcW w:w="1195" w:type="dxa"/>
            <w:tcBorders>
              <w:top w:val="nil"/>
              <w:left w:val="nil"/>
              <w:bottom w:val="single" w:sz="4" w:space="0" w:color="auto"/>
              <w:right w:val="single" w:sz="4" w:space="0" w:color="auto"/>
            </w:tcBorders>
            <w:shd w:val="clear" w:color="auto" w:fill="auto"/>
            <w:noWrap/>
            <w:vAlign w:val="center"/>
            <w:hideMark/>
          </w:tcPr>
          <w:p w:rsidR="00507124" w:rsidRPr="00507124" w:rsidRDefault="00507124" w:rsidP="00507124">
            <w:pPr>
              <w:widowControl/>
              <w:rPr>
                <w:rFonts w:ascii="Calibri" w:hAnsi="Calibri" w:cs="Calibri"/>
                <w:b/>
                <w:bCs/>
                <w:snapToGrid/>
                <w:color w:val="000000"/>
                <w:sz w:val="24"/>
                <w:szCs w:val="24"/>
              </w:rPr>
            </w:pPr>
            <w:r w:rsidRPr="00507124">
              <w:rPr>
                <w:rFonts w:ascii="Calibri" w:hAnsi="Calibri" w:cs="Calibri"/>
                <w:b/>
                <w:bCs/>
                <w:snapToGrid/>
                <w:color w:val="000000"/>
                <w:sz w:val="24"/>
                <w:szCs w:val="24"/>
              </w:rPr>
              <w:t xml:space="preserve">       54.784 </w:t>
            </w:r>
          </w:p>
        </w:tc>
      </w:tr>
    </w:tbl>
    <w:p w:rsidR="00507124" w:rsidRDefault="00507124" w:rsidP="00C16DDB">
      <w:pPr>
        <w:pStyle w:val="Recuodecorpodetexto"/>
        <w:widowControl/>
        <w:autoSpaceDE w:val="0"/>
        <w:autoSpaceDN w:val="0"/>
        <w:ind w:left="0"/>
        <w:rPr>
          <w:rFonts w:ascii="Calibri" w:hAnsi="Calibri" w:cs="Calibri"/>
          <w:szCs w:val="24"/>
          <w:lang w:val="pt-BR"/>
        </w:rPr>
      </w:pPr>
    </w:p>
    <w:p w:rsidR="00507124" w:rsidRDefault="00507124" w:rsidP="00C16DDB">
      <w:pPr>
        <w:pStyle w:val="Recuodecorpodetexto"/>
        <w:widowControl/>
        <w:autoSpaceDE w:val="0"/>
        <w:autoSpaceDN w:val="0"/>
        <w:ind w:left="0"/>
        <w:rPr>
          <w:rFonts w:ascii="Calibri" w:hAnsi="Calibri" w:cs="Calibri"/>
          <w:szCs w:val="24"/>
          <w:lang w:val="pt-BR"/>
        </w:rPr>
      </w:pPr>
    </w:p>
    <w:p w:rsidR="00507124" w:rsidRDefault="00460418"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A variação positiva no saldo das faturas do Porto do Rio reflete, principalmente, a inadimplência no pagamento da Movimentação Mínima Contratual – MMC </w:t>
      </w:r>
      <w:r w:rsidR="00EA3F07">
        <w:rPr>
          <w:rFonts w:ascii="Calibri" w:hAnsi="Calibri" w:cs="Calibri"/>
          <w:szCs w:val="24"/>
          <w:lang w:val="pt-BR"/>
        </w:rPr>
        <w:t xml:space="preserve">do exercício de 2019 </w:t>
      </w:r>
      <w:r>
        <w:rPr>
          <w:rFonts w:ascii="Calibri" w:hAnsi="Calibri" w:cs="Calibri"/>
          <w:szCs w:val="24"/>
          <w:lang w:val="pt-BR"/>
        </w:rPr>
        <w:t xml:space="preserve">cobrada dos arrendatários </w:t>
      </w:r>
      <w:proofErr w:type="spellStart"/>
      <w:r w:rsidR="008E65A6">
        <w:rPr>
          <w:rFonts w:ascii="Calibri" w:hAnsi="Calibri" w:cs="Calibri"/>
          <w:szCs w:val="24"/>
          <w:lang w:val="pt-BR"/>
        </w:rPr>
        <w:t>Multi-Rio</w:t>
      </w:r>
      <w:proofErr w:type="spellEnd"/>
      <w:r w:rsidR="008E65A6">
        <w:rPr>
          <w:rFonts w:ascii="Calibri" w:hAnsi="Calibri" w:cs="Calibri"/>
          <w:szCs w:val="24"/>
          <w:lang w:val="pt-BR"/>
        </w:rPr>
        <w:t xml:space="preserve"> Operações Portuárias S.A. e </w:t>
      </w:r>
      <w:r w:rsidR="00EA3F07">
        <w:rPr>
          <w:rFonts w:ascii="Calibri" w:hAnsi="Calibri" w:cs="Calibri"/>
          <w:szCs w:val="24"/>
          <w:lang w:val="pt-BR"/>
        </w:rPr>
        <w:t>Libra Terminal Rio S.A. (em recuperação judicial)</w:t>
      </w:r>
      <w:r w:rsidR="008E65A6">
        <w:rPr>
          <w:rFonts w:ascii="Calibri" w:hAnsi="Calibri" w:cs="Calibri"/>
          <w:szCs w:val="24"/>
          <w:lang w:val="pt-BR"/>
        </w:rPr>
        <w:t xml:space="preserve"> </w:t>
      </w:r>
      <w:r>
        <w:rPr>
          <w:rFonts w:ascii="Calibri" w:hAnsi="Calibri" w:cs="Calibri"/>
          <w:szCs w:val="24"/>
          <w:lang w:val="pt-BR"/>
        </w:rPr>
        <w:t>no</w:t>
      </w:r>
      <w:r w:rsidR="008E65A6">
        <w:rPr>
          <w:rFonts w:ascii="Calibri" w:hAnsi="Calibri" w:cs="Calibri"/>
          <w:szCs w:val="24"/>
          <w:lang w:val="pt-BR"/>
        </w:rPr>
        <w:t>s</w:t>
      </w:r>
      <w:r>
        <w:rPr>
          <w:rFonts w:ascii="Calibri" w:hAnsi="Calibri" w:cs="Calibri"/>
          <w:szCs w:val="24"/>
          <w:lang w:val="pt-BR"/>
        </w:rPr>
        <w:t xml:space="preserve"> valor</w:t>
      </w:r>
      <w:r w:rsidR="008E65A6">
        <w:rPr>
          <w:rFonts w:ascii="Calibri" w:hAnsi="Calibri" w:cs="Calibri"/>
          <w:szCs w:val="24"/>
          <w:lang w:val="pt-BR"/>
        </w:rPr>
        <w:t>es de R$ 12.870 mil e 2.921 mil, respectivamente.</w:t>
      </w:r>
      <w:r w:rsidR="00EA3F07">
        <w:rPr>
          <w:rFonts w:ascii="Calibri" w:hAnsi="Calibri" w:cs="Calibri"/>
          <w:szCs w:val="24"/>
          <w:lang w:val="pt-BR"/>
        </w:rPr>
        <w:t xml:space="preserve"> Os arrendatários contestaram, judicialmente, as faturas, sem que tenha havido, até o momento, o trânsito em julgado.</w:t>
      </w:r>
    </w:p>
    <w:p w:rsidR="00460418" w:rsidRDefault="00460418" w:rsidP="00C16DDB">
      <w:pPr>
        <w:pStyle w:val="Recuodecorpodetexto"/>
        <w:widowControl/>
        <w:autoSpaceDE w:val="0"/>
        <w:autoSpaceDN w:val="0"/>
        <w:ind w:left="0"/>
        <w:rPr>
          <w:rFonts w:ascii="Calibri" w:hAnsi="Calibri" w:cs="Calibri"/>
          <w:szCs w:val="24"/>
          <w:lang w:val="pt-BR"/>
        </w:rPr>
      </w:pPr>
    </w:p>
    <w:p w:rsidR="00460418" w:rsidRDefault="00460418"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A variação de saldos no Porto de Itaguaí é resultado da emissão de faturas contra a arrendatária Companhia Siderúrgica Nacional – CSN, no valor total de R$ 22.377 mil, em 2020 e R$ 47.085 mil, em 2019.</w:t>
      </w:r>
    </w:p>
    <w:p w:rsidR="008E65A6" w:rsidRDefault="008E65A6" w:rsidP="00C16DDB">
      <w:pPr>
        <w:pStyle w:val="Recuodecorpodetexto"/>
        <w:widowControl/>
        <w:autoSpaceDE w:val="0"/>
        <w:autoSpaceDN w:val="0"/>
        <w:ind w:left="0"/>
        <w:rPr>
          <w:rFonts w:ascii="Calibri" w:hAnsi="Calibri" w:cs="Calibri"/>
          <w:szCs w:val="24"/>
          <w:lang w:val="pt-BR"/>
        </w:rPr>
      </w:pPr>
    </w:p>
    <w:p w:rsidR="008E65A6" w:rsidRDefault="008E65A6"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No Porto de Angra</w:t>
      </w:r>
      <w:r w:rsidR="00290B80">
        <w:rPr>
          <w:rFonts w:ascii="Calibri" w:hAnsi="Calibri" w:cs="Calibri"/>
          <w:szCs w:val="24"/>
          <w:lang w:val="pt-BR"/>
        </w:rPr>
        <w:t>,</w:t>
      </w:r>
      <w:r>
        <w:rPr>
          <w:rFonts w:ascii="Calibri" w:hAnsi="Calibri" w:cs="Calibri"/>
          <w:szCs w:val="24"/>
          <w:lang w:val="pt-BR"/>
        </w:rPr>
        <w:t xml:space="preserve"> </w:t>
      </w:r>
      <w:r w:rsidR="00EA3F07">
        <w:rPr>
          <w:rFonts w:ascii="Calibri" w:hAnsi="Calibri" w:cs="Calibri"/>
          <w:szCs w:val="24"/>
          <w:lang w:val="pt-BR"/>
        </w:rPr>
        <w:t xml:space="preserve">houve um acordo entre a CDRJ e a arrendatária </w:t>
      </w:r>
      <w:r w:rsidR="00290B80">
        <w:rPr>
          <w:rFonts w:ascii="Calibri" w:hAnsi="Calibri" w:cs="Calibri"/>
          <w:szCs w:val="24"/>
          <w:lang w:val="pt-BR"/>
        </w:rPr>
        <w:t>TPAR – Terminal Portuário de Angra dos Reis que pôs fim a uma discussão judicial, resultando na baixa de R$ 29.470 mil em faturas.</w:t>
      </w:r>
    </w:p>
    <w:p w:rsidR="00F75D53" w:rsidRDefault="00F75D53" w:rsidP="00C16DDB">
      <w:pPr>
        <w:pStyle w:val="Recuodecorpodetexto"/>
        <w:widowControl/>
        <w:autoSpaceDE w:val="0"/>
        <w:autoSpaceDN w:val="0"/>
        <w:ind w:left="0"/>
        <w:rPr>
          <w:rFonts w:ascii="Calibri" w:hAnsi="Calibri" w:cs="Calibri"/>
          <w:szCs w:val="24"/>
          <w:lang w:val="pt-BR"/>
        </w:rPr>
      </w:pPr>
    </w:p>
    <w:p w:rsidR="00F75D53" w:rsidRDefault="00F75D53" w:rsidP="00C16DDB">
      <w:pPr>
        <w:pStyle w:val="Recuodecorpodetexto"/>
        <w:widowControl/>
        <w:autoSpaceDE w:val="0"/>
        <w:autoSpaceDN w:val="0"/>
        <w:ind w:left="0"/>
        <w:rPr>
          <w:rFonts w:ascii="Calibri" w:hAnsi="Calibri" w:cs="Calibri"/>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6</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69752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D0760C" w:rsidP="00290B80">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w:t>
            </w:r>
            <w:r w:rsidR="00290B80">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CC4E4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31/12/20</w:t>
            </w:r>
            <w:r w:rsidR="00CC4E45">
              <w:rPr>
                <w:rFonts w:ascii="Calibri" w:hAnsi="Calibri" w:cs="Calibri"/>
                <w:b/>
                <w:bCs/>
                <w:snapToGrid/>
                <w:color w:val="000000"/>
                <w:sz w:val="24"/>
                <w:szCs w:val="24"/>
              </w:rPr>
              <w:t>19</w:t>
            </w:r>
          </w:p>
        </w:tc>
      </w:tr>
      <w:tr w:rsidR="00290B80"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EF690C" w:rsidRDefault="00290B80" w:rsidP="00290B80">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EF690C"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3.238</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EF690C"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2.893</w:t>
            </w:r>
          </w:p>
        </w:tc>
      </w:tr>
      <w:tr w:rsidR="00290B80"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EF690C" w:rsidRDefault="00290B80" w:rsidP="00290B80">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EF690C"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499</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EF690C"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172</w:t>
            </w:r>
          </w:p>
        </w:tc>
      </w:tr>
      <w:tr w:rsidR="00290B80"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EF690C" w:rsidRDefault="00290B80" w:rsidP="00290B80">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EF690C" w:rsidRDefault="00290B80" w:rsidP="00290B8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3.737</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EF690C" w:rsidRDefault="00290B80" w:rsidP="00290B8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3.065</w:t>
            </w:r>
          </w:p>
        </w:tc>
      </w:tr>
    </w:tbl>
    <w:p w:rsidR="00290B80" w:rsidRDefault="00290B80"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290B80" w:rsidRPr="00CC4E45" w:rsidRDefault="00CC4E45" w:rsidP="00C16DDB">
      <w:pPr>
        <w:pStyle w:val="Recuodecorpodetexto"/>
        <w:widowControl/>
        <w:autoSpaceDE w:val="0"/>
        <w:autoSpaceDN w:val="0"/>
        <w:ind w:left="0"/>
        <w:rPr>
          <w:rFonts w:ascii="Calibri" w:hAnsi="Calibri" w:cs="Calibri"/>
          <w:szCs w:val="24"/>
          <w:lang w:val="pt-BR"/>
        </w:rPr>
      </w:pPr>
      <w:r w:rsidRPr="00CC4E45">
        <w:rPr>
          <w:rFonts w:ascii="Calibri" w:hAnsi="Calibri" w:cs="Calibri"/>
          <w:szCs w:val="24"/>
          <w:lang w:val="pt-BR"/>
        </w:rPr>
        <w:t>T</w:t>
      </w:r>
      <w:r>
        <w:rPr>
          <w:rFonts w:ascii="Calibri" w:hAnsi="Calibri" w:cs="Calibri"/>
          <w:szCs w:val="24"/>
          <w:lang w:val="pt-BR"/>
        </w:rPr>
        <w:t>rata-se de retenções realizadas por órgãos públicos, nos termos da Instrução Normativa da Receita Federal do Brasil nº 1.234, de 11 de janeiro de 2012.</w:t>
      </w: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lastRenderedPageBreak/>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119"/>
        <w:gridCol w:w="1695"/>
        <w:gridCol w:w="1695"/>
        <w:gridCol w:w="1695"/>
        <w:gridCol w:w="1696"/>
      </w:tblGrid>
      <w:tr w:rsidR="009B2C95" w:rsidRPr="005A7065" w:rsidTr="00697525">
        <w:trPr>
          <w:trHeight w:val="284"/>
          <w:jc w:val="center"/>
        </w:trPr>
        <w:tc>
          <w:tcPr>
            <w:tcW w:w="3119" w:type="dxa"/>
            <w:tcBorders>
              <w:top w:val="nil"/>
              <w:left w:val="nil"/>
              <w:bottom w:val="nil"/>
              <w:right w:val="single" w:sz="4" w:space="0" w:color="auto"/>
            </w:tcBorders>
            <w:shd w:val="clear" w:color="auto" w:fill="auto"/>
            <w:noWrap/>
            <w:vAlign w:val="bottom"/>
            <w:hideMark/>
          </w:tcPr>
          <w:p w:rsidR="009B2C95" w:rsidRPr="005A7065" w:rsidRDefault="009B2C95" w:rsidP="005A7065">
            <w:pPr>
              <w:widowControl/>
              <w:rPr>
                <w:snapToGrid/>
              </w:rPr>
            </w:pPr>
          </w:p>
        </w:tc>
        <w:tc>
          <w:tcPr>
            <w:tcW w:w="3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23787B" w:rsidRPr="005A7065" w:rsidTr="00697525">
        <w:trPr>
          <w:trHeight w:val="284"/>
          <w:jc w:val="center"/>
        </w:trPr>
        <w:tc>
          <w:tcPr>
            <w:tcW w:w="3119" w:type="dxa"/>
            <w:tcBorders>
              <w:top w:val="nil"/>
              <w:left w:val="nil"/>
              <w:bottom w:val="single" w:sz="4" w:space="0" w:color="auto"/>
              <w:right w:val="single" w:sz="4" w:space="0" w:color="auto"/>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D0760C" w:rsidP="00290B80">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w:t>
            </w:r>
            <w:r w:rsidR="00290B80">
              <w:rPr>
                <w:rFonts w:ascii="Calibri" w:hAnsi="Calibri" w:cs="Calibri"/>
                <w:b/>
                <w:bCs/>
                <w:snapToGrid/>
                <w:color w:val="000000"/>
                <w:sz w:val="24"/>
                <w:szCs w:val="24"/>
              </w:rPr>
              <w:t>20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90B80">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w:t>
            </w:r>
            <w:r w:rsidR="00290B80">
              <w:rPr>
                <w:rFonts w:ascii="Calibri" w:hAnsi="Calibri" w:cs="Calibri"/>
                <w:b/>
                <w:bCs/>
                <w:snapToGrid/>
                <w:color w:val="000000"/>
                <w:sz w:val="24"/>
                <w:szCs w:val="24"/>
              </w:rPr>
              <w:t>19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D0760C" w:rsidP="00290B80">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w:t>
            </w:r>
            <w:r w:rsidR="00290B80">
              <w:rPr>
                <w:rFonts w:ascii="Calibri" w:hAnsi="Calibri" w:cs="Calibri"/>
                <w:b/>
                <w:bCs/>
                <w:snapToGrid/>
                <w:color w:val="000000"/>
                <w:sz w:val="24"/>
                <w:szCs w:val="24"/>
              </w:rPr>
              <w:t>20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90B80">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w:t>
            </w:r>
            <w:r w:rsidR="00290B80">
              <w:rPr>
                <w:rFonts w:ascii="Calibri" w:hAnsi="Calibri" w:cs="Calibri"/>
                <w:b/>
                <w:bCs/>
                <w:snapToGrid/>
                <w:color w:val="000000"/>
                <w:sz w:val="24"/>
                <w:szCs w:val="24"/>
              </w:rPr>
              <w:t>19</w:t>
            </w:r>
          </w:p>
        </w:tc>
      </w:tr>
      <w:tr w:rsidR="00290B80"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43.236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40.904</w:t>
            </w:r>
          </w:p>
        </w:tc>
      </w:tr>
      <w:tr w:rsidR="00290B80"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290B80"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290B80" w:rsidP="00290B80">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10.826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4.019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19.418</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5.987</w:t>
            </w:r>
          </w:p>
        </w:tc>
      </w:tr>
      <w:tr w:rsidR="00290B80"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4.795</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599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290B80"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23.277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12.274</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B80" w:rsidRPr="005A7065" w:rsidRDefault="005B22E4" w:rsidP="00290B8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62.654</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80" w:rsidRPr="005A7065" w:rsidRDefault="00290B80" w:rsidP="00290B8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46.891</w:t>
            </w:r>
          </w:p>
        </w:tc>
      </w:tr>
    </w:tbl>
    <w:p w:rsidR="004D7C37" w:rsidRDefault="004D7C37" w:rsidP="00C16DDB">
      <w:pPr>
        <w:pStyle w:val="Recuodecorpodetexto"/>
        <w:widowControl/>
        <w:autoSpaceDE w:val="0"/>
        <w:autoSpaceDN w:val="0"/>
        <w:ind w:left="0"/>
        <w:rPr>
          <w:rFonts w:ascii="Calibri" w:hAnsi="Calibri" w:cs="Calibri"/>
          <w:b/>
          <w:szCs w:val="24"/>
          <w:lang w:val="pt-BR"/>
        </w:rPr>
      </w:pPr>
    </w:p>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xml:space="preserve">, conforme Termo de Convênio nº 120/2012, assinado entre a CDRJ e o INEA, visando ações de despoluição da Praia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Pr="00312424" w:rsidRDefault="009B2C95" w:rsidP="000831FD">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w:t>
      </w:r>
      <w:r w:rsidR="008A6042">
        <w:rPr>
          <w:rFonts w:ascii="Calibri" w:hAnsi="Calibri" w:cs="Calibri"/>
          <w:szCs w:val="24"/>
          <w:lang w:val="pt-BR"/>
        </w:rPr>
        <w:t>s</w:t>
      </w:r>
      <w:r>
        <w:rPr>
          <w:rFonts w:ascii="Calibri" w:hAnsi="Calibri" w:cs="Calibri"/>
          <w:szCs w:val="24"/>
          <w:lang w:val="pt-BR"/>
        </w:rPr>
        <w:t xml:space="preserve"> acordos de confissão de dívidas </w:t>
      </w:r>
      <w:r w:rsidR="000E1F2C">
        <w:rPr>
          <w:rFonts w:ascii="Calibri" w:hAnsi="Calibri" w:cs="Calibri"/>
          <w:szCs w:val="24"/>
          <w:lang w:val="pt-BR"/>
        </w:rPr>
        <w:t xml:space="preserve">firmados </w:t>
      </w:r>
      <w:r>
        <w:rPr>
          <w:rFonts w:ascii="Calibri" w:hAnsi="Calibri" w:cs="Calibri"/>
          <w:szCs w:val="24"/>
          <w:lang w:val="pt-BR"/>
        </w:rPr>
        <w:t>c</w:t>
      </w:r>
      <w:r w:rsidR="00951CEF">
        <w:rPr>
          <w:rFonts w:ascii="Calibri" w:hAnsi="Calibri" w:cs="Calibri"/>
          <w:szCs w:val="24"/>
          <w:lang w:val="pt-BR"/>
        </w:rPr>
        <w:t>om os seguintes clientes: Píer Mauá S.A., Triunfo Logística Ltda. e Pennant Serviços Marítimos Ltda.</w:t>
      </w:r>
      <w:r w:rsidR="00CD45B5">
        <w:rPr>
          <w:rFonts w:ascii="Calibri" w:hAnsi="Calibri" w:cs="Calibri"/>
          <w:szCs w:val="24"/>
          <w:lang w:val="pt-BR"/>
        </w:rPr>
        <w:t xml:space="preserve"> Em 2020, houve repactuação dos acordos firmados com a Triunfo e a Pennant, resultando na inclusão de novas faturas em aberto. </w:t>
      </w:r>
    </w:p>
    <w:p w:rsidR="00F75D53" w:rsidRDefault="00F75D53" w:rsidP="000831FD">
      <w:pPr>
        <w:pStyle w:val="Recuodecorpodetexto"/>
        <w:widowControl/>
        <w:autoSpaceDE w:val="0"/>
        <w:autoSpaceDN w:val="0"/>
        <w:ind w:left="0"/>
        <w:rPr>
          <w:rFonts w:ascii="Calibri" w:hAnsi="Calibri" w:cs="Calibri"/>
          <w:b/>
          <w:szCs w:val="24"/>
          <w:lang w:val="pt-BR"/>
        </w:rPr>
      </w:pPr>
    </w:p>
    <w:p w:rsidR="009B2C95" w:rsidRDefault="009B2C95" w:rsidP="000831FD">
      <w:pPr>
        <w:pStyle w:val="Recuodecorpodetexto"/>
        <w:widowControl/>
        <w:autoSpaceDE w:val="0"/>
        <w:autoSpaceDN w:val="0"/>
        <w:ind w:left="0"/>
        <w:rPr>
          <w:rFonts w:ascii="Calibri" w:hAnsi="Calibri" w:cs="Calibri"/>
          <w:b/>
          <w:szCs w:val="24"/>
          <w:lang w:val="pt-BR"/>
        </w:rPr>
      </w:pPr>
    </w:p>
    <w:p w:rsidR="00C16DDB" w:rsidRPr="00312424" w:rsidRDefault="0043773C" w:rsidP="000831FD">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085185" w:rsidRDefault="00085185"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9B2C95" w:rsidRPr="005A7065" w:rsidTr="00697525">
        <w:trPr>
          <w:trHeight w:val="284"/>
          <w:jc w:val="center"/>
        </w:trPr>
        <w:tc>
          <w:tcPr>
            <w:tcW w:w="2860" w:type="dxa"/>
            <w:tcBorders>
              <w:top w:val="nil"/>
              <w:left w:val="nil"/>
              <w:bottom w:val="single" w:sz="4" w:space="0" w:color="auto"/>
              <w:right w:val="single" w:sz="4" w:space="0" w:color="auto"/>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D0760C" w:rsidP="00CD45B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CD45B5">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B2C95" w:rsidP="00CD45B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w:t>
            </w:r>
            <w:r w:rsidR="00CD45B5">
              <w:rPr>
                <w:rFonts w:ascii="Calibri" w:hAnsi="Calibri" w:cs="Calibri"/>
                <w:b/>
                <w:bCs/>
                <w:snapToGrid/>
                <w:color w:val="000000"/>
                <w:sz w:val="24"/>
                <w:szCs w:val="24"/>
              </w:rPr>
              <w:t>9</w:t>
            </w:r>
          </w:p>
        </w:tc>
      </w:tr>
      <w:tr w:rsidR="00CD45B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5B5" w:rsidRPr="005A7065" w:rsidRDefault="00CD45B5" w:rsidP="00CD45B5">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39092B"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14.214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CD45B5"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13.409</w:t>
            </w:r>
          </w:p>
        </w:tc>
      </w:tr>
      <w:tr w:rsidR="00CD45B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5B5" w:rsidRPr="005A7065" w:rsidRDefault="00CD45B5" w:rsidP="00CD45B5">
            <w:pPr>
              <w:widowControl/>
              <w:rPr>
                <w:rFonts w:ascii="Calibri" w:hAnsi="Calibri" w:cs="Calibri"/>
                <w:snapToGrid/>
                <w:color w:val="000000"/>
                <w:sz w:val="24"/>
                <w:szCs w:val="24"/>
              </w:rPr>
            </w:pPr>
            <w:r w:rsidRPr="005A7065">
              <w:rPr>
                <w:rFonts w:ascii="Calibri" w:hAnsi="Calibri" w:cs="Calibri"/>
                <w:snapToGrid/>
                <w:color w:val="000000"/>
                <w:sz w:val="24"/>
                <w:szCs w:val="24"/>
              </w:rPr>
              <w:t xml:space="preserve">Ações Judiciais - </w:t>
            </w:r>
            <w:proofErr w:type="spellStart"/>
            <w:r w:rsidRPr="005A7065">
              <w:rPr>
                <w:rFonts w:ascii="Calibri" w:hAnsi="Calibri" w:cs="Calibri"/>
                <w:snapToGrid/>
                <w:color w:val="000000"/>
                <w:sz w:val="24"/>
                <w:szCs w:val="24"/>
              </w:rPr>
              <w:t>Portus</w:t>
            </w:r>
            <w:proofErr w:type="spellEnd"/>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39092B"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20.794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CD45B5"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32.782</w:t>
            </w:r>
          </w:p>
        </w:tc>
      </w:tr>
      <w:tr w:rsidR="00CD45B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CD45B5" w:rsidP="00CD45B5">
            <w:pPr>
              <w:widowControl/>
              <w:rPr>
                <w:rFonts w:ascii="Calibri" w:hAnsi="Calibri" w:cs="Calibri"/>
                <w:snapToGrid/>
                <w:color w:val="000000"/>
                <w:sz w:val="24"/>
                <w:szCs w:val="24"/>
              </w:rPr>
            </w:pPr>
            <w:r>
              <w:rPr>
                <w:rFonts w:ascii="Calibri" w:hAnsi="Calibri" w:cs="Calibri"/>
                <w:snapToGrid/>
                <w:color w:val="000000"/>
                <w:sz w:val="24"/>
                <w:szCs w:val="24"/>
              </w:rPr>
              <w:t>Ações Judiciais - VPNI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39092B"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52.095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CD45B5"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29.201</w:t>
            </w:r>
          </w:p>
        </w:tc>
      </w:tr>
      <w:tr w:rsidR="00CD45B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5B5" w:rsidRPr="005A7065" w:rsidRDefault="00CD45B5" w:rsidP="00CD45B5">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39092B"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83.881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CD45B5" w:rsidP="00CD45B5">
            <w:pPr>
              <w:widowControl/>
              <w:jc w:val="right"/>
              <w:rPr>
                <w:rFonts w:ascii="Calibri" w:hAnsi="Calibri" w:cs="Calibri"/>
                <w:snapToGrid/>
                <w:color w:val="000000"/>
                <w:sz w:val="24"/>
                <w:szCs w:val="24"/>
              </w:rPr>
            </w:pPr>
            <w:r>
              <w:rPr>
                <w:rFonts w:ascii="Calibri" w:hAnsi="Calibri" w:cs="Calibri"/>
                <w:snapToGrid/>
                <w:color w:val="000000"/>
                <w:sz w:val="24"/>
                <w:szCs w:val="24"/>
              </w:rPr>
              <w:t>183.094</w:t>
            </w:r>
          </w:p>
        </w:tc>
      </w:tr>
      <w:tr w:rsidR="00CD45B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5B5" w:rsidRPr="005A7065" w:rsidRDefault="00CD45B5" w:rsidP="00CD45B5">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39092B" w:rsidP="00CD45B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170.984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B5" w:rsidRPr="005A7065" w:rsidRDefault="00CD45B5" w:rsidP="00CD45B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258.486</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 Itaguaí e Angra dos Reis</w:t>
      </w:r>
      <w:r w:rsidR="00BD3CB0">
        <w:rPr>
          <w:rFonts w:ascii="Calibri" w:hAnsi="Calibri" w:cs="Calibri"/>
          <w:szCs w:val="24"/>
          <w:lang w:val="pt-BR"/>
        </w:rPr>
        <w:t>.</w:t>
      </w:r>
    </w:p>
    <w:p w:rsidR="004D2CAA" w:rsidRDefault="004D2CAA" w:rsidP="00C16DDB">
      <w:pPr>
        <w:pStyle w:val="Recuodecorpodetexto"/>
        <w:widowControl/>
        <w:autoSpaceDE w:val="0"/>
        <w:autoSpaceDN w:val="0"/>
        <w:ind w:left="0"/>
        <w:rPr>
          <w:rFonts w:ascii="Calibri" w:hAnsi="Calibri" w:cs="Calibri"/>
          <w:szCs w:val="24"/>
          <w:lang w:val="pt-BR"/>
        </w:rPr>
      </w:pPr>
    </w:p>
    <w:p w:rsidR="004B5133"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lastRenderedPageBreak/>
        <w:t xml:space="preserve">As Ações Judiciais – </w:t>
      </w:r>
      <w:proofErr w:type="spellStart"/>
      <w:r w:rsidRPr="001E11CE">
        <w:rPr>
          <w:rFonts w:ascii="Calibri" w:hAnsi="Calibri" w:cs="Calibri"/>
          <w:b/>
          <w:szCs w:val="24"/>
          <w:lang w:val="pt-BR"/>
        </w:rPr>
        <w:t>Portus</w:t>
      </w:r>
      <w:proofErr w:type="spellEnd"/>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r w:rsidR="00BD3CB0">
        <w:rPr>
          <w:rFonts w:ascii="Calibri" w:hAnsi="Calibri" w:cs="Calibri"/>
          <w:szCs w:val="24"/>
          <w:lang w:val="pt-BR"/>
        </w:rPr>
        <w:t xml:space="preserve"> </w:t>
      </w:r>
      <w:r w:rsidR="004B5133">
        <w:rPr>
          <w:rFonts w:ascii="Calibri" w:hAnsi="Calibri" w:cs="Calibri"/>
          <w:szCs w:val="24"/>
          <w:lang w:val="pt-BR"/>
        </w:rPr>
        <w:t>0105594-59.2004.8.19.0001</w:t>
      </w:r>
      <w:r w:rsidR="00BD3CB0">
        <w:rPr>
          <w:rFonts w:ascii="Calibri" w:hAnsi="Calibri" w:cs="Calibri"/>
          <w:szCs w:val="24"/>
          <w:lang w:val="pt-BR"/>
        </w:rPr>
        <w:t>, da</w:t>
      </w:r>
      <w:r w:rsidR="004B5133">
        <w:rPr>
          <w:rFonts w:ascii="Calibri" w:hAnsi="Calibri" w:cs="Calibri"/>
          <w:szCs w:val="24"/>
          <w:lang w:val="pt-BR"/>
        </w:rPr>
        <w:t xml:space="preserve"> 21ª Vara Cível do Rio de Janeiro</w:t>
      </w:r>
      <w:r w:rsidR="00BD3CB0">
        <w:rPr>
          <w:rFonts w:ascii="Calibri" w:hAnsi="Calibri" w:cs="Calibri"/>
          <w:szCs w:val="24"/>
          <w:lang w:val="pt-BR"/>
        </w:rPr>
        <w:t xml:space="preserve">, e </w:t>
      </w:r>
      <w:r w:rsidR="004B5133">
        <w:rPr>
          <w:rFonts w:ascii="Calibri" w:hAnsi="Calibri" w:cs="Calibri"/>
          <w:szCs w:val="24"/>
          <w:lang w:val="pt-BR"/>
        </w:rPr>
        <w:t>0</w:t>
      </w:r>
      <w:r w:rsidR="002822E1">
        <w:rPr>
          <w:rFonts w:ascii="Calibri" w:hAnsi="Calibri" w:cs="Calibri"/>
          <w:szCs w:val="24"/>
          <w:lang w:val="pt-BR"/>
        </w:rPr>
        <w:t>002173-66.2013</w:t>
      </w:r>
      <w:r w:rsidR="004B5133">
        <w:rPr>
          <w:rFonts w:ascii="Calibri" w:hAnsi="Calibri" w:cs="Calibri"/>
          <w:szCs w:val="24"/>
          <w:lang w:val="pt-BR"/>
        </w:rPr>
        <w:t>.8.19.00</w:t>
      </w:r>
      <w:r w:rsidR="002822E1">
        <w:rPr>
          <w:rFonts w:ascii="Calibri" w:hAnsi="Calibri" w:cs="Calibri"/>
          <w:szCs w:val="24"/>
          <w:lang w:val="pt-BR"/>
        </w:rPr>
        <w:t>24</w:t>
      </w:r>
      <w:r w:rsidR="00BD3CB0">
        <w:rPr>
          <w:rFonts w:ascii="Calibri" w:hAnsi="Calibri" w:cs="Calibri"/>
          <w:szCs w:val="24"/>
          <w:lang w:val="pt-BR"/>
        </w:rPr>
        <w:t>, da</w:t>
      </w:r>
      <w:r w:rsidR="004B5133">
        <w:rPr>
          <w:rFonts w:ascii="Calibri" w:hAnsi="Calibri" w:cs="Calibri"/>
          <w:szCs w:val="24"/>
          <w:lang w:val="pt-BR"/>
        </w:rPr>
        <w:t xml:space="preserve"> </w:t>
      </w:r>
      <w:r w:rsidR="002822E1">
        <w:rPr>
          <w:rFonts w:ascii="Calibri" w:hAnsi="Calibri" w:cs="Calibri"/>
          <w:szCs w:val="24"/>
          <w:lang w:val="pt-BR"/>
        </w:rPr>
        <w:t>1</w:t>
      </w:r>
      <w:r w:rsidR="004B5133">
        <w:rPr>
          <w:rFonts w:ascii="Calibri" w:hAnsi="Calibri" w:cs="Calibri"/>
          <w:szCs w:val="24"/>
          <w:lang w:val="pt-BR"/>
        </w:rPr>
        <w:t>ª Vara Cível do Rio de Janeiro</w:t>
      </w:r>
      <w:r w:rsidR="0039092B">
        <w:rPr>
          <w:rFonts w:ascii="Calibri" w:hAnsi="Calibri" w:cs="Calibri"/>
          <w:szCs w:val="24"/>
          <w:lang w:val="pt-BR"/>
        </w:rPr>
        <w:t xml:space="preserve">. Houve, no exercício de 2020, </w:t>
      </w:r>
      <w:r w:rsidR="00912C13">
        <w:rPr>
          <w:rFonts w:ascii="Calibri" w:hAnsi="Calibri" w:cs="Calibri"/>
          <w:szCs w:val="24"/>
          <w:lang w:val="pt-BR"/>
        </w:rPr>
        <w:t xml:space="preserve">a baixa de </w:t>
      </w:r>
      <w:r w:rsidR="0039092B">
        <w:rPr>
          <w:rFonts w:ascii="Calibri" w:hAnsi="Calibri" w:cs="Calibri"/>
          <w:szCs w:val="24"/>
          <w:lang w:val="pt-BR"/>
        </w:rPr>
        <w:t xml:space="preserve">R$ </w:t>
      </w:r>
      <w:r w:rsidR="00912C13">
        <w:rPr>
          <w:rFonts w:ascii="Calibri" w:hAnsi="Calibri" w:cs="Calibri"/>
          <w:szCs w:val="24"/>
          <w:lang w:val="pt-BR"/>
        </w:rPr>
        <w:t xml:space="preserve">27.089 mil, resultado de um levantamento realizado pelo </w:t>
      </w:r>
      <w:proofErr w:type="spellStart"/>
      <w:r w:rsidR="00912C13">
        <w:rPr>
          <w:rFonts w:ascii="Calibri" w:hAnsi="Calibri" w:cs="Calibri"/>
          <w:szCs w:val="24"/>
          <w:lang w:val="pt-BR"/>
        </w:rPr>
        <w:t>Portus</w:t>
      </w:r>
      <w:proofErr w:type="spellEnd"/>
      <w:r w:rsidR="00912C13">
        <w:rPr>
          <w:rFonts w:ascii="Calibri" w:hAnsi="Calibri" w:cs="Calibri"/>
          <w:szCs w:val="24"/>
          <w:lang w:val="pt-BR"/>
        </w:rPr>
        <w:t>.</w:t>
      </w:r>
    </w:p>
    <w:p w:rsidR="008B41D5" w:rsidRDefault="008B41D5" w:rsidP="00C16DDB">
      <w:pPr>
        <w:pStyle w:val="Recuodecorpodetexto"/>
        <w:widowControl/>
        <w:autoSpaceDE w:val="0"/>
        <w:autoSpaceDN w:val="0"/>
        <w:ind w:left="0"/>
        <w:rPr>
          <w:rFonts w:ascii="Calibri" w:hAnsi="Calibri" w:cs="Calibri"/>
          <w:szCs w:val="24"/>
          <w:lang w:val="pt-BR"/>
        </w:rPr>
      </w:pPr>
    </w:p>
    <w:p w:rsidR="002822E1" w:rsidRDefault="002822E1" w:rsidP="00C16DDB">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 xml:space="preserve">Ações Judiciais – VPNI </w:t>
      </w:r>
      <w:r w:rsidR="004D2CAA">
        <w:rPr>
          <w:rFonts w:ascii="Calibri" w:hAnsi="Calibri" w:cs="Calibri"/>
          <w:szCs w:val="24"/>
          <w:lang w:val="pt-BR"/>
        </w:rPr>
        <w:t xml:space="preserve">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w:t>
      </w:r>
      <w:r>
        <w:rPr>
          <w:rFonts w:ascii="Calibri" w:hAnsi="Calibri" w:cs="Calibri"/>
          <w:szCs w:val="24"/>
          <w:lang w:val="pt-BR"/>
        </w:rPr>
        <w:t>0100626-70.2017.5.01.0004, em trâmite na 4ª Vara do Trabalho do Rio de Janeiro</w:t>
      </w:r>
      <w:r w:rsidR="00781D86">
        <w:rPr>
          <w:rFonts w:ascii="Calibri" w:hAnsi="Calibri" w:cs="Calibri"/>
          <w:szCs w:val="24"/>
          <w:lang w:val="pt-BR"/>
        </w:rPr>
        <w:t>, relativo à rubrica salarial denominada VPNI – Vantagem Pessoal Nominal Individual.</w:t>
      </w:r>
      <w:r w:rsidR="00B2750D">
        <w:rPr>
          <w:rFonts w:ascii="Calibri" w:hAnsi="Calibri" w:cs="Calibri"/>
          <w:szCs w:val="24"/>
          <w:lang w:val="pt-BR"/>
        </w:rPr>
        <w:t xml:space="preserve"> Os depósitos são mensais.</w:t>
      </w:r>
    </w:p>
    <w:p w:rsidR="002822E1" w:rsidRDefault="002822E1" w:rsidP="00C16DDB">
      <w:pPr>
        <w:pStyle w:val="Recuodecorpodetexto"/>
        <w:widowControl/>
        <w:autoSpaceDE w:val="0"/>
        <w:autoSpaceDN w:val="0"/>
        <w:ind w:left="0"/>
        <w:rPr>
          <w:rFonts w:ascii="Calibri" w:hAnsi="Calibri" w:cs="Calibri"/>
          <w:szCs w:val="24"/>
          <w:lang w:val="pt-BR"/>
        </w:rPr>
      </w:pPr>
    </w:p>
    <w:p w:rsidR="00912C13" w:rsidRDefault="002822E1" w:rsidP="002822E1">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Outras Ações Judiciais</w:t>
      </w:r>
      <w:r>
        <w:rPr>
          <w:rFonts w:ascii="Calibri" w:hAnsi="Calibri" w:cs="Calibri"/>
          <w:szCs w:val="24"/>
          <w:lang w:val="pt-BR"/>
        </w:rPr>
        <w:t xml:space="preserve"> compreendem os depósitos judiciais </w:t>
      </w:r>
      <w:r w:rsidR="00C40EB4">
        <w:rPr>
          <w:rFonts w:ascii="Calibri" w:hAnsi="Calibri" w:cs="Calibri"/>
          <w:szCs w:val="24"/>
          <w:lang w:val="pt-BR"/>
        </w:rPr>
        <w:t>nos demais</w:t>
      </w:r>
      <w:r>
        <w:rPr>
          <w:rFonts w:ascii="Calibri" w:hAnsi="Calibri" w:cs="Calibri"/>
          <w:szCs w:val="24"/>
          <w:lang w:val="pt-BR"/>
        </w:rPr>
        <w:t xml:space="preserve"> processos cív</w:t>
      </w:r>
      <w:r w:rsidR="00286C86">
        <w:rPr>
          <w:rFonts w:ascii="Calibri" w:hAnsi="Calibri" w:cs="Calibri"/>
          <w:szCs w:val="24"/>
          <w:lang w:val="pt-BR"/>
        </w:rPr>
        <w:t>eis, trabalhistas e tributários</w:t>
      </w:r>
      <w:r w:rsidR="00781D86">
        <w:rPr>
          <w:rFonts w:ascii="Calibri" w:hAnsi="Calibri" w:cs="Calibri"/>
          <w:szCs w:val="24"/>
          <w:lang w:val="pt-BR"/>
        </w:rPr>
        <w:t>.</w:t>
      </w:r>
      <w:r w:rsidR="00912C13">
        <w:rPr>
          <w:rFonts w:ascii="Calibri" w:hAnsi="Calibri" w:cs="Calibri"/>
          <w:szCs w:val="24"/>
          <w:lang w:val="pt-BR"/>
        </w:rPr>
        <w:t xml:space="preserve"> </w:t>
      </w:r>
    </w:p>
    <w:p w:rsidR="00912C13" w:rsidRDefault="00912C13" w:rsidP="002822E1">
      <w:pPr>
        <w:pStyle w:val="Recuodecorpodetexto"/>
        <w:widowControl/>
        <w:autoSpaceDE w:val="0"/>
        <w:autoSpaceDN w:val="0"/>
        <w:ind w:left="0"/>
        <w:rPr>
          <w:rFonts w:ascii="Calibri" w:hAnsi="Calibri" w:cs="Calibri"/>
          <w:szCs w:val="24"/>
          <w:lang w:val="pt-BR"/>
        </w:rPr>
      </w:pPr>
    </w:p>
    <w:p w:rsidR="002822E1" w:rsidRDefault="00912C13" w:rsidP="002822E1">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Conforme nota explicativa nº 3 – Reapresentação Para Fins Comparativos, houve a baixa de R$ 93.474 mil relativa ao levantamento de depósitos judiciais referente a três execuções fiscais movidas pelo Município do Rio de Janeiro, em trâmite na </w:t>
      </w:r>
      <w:r w:rsidRPr="0018550A">
        <w:rPr>
          <w:rFonts w:asciiTheme="minorHAnsi" w:hAnsiTheme="minorHAnsi" w:cstheme="minorHAnsi"/>
          <w:szCs w:val="24"/>
          <w:lang w:val="pt-BR"/>
        </w:rPr>
        <w:t>12ª Vara de Fazenda Pública da Comarca da Capital do Estado do Rio de Janeiro</w:t>
      </w:r>
      <w:r>
        <w:rPr>
          <w:rFonts w:asciiTheme="minorHAnsi" w:hAnsiTheme="minorHAnsi" w:cstheme="minorHAnsi"/>
          <w:szCs w:val="24"/>
          <w:lang w:val="pt-BR"/>
        </w:rPr>
        <w:t xml:space="preserve">, </w:t>
      </w:r>
      <w:r>
        <w:rPr>
          <w:rFonts w:ascii="Calibri" w:hAnsi="Calibri" w:cs="Calibri"/>
          <w:szCs w:val="24"/>
          <w:lang w:val="pt-BR"/>
        </w:rPr>
        <w:t>abaixo relacionadas:</w:t>
      </w:r>
    </w:p>
    <w:p w:rsidR="00912C13" w:rsidRDefault="00912C13" w:rsidP="002822E1">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0273797-91.1998.8.19.0001</w:t>
      </w:r>
    </w:p>
    <w:p w:rsidR="00912C13" w:rsidRDefault="00912C13" w:rsidP="00912C13">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0268369-94.1999.8.19.0001</w:t>
      </w:r>
    </w:p>
    <w:p w:rsidR="00912C13" w:rsidRDefault="00912C13" w:rsidP="00912C13">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0343024-37.1999.8.19.0001</w:t>
      </w:r>
    </w:p>
    <w:p w:rsidR="00E01EC6" w:rsidRDefault="00E01EC6" w:rsidP="00C16DDB">
      <w:pPr>
        <w:pStyle w:val="Recuodecorpodetexto"/>
        <w:widowControl/>
        <w:autoSpaceDE w:val="0"/>
        <w:autoSpaceDN w:val="0"/>
        <w:ind w:left="0"/>
        <w:rPr>
          <w:rFonts w:ascii="Calibri" w:hAnsi="Calibri" w:cs="Calibri"/>
          <w:b/>
          <w:szCs w:val="24"/>
          <w:lang w:val="pt-BR"/>
        </w:rPr>
      </w:pPr>
    </w:p>
    <w:p w:rsidR="00912C13" w:rsidRDefault="00912C13"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t>9</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E875D1">
        <w:rPr>
          <w:rFonts w:ascii="Calibri" w:hAnsi="Calibri" w:cs="Calibri"/>
          <w:b/>
          <w:szCs w:val="24"/>
          <w:u w:val="single"/>
          <w:lang w:val="pt-BR"/>
        </w:rPr>
        <w:t>CONTAS A RECEBER DE P</w:t>
      </w:r>
      <w:r w:rsidR="00C16DDB" w:rsidRPr="00312424">
        <w:rPr>
          <w:rFonts w:ascii="Calibri" w:hAnsi="Calibri" w:cs="Calibri"/>
          <w:b/>
          <w:szCs w:val="24"/>
          <w:u w:val="single"/>
          <w:lang w:val="pt-BR"/>
        </w:rPr>
        <w:t>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sidR="00C40EB4">
        <w:rPr>
          <w:rFonts w:ascii="Calibri" w:hAnsi="Calibri" w:cs="Calibri"/>
          <w:szCs w:val="24"/>
          <w:lang w:val="pt-BR"/>
        </w:rPr>
        <w:t>.</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sidR="00BD3CB0">
        <w:rPr>
          <w:rFonts w:ascii="Calibri" w:hAnsi="Calibri" w:cs="Calibri"/>
          <w:szCs w:val="24"/>
          <w:lang w:val="pt-BR"/>
        </w:rPr>
        <w:t>devolvidos</w:t>
      </w:r>
      <w:r w:rsidR="00C16DDB" w:rsidRPr="00312424">
        <w:rPr>
          <w:rFonts w:ascii="Calibri" w:hAnsi="Calibri" w:cs="Calibri"/>
          <w:szCs w:val="24"/>
          <w:lang w:val="pt-BR"/>
        </w:rPr>
        <w:t xml:space="preserve">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E01EC6">
        <w:rPr>
          <w:rFonts w:ascii="Calibri" w:hAnsi="Calibri" w:cs="Calibri"/>
          <w:szCs w:val="24"/>
          <w:lang w:val="pt-BR"/>
        </w:rPr>
        <w:t xml:space="preserve">mil </w:t>
      </w:r>
      <w:r w:rsidR="00C16DDB" w:rsidRPr="00312424">
        <w:rPr>
          <w:rFonts w:ascii="Calibri" w:hAnsi="Calibri" w:cs="Calibri"/>
          <w:szCs w:val="24"/>
          <w:lang w:val="pt-BR"/>
        </w:rPr>
        <w:t>aos cofres do Governo Federal, em 2014 e 2015, respectivamente.</w:t>
      </w:r>
    </w:p>
    <w:p w:rsidR="00F75D53" w:rsidRDefault="00F75D53" w:rsidP="00C16DDB">
      <w:pPr>
        <w:pStyle w:val="Recuodecorpodetexto"/>
        <w:widowControl/>
        <w:autoSpaceDE w:val="0"/>
        <w:autoSpaceDN w:val="0"/>
        <w:ind w:left="0"/>
        <w:rPr>
          <w:rFonts w:ascii="Calibri" w:hAnsi="Calibri" w:cs="Calibri"/>
          <w:b/>
          <w:szCs w:val="24"/>
          <w:lang w:val="pt-BR"/>
        </w:rPr>
      </w:pPr>
    </w:p>
    <w:p w:rsidR="00BD3CB0" w:rsidRDefault="00BD3CB0"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10</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Pr="00B2750D" w:rsidRDefault="003E7F3A"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 xml:space="preserve">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w:t>
      </w:r>
      <w:r w:rsidR="00B2750D">
        <w:rPr>
          <w:rFonts w:ascii="Calibri" w:hAnsi="Calibri" w:cs="Calibri"/>
          <w:szCs w:val="24"/>
          <w:lang w:val="pt-BR"/>
        </w:rPr>
        <w:t>No exercício de 2020, os bens foram reclassificados para o Ativo Imobilizado.</w:t>
      </w:r>
    </w:p>
    <w:p w:rsidR="00085185" w:rsidRPr="00312424" w:rsidRDefault="00085185" w:rsidP="00C16DDB">
      <w:pPr>
        <w:pStyle w:val="Recuodecorpodetexto"/>
        <w:widowControl/>
        <w:autoSpaceDE w:val="0"/>
        <w:autoSpaceDN w:val="0"/>
        <w:ind w:left="0"/>
        <w:rPr>
          <w:rFonts w:ascii="Calibri" w:hAnsi="Calibri" w:cs="Calibri"/>
          <w:b/>
          <w:szCs w:val="24"/>
          <w:lang w:val="pt-BR"/>
        </w:rPr>
      </w:pPr>
    </w:p>
    <w:p w:rsidR="00C16DDB" w:rsidRDefault="00C16DDB"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Default="00CC4E45" w:rsidP="00C16DDB">
      <w:pPr>
        <w:pStyle w:val="Recuodecorpodetexto"/>
        <w:widowControl/>
        <w:autoSpaceDE w:val="0"/>
        <w:autoSpaceDN w:val="0"/>
        <w:ind w:left="0"/>
        <w:rPr>
          <w:rFonts w:ascii="Calibri" w:hAnsi="Calibri" w:cs="Calibri"/>
          <w:b/>
          <w:szCs w:val="24"/>
          <w:lang w:val="pt-BR"/>
        </w:rPr>
      </w:pPr>
    </w:p>
    <w:p w:rsidR="00CC4E45" w:rsidRPr="00312424" w:rsidRDefault="00CC4E45"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lastRenderedPageBreak/>
        <w:t>11</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2A2E73" w:rsidRPr="00790F34" w:rsidTr="00697525">
        <w:trPr>
          <w:trHeight w:val="284"/>
          <w:jc w:val="center"/>
        </w:trPr>
        <w:tc>
          <w:tcPr>
            <w:tcW w:w="3260" w:type="dxa"/>
            <w:tcBorders>
              <w:top w:val="nil"/>
              <w:left w:val="nil"/>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D0760C" w:rsidP="00B2750D">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B2750D">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B2750D">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31/12/201</w:t>
            </w:r>
            <w:r w:rsidR="00B2750D">
              <w:rPr>
                <w:rFonts w:ascii="Calibri" w:hAnsi="Calibri" w:cs="Calibri"/>
                <w:b/>
                <w:bCs/>
                <w:snapToGrid/>
                <w:color w:val="000000"/>
                <w:sz w:val="24"/>
                <w:szCs w:val="24"/>
              </w:rPr>
              <w:t>9</w:t>
            </w:r>
          </w:p>
        </w:tc>
      </w:tr>
      <w:tr w:rsidR="00B2750D"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0D" w:rsidRPr="00790F34" w:rsidRDefault="00B2750D" w:rsidP="00B2750D">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single" w:sz="4" w:space="0" w:color="auto"/>
              <w:left w:val="single" w:sz="4" w:space="0" w:color="auto"/>
              <w:bottom w:val="single" w:sz="4" w:space="0" w:color="auto"/>
              <w:right w:val="single" w:sz="4" w:space="0" w:color="auto"/>
            </w:tcBorders>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B2750D"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0D" w:rsidRPr="00790F34" w:rsidRDefault="00B2750D" w:rsidP="00B2750D">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158.013</w:t>
            </w:r>
          </w:p>
        </w:tc>
        <w:tc>
          <w:tcPr>
            <w:tcW w:w="1760" w:type="dxa"/>
            <w:tcBorders>
              <w:top w:val="single" w:sz="4" w:space="0" w:color="auto"/>
              <w:left w:val="single" w:sz="4" w:space="0" w:color="auto"/>
              <w:bottom w:val="single" w:sz="4" w:space="0" w:color="auto"/>
              <w:right w:val="single" w:sz="4" w:space="0" w:color="auto"/>
            </w:tcBorders>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151.278</w:t>
            </w:r>
          </w:p>
        </w:tc>
      </w:tr>
      <w:tr w:rsidR="00B2750D"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0D" w:rsidRPr="00790F34" w:rsidRDefault="00B2750D" w:rsidP="00B2750D">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189.574</w:t>
            </w:r>
          </w:p>
        </w:tc>
        <w:tc>
          <w:tcPr>
            <w:tcW w:w="1760" w:type="dxa"/>
            <w:tcBorders>
              <w:top w:val="single" w:sz="4" w:space="0" w:color="auto"/>
              <w:left w:val="single" w:sz="4" w:space="0" w:color="auto"/>
              <w:bottom w:val="single" w:sz="4" w:space="0" w:color="auto"/>
              <w:right w:val="single" w:sz="4" w:space="0" w:color="auto"/>
            </w:tcBorders>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164.146</w:t>
            </w:r>
          </w:p>
        </w:tc>
      </w:tr>
      <w:tr w:rsidR="00B2750D"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0D" w:rsidRPr="00790F34" w:rsidRDefault="00B2750D" w:rsidP="00B2750D">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15.097</w:t>
            </w:r>
          </w:p>
        </w:tc>
        <w:tc>
          <w:tcPr>
            <w:tcW w:w="1760" w:type="dxa"/>
            <w:tcBorders>
              <w:top w:val="single" w:sz="4" w:space="0" w:color="auto"/>
              <w:left w:val="single" w:sz="4" w:space="0" w:color="auto"/>
              <w:bottom w:val="single" w:sz="4" w:space="0" w:color="auto"/>
              <w:right w:val="single" w:sz="4" w:space="0" w:color="auto"/>
            </w:tcBorders>
            <w:vAlign w:val="bottom"/>
          </w:tcPr>
          <w:p w:rsidR="00B2750D" w:rsidRPr="00790F34" w:rsidRDefault="00B2750D" w:rsidP="00B2750D">
            <w:pPr>
              <w:widowControl/>
              <w:jc w:val="right"/>
              <w:rPr>
                <w:rFonts w:ascii="Calibri" w:hAnsi="Calibri" w:cs="Calibri"/>
                <w:snapToGrid/>
                <w:color w:val="000000"/>
                <w:sz w:val="24"/>
                <w:szCs w:val="24"/>
              </w:rPr>
            </w:pPr>
            <w:r>
              <w:rPr>
                <w:rFonts w:ascii="Calibri" w:hAnsi="Calibri" w:cs="Calibri"/>
                <w:snapToGrid/>
                <w:color w:val="000000"/>
                <w:sz w:val="24"/>
                <w:szCs w:val="24"/>
              </w:rPr>
              <w:t>13.552</w:t>
            </w:r>
          </w:p>
        </w:tc>
      </w:tr>
      <w:tr w:rsidR="00B2750D"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0D" w:rsidRPr="00790F34" w:rsidRDefault="00B2750D" w:rsidP="00B2750D">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50D" w:rsidRPr="00790F34" w:rsidRDefault="00B2750D" w:rsidP="00B2750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371.916</w:t>
            </w:r>
          </w:p>
        </w:tc>
        <w:tc>
          <w:tcPr>
            <w:tcW w:w="1760" w:type="dxa"/>
            <w:tcBorders>
              <w:top w:val="single" w:sz="4" w:space="0" w:color="auto"/>
              <w:left w:val="single" w:sz="4" w:space="0" w:color="auto"/>
              <w:bottom w:val="single" w:sz="4" w:space="0" w:color="auto"/>
              <w:right w:val="single" w:sz="4" w:space="0" w:color="auto"/>
            </w:tcBorders>
            <w:vAlign w:val="bottom"/>
          </w:tcPr>
          <w:p w:rsidR="00B2750D" w:rsidRPr="00790F34" w:rsidRDefault="00B2750D" w:rsidP="00B2750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338.208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diversas ações trabalhistas</w:t>
      </w:r>
      <w:r w:rsidR="00333F79">
        <w:rPr>
          <w:rFonts w:ascii="Calibri" w:hAnsi="Calibri" w:cs="Calibri"/>
          <w:szCs w:val="24"/>
          <w:lang w:val="pt-BR"/>
        </w:rPr>
        <w:t>,</w:t>
      </w:r>
      <w:r>
        <w:rPr>
          <w:rFonts w:ascii="Calibri" w:hAnsi="Calibri" w:cs="Calibri"/>
          <w:szCs w:val="24"/>
          <w:lang w:val="pt-BR"/>
        </w:rPr>
        <w:t xml:space="preserve"> cíveis</w:t>
      </w:r>
      <w:r w:rsidR="00333F79">
        <w:rPr>
          <w:rFonts w:ascii="Calibri" w:hAnsi="Calibri" w:cs="Calibri"/>
          <w:szCs w:val="24"/>
          <w:lang w:val="pt-BR"/>
        </w:rPr>
        <w:t xml:space="preserve"> e tributárias</w:t>
      </w:r>
      <w:r>
        <w:rPr>
          <w:rFonts w:ascii="Calibri" w:hAnsi="Calibri" w:cs="Calibri"/>
          <w:szCs w:val="24"/>
          <w:lang w:val="pt-BR"/>
        </w:rPr>
        <w:t xml:space="preserve">, </w:t>
      </w:r>
      <w:r w:rsidRPr="00312424">
        <w:rPr>
          <w:rFonts w:ascii="Calibri" w:hAnsi="Calibri" w:cs="Calibri"/>
          <w:szCs w:val="24"/>
          <w:lang w:val="pt-BR"/>
        </w:rPr>
        <w:t>c</w:t>
      </w:r>
      <w:r>
        <w:rPr>
          <w:rFonts w:ascii="Calibri" w:hAnsi="Calibri" w:cs="Calibri"/>
          <w:szCs w:val="24"/>
          <w:lang w:val="pt-BR"/>
        </w:rPr>
        <w:t>om pedido de pen</w:t>
      </w:r>
      <w:r w:rsidR="00B2750D">
        <w:rPr>
          <w:rFonts w:ascii="Calibri" w:hAnsi="Calibri" w:cs="Calibri"/>
          <w:szCs w:val="24"/>
          <w:lang w:val="pt-BR"/>
        </w:rPr>
        <w:t>hora judicial em conta bancária, cujo cumprimento ocorre diariamente.</w:t>
      </w:r>
    </w:p>
    <w:p w:rsidR="001E11CE" w:rsidRPr="00312424" w:rsidRDefault="001E11CE" w:rsidP="00C16DDB">
      <w:pPr>
        <w:jc w:val="both"/>
        <w:rPr>
          <w:rFonts w:ascii="Calibri" w:hAnsi="Calibri" w:cs="Calibri"/>
          <w:b/>
          <w:sz w:val="24"/>
          <w:szCs w:val="24"/>
        </w:rPr>
      </w:pPr>
    </w:p>
    <w:p w:rsidR="00333F79"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w:t>
      </w:r>
      <w:proofErr w:type="spellStart"/>
      <w:r w:rsidR="00C16DDB" w:rsidRPr="00312424">
        <w:rPr>
          <w:rFonts w:ascii="Calibri" w:hAnsi="Calibri" w:cs="Calibri"/>
          <w:b/>
          <w:sz w:val="24"/>
          <w:szCs w:val="24"/>
        </w:rPr>
        <w:t>Portobrás</w:t>
      </w:r>
      <w:proofErr w:type="spellEnd"/>
      <w:r w:rsidR="00C16DDB" w:rsidRPr="00312424">
        <w:rPr>
          <w:rFonts w:ascii="Calibri" w:hAnsi="Calibri" w:cs="Calibri"/>
          <w:b/>
          <w:sz w:val="24"/>
          <w:szCs w:val="24"/>
        </w:rPr>
        <w:t xml:space="preserve"> </w:t>
      </w:r>
      <w:r>
        <w:rPr>
          <w:rFonts w:ascii="Calibri" w:hAnsi="Calibri" w:cs="Calibri"/>
          <w:sz w:val="24"/>
          <w:szCs w:val="24"/>
        </w:rPr>
        <w:t xml:space="preserve">são penhoras </w:t>
      </w:r>
      <w:r w:rsidR="00B2750D">
        <w:rPr>
          <w:rFonts w:ascii="Calibri" w:hAnsi="Calibri" w:cs="Calibri"/>
          <w:sz w:val="24"/>
          <w:szCs w:val="24"/>
        </w:rPr>
        <w:t xml:space="preserve">mensais </w:t>
      </w:r>
      <w:r>
        <w:rPr>
          <w:rFonts w:ascii="Calibri" w:hAnsi="Calibri" w:cs="Calibri"/>
          <w:sz w:val="24"/>
          <w:szCs w:val="24"/>
        </w:rPr>
        <w:t>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w:t>
      </w:r>
      <w:r w:rsidR="00333F79">
        <w:rPr>
          <w:rFonts w:ascii="Calibri" w:hAnsi="Calibri" w:cs="Calibri"/>
          <w:sz w:val="24"/>
          <w:szCs w:val="24"/>
        </w:rPr>
        <w:t xml:space="preserve">seguintes </w:t>
      </w:r>
      <w:r w:rsidR="00C16DDB" w:rsidRPr="00312424">
        <w:rPr>
          <w:rFonts w:ascii="Calibri" w:hAnsi="Calibri" w:cs="Calibri"/>
          <w:sz w:val="24"/>
          <w:szCs w:val="24"/>
        </w:rPr>
        <w:t>processos</w:t>
      </w:r>
      <w:r w:rsidR="00333F79">
        <w:rPr>
          <w:rFonts w:ascii="Calibri" w:hAnsi="Calibri" w:cs="Calibri"/>
          <w:sz w:val="24"/>
          <w:szCs w:val="24"/>
        </w:rPr>
        <w:t>:</w:t>
      </w:r>
      <w:r w:rsidR="00E64364">
        <w:rPr>
          <w:rFonts w:ascii="Calibri" w:hAnsi="Calibri" w:cs="Calibri"/>
          <w:sz w:val="24"/>
          <w:szCs w:val="24"/>
        </w:rPr>
        <w:tab/>
      </w:r>
    </w:p>
    <w:p w:rsidR="00333F79" w:rsidRDefault="003E36CA" w:rsidP="00C16DDB">
      <w:pPr>
        <w:jc w:val="both"/>
        <w:rPr>
          <w:rFonts w:ascii="Calibri" w:hAnsi="Calibri" w:cs="Calibri"/>
          <w:sz w:val="24"/>
          <w:szCs w:val="24"/>
        </w:rPr>
      </w:pPr>
      <w:r>
        <w:rPr>
          <w:rFonts w:ascii="Calibri" w:hAnsi="Calibri" w:cs="Calibri"/>
          <w:sz w:val="24"/>
          <w:szCs w:val="24"/>
        </w:rPr>
        <w:t>0190316-36.1998.8.19.0001 – 11ª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0102697-82.2009.8.19.0001 – 19ª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0044608-27.1994.4.02.5101 – 3ª Vara Federal da Seção Judiciária do Rio de Janeiro</w:t>
      </w:r>
    </w:p>
    <w:p w:rsidR="003E36CA" w:rsidRDefault="003E36CA" w:rsidP="00C16DDB">
      <w:pPr>
        <w:jc w:val="both"/>
        <w:rPr>
          <w:rFonts w:ascii="Calibri" w:hAnsi="Calibri" w:cs="Calibri"/>
          <w:sz w:val="24"/>
          <w:szCs w:val="24"/>
        </w:rPr>
      </w:pPr>
      <w:r>
        <w:rPr>
          <w:rFonts w:ascii="Calibri" w:hAnsi="Calibri" w:cs="Calibri"/>
          <w:sz w:val="24"/>
          <w:szCs w:val="24"/>
        </w:rPr>
        <w:t>0005985-83.1997.4.02.5101 – 3ª Vara Federal da Seção Judiciária do Rio de Janeiro</w:t>
      </w:r>
    </w:p>
    <w:p w:rsidR="00E64364" w:rsidRDefault="00E64364" w:rsidP="00C16DDB">
      <w:pPr>
        <w:jc w:val="both"/>
        <w:rPr>
          <w:rFonts w:ascii="Calibri" w:hAnsi="Calibri" w:cs="Calibri"/>
          <w:sz w:val="24"/>
          <w:szCs w:val="24"/>
        </w:rPr>
      </w:pP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sidR="00B2750D">
        <w:rPr>
          <w:rFonts w:ascii="Calibri" w:hAnsi="Calibri" w:cs="Calibri"/>
          <w:szCs w:val="24"/>
          <w:lang w:val="pt-BR"/>
        </w:rPr>
        <w:t xml:space="preserve"> de interesse da CDRJ.</w:t>
      </w:r>
    </w:p>
    <w:p w:rsidR="000831FD" w:rsidRDefault="000831FD" w:rsidP="00C16DDB">
      <w:pPr>
        <w:jc w:val="both"/>
        <w:rPr>
          <w:rFonts w:ascii="Calibri" w:hAnsi="Calibri" w:cs="Calibri"/>
          <w:b/>
          <w:sz w:val="24"/>
          <w:szCs w:val="24"/>
        </w:rPr>
      </w:pPr>
    </w:p>
    <w:p w:rsidR="000831FD" w:rsidRDefault="000831FD" w:rsidP="00C16DDB">
      <w:pPr>
        <w:jc w:val="both"/>
        <w:rPr>
          <w:rFonts w:ascii="Calibri" w:hAnsi="Calibri" w:cs="Calibri"/>
          <w:b/>
          <w:sz w:val="24"/>
          <w:szCs w:val="24"/>
        </w:rPr>
      </w:pPr>
    </w:p>
    <w:p w:rsidR="007A2507" w:rsidRPr="00312424" w:rsidRDefault="0043773C" w:rsidP="007A2507">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12</w:t>
      </w:r>
      <w:r w:rsidR="007A2507" w:rsidRPr="00312424">
        <w:rPr>
          <w:rFonts w:ascii="Calibri" w:hAnsi="Calibri" w:cs="Calibri"/>
          <w:b/>
          <w:szCs w:val="24"/>
          <w:lang w:val="pt-BR"/>
        </w:rPr>
        <w:t xml:space="preserve"> </w:t>
      </w:r>
      <w:r w:rsidR="007A2507" w:rsidRPr="00312424">
        <w:rPr>
          <w:rFonts w:ascii="Calibri" w:hAnsi="Calibri" w:cs="Calibri"/>
          <w:b/>
          <w:szCs w:val="24"/>
        </w:rPr>
        <w:t xml:space="preserve">– </w:t>
      </w:r>
      <w:r w:rsidR="007A2507">
        <w:rPr>
          <w:rFonts w:ascii="Calibri" w:hAnsi="Calibri" w:cs="Calibri"/>
          <w:b/>
          <w:szCs w:val="24"/>
          <w:u w:val="single"/>
          <w:lang w:val="pt-BR"/>
        </w:rPr>
        <w:t>PROPRIEDADES PARA INVESTIMENTOS</w:t>
      </w:r>
    </w:p>
    <w:p w:rsidR="007A2507" w:rsidRDefault="007A2507" w:rsidP="007A2507">
      <w:pPr>
        <w:pStyle w:val="Recuodecorpodetexto"/>
        <w:widowControl/>
        <w:autoSpaceDE w:val="0"/>
        <w:autoSpaceDN w:val="0"/>
        <w:ind w:left="0"/>
        <w:rPr>
          <w:rFonts w:ascii="Calibri" w:hAnsi="Calibri" w:cs="Calibri"/>
          <w:b/>
          <w:szCs w:val="24"/>
          <w:u w:val="single"/>
          <w:lang w:val="pt-BR"/>
        </w:rPr>
      </w:pPr>
    </w:p>
    <w:p w:rsidR="00085185" w:rsidRDefault="0012521A"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Trata-se de 75 (setenta e cinco) imóveis externos (Edificações e Terrenos)</w:t>
      </w:r>
      <w:r w:rsidR="00085185">
        <w:rPr>
          <w:rFonts w:ascii="Calibri" w:hAnsi="Calibri" w:cs="Calibri"/>
          <w:szCs w:val="24"/>
          <w:lang w:val="pt-BR"/>
        </w:rPr>
        <w:t xml:space="preserve"> de propriedade da CDRJ,</w:t>
      </w:r>
      <w:r>
        <w:rPr>
          <w:rFonts w:ascii="Calibri" w:hAnsi="Calibri" w:cs="Calibri"/>
          <w:szCs w:val="24"/>
          <w:lang w:val="pt-BR"/>
        </w:rPr>
        <w:t xml:space="preserve"> mantidos para auferir aluguel ou para valorização de capital ou para ambas, registrados pelo valor de aquisição (custo histórico)</w:t>
      </w:r>
      <w:r w:rsidR="00061761">
        <w:rPr>
          <w:rFonts w:ascii="Calibri" w:hAnsi="Calibri" w:cs="Calibri"/>
          <w:szCs w:val="24"/>
          <w:lang w:val="pt-BR"/>
        </w:rPr>
        <w:t xml:space="preserve">. </w:t>
      </w:r>
    </w:p>
    <w:p w:rsidR="00085185" w:rsidRDefault="00085185" w:rsidP="007A2507">
      <w:pPr>
        <w:pStyle w:val="Recuodecorpodetexto"/>
        <w:widowControl/>
        <w:autoSpaceDE w:val="0"/>
        <w:autoSpaceDN w:val="0"/>
        <w:ind w:left="0"/>
        <w:rPr>
          <w:rFonts w:ascii="Calibri" w:hAnsi="Calibri" w:cs="Calibri"/>
          <w:szCs w:val="24"/>
          <w:lang w:val="pt-BR"/>
        </w:rPr>
      </w:pPr>
    </w:p>
    <w:p w:rsidR="007A2507" w:rsidRDefault="00061761"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Segundo laudo de determinação de valor de mercado, realizado pela empresa </w:t>
      </w:r>
      <w:proofErr w:type="spellStart"/>
      <w:r>
        <w:rPr>
          <w:rFonts w:ascii="Calibri" w:hAnsi="Calibri" w:cs="Calibri"/>
          <w:szCs w:val="24"/>
          <w:lang w:val="pt-BR"/>
        </w:rPr>
        <w:t>Convergy</w:t>
      </w:r>
      <w:proofErr w:type="spellEnd"/>
      <w:r>
        <w:rPr>
          <w:rFonts w:ascii="Calibri" w:hAnsi="Calibri" w:cs="Calibri"/>
          <w:szCs w:val="24"/>
          <w:lang w:val="pt-BR"/>
        </w:rPr>
        <w:t xml:space="preserve"> Serviços e Contabilidade Ltda., observados os métodos de análise e de avaliação empregados, com considerações feitas aos bens em estudo quanto às suas características, estado de conservação e manutenção, os imóveis registrados em Propriedade para Investimentos foram avaliados em R$ 547.499 mil.</w:t>
      </w:r>
    </w:p>
    <w:p w:rsidR="00994937" w:rsidRDefault="00994937" w:rsidP="00C16DDB">
      <w:pPr>
        <w:jc w:val="both"/>
        <w:rPr>
          <w:rFonts w:ascii="Calibri" w:hAnsi="Calibri" w:cs="Calibri"/>
          <w:b/>
          <w:color w:val="FF0000"/>
          <w:sz w:val="24"/>
          <w:szCs w:val="24"/>
        </w:rPr>
      </w:pPr>
    </w:p>
    <w:p w:rsidR="00085185" w:rsidRDefault="00085185" w:rsidP="00C16DDB">
      <w:pPr>
        <w:jc w:val="both"/>
        <w:rPr>
          <w:rFonts w:ascii="Calibri" w:hAnsi="Calibri" w:cs="Calibri"/>
          <w:b/>
          <w:color w:val="FF0000"/>
          <w:sz w:val="24"/>
          <w:szCs w:val="24"/>
        </w:rPr>
      </w:pPr>
    </w:p>
    <w:p w:rsidR="00CC4E45" w:rsidRDefault="00CC4E45" w:rsidP="00C16DDB">
      <w:pPr>
        <w:jc w:val="both"/>
        <w:rPr>
          <w:rFonts w:ascii="Calibri" w:hAnsi="Calibri" w:cs="Calibri"/>
          <w:b/>
          <w:color w:val="FF0000"/>
          <w:sz w:val="24"/>
          <w:szCs w:val="24"/>
        </w:rPr>
      </w:pPr>
    </w:p>
    <w:p w:rsidR="00CC4E45" w:rsidRDefault="00CC4E45" w:rsidP="00C16DDB">
      <w:pPr>
        <w:jc w:val="both"/>
        <w:rPr>
          <w:rFonts w:ascii="Calibri" w:hAnsi="Calibri" w:cs="Calibri"/>
          <w:b/>
          <w:color w:val="FF0000"/>
          <w:sz w:val="24"/>
          <w:szCs w:val="24"/>
        </w:rPr>
      </w:pPr>
    </w:p>
    <w:p w:rsidR="00CC4E45" w:rsidRDefault="00CC4E45" w:rsidP="00C16DDB">
      <w:pPr>
        <w:jc w:val="both"/>
        <w:rPr>
          <w:rFonts w:ascii="Calibri" w:hAnsi="Calibri" w:cs="Calibri"/>
          <w:b/>
          <w:color w:val="FF0000"/>
          <w:sz w:val="24"/>
          <w:szCs w:val="24"/>
        </w:rPr>
      </w:pPr>
    </w:p>
    <w:p w:rsidR="00CC4E45" w:rsidRPr="00DB7CEF" w:rsidRDefault="00CC4E45" w:rsidP="00C16DDB">
      <w:pPr>
        <w:jc w:val="both"/>
        <w:rPr>
          <w:rFonts w:ascii="Calibri" w:hAnsi="Calibri" w:cs="Calibri"/>
          <w:b/>
          <w:color w:val="FF0000"/>
          <w:sz w:val="24"/>
          <w:szCs w:val="24"/>
        </w:rPr>
      </w:pPr>
    </w:p>
    <w:p w:rsidR="00C16DDB" w:rsidRPr="00312424" w:rsidRDefault="0043773C" w:rsidP="00C16DDB">
      <w:pPr>
        <w:jc w:val="both"/>
        <w:rPr>
          <w:rFonts w:ascii="Calibri" w:hAnsi="Calibri" w:cs="Calibri"/>
          <w:b/>
          <w:sz w:val="24"/>
          <w:szCs w:val="24"/>
        </w:rPr>
      </w:pPr>
      <w:r>
        <w:rPr>
          <w:rFonts w:ascii="Calibri" w:hAnsi="Calibri" w:cs="Calibri"/>
          <w:b/>
          <w:sz w:val="24"/>
          <w:szCs w:val="24"/>
        </w:rPr>
        <w:lastRenderedPageBreak/>
        <w:t>13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B2750D" w:rsidRDefault="00B2750D" w:rsidP="00C16DDB">
      <w:pPr>
        <w:jc w:val="both"/>
        <w:rPr>
          <w:rFonts w:ascii="Calibri" w:hAnsi="Calibri" w:cs="Calibri"/>
          <w:sz w:val="24"/>
          <w:szCs w:val="24"/>
        </w:rPr>
      </w:pPr>
    </w:p>
    <w:p w:rsidR="00B2750D" w:rsidRDefault="009C7045" w:rsidP="00C16DDB">
      <w:pPr>
        <w:jc w:val="both"/>
        <w:rPr>
          <w:rFonts w:ascii="Calibri" w:hAnsi="Calibri" w:cs="Calibri"/>
          <w:sz w:val="24"/>
          <w:szCs w:val="24"/>
        </w:rPr>
      </w:pPr>
      <w:r w:rsidRPr="009C7045">
        <w:rPr>
          <w:noProof/>
        </w:rPr>
        <w:drawing>
          <wp:inline distT="0" distB="0" distL="0" distR="0">
            <wp:extent cx="6333629" cy="1160891"/>
            <wp:effectExtent l="0" t="0" r="0" b="127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2425" cy="1162503"/>
                    </a:xfrm>
                    <a:prstGeom prst="rect">
                      <a:avLst/>
                    </a:prstGeom>
                    <a:noFill/>
                    <a:ln>
                      <a:noFill/>
                    </a:ln>
                  </pic:spPr>
                </pic:pic>
              </a:graphicData>
            </a:graphic>
          </wp:inline>
        </w:drawing>
      </w:r>
    </w:p>
    <w:p w:rsidR="009C7045" w:rsidRDefault="009C7045" w:rsidP="00C16DDB">
      <w:pPr>
        <w:jc w:val="both"/>
        <w:rPr>
          <w:rFonts w:ascii="Calibri" w:hAnsi="Calibri" w:cs="Calibri"/>
          <w:sz w:val="24"/>
          <w:szCs w:val="24"/>
        </w:rPr>
      </w:pPr>
    </w:p>
    <w:p w:rsidR="00C068C1" w:rsidRDefault="000819FC" w:rsidP="00C16DDB">
      <w:pPr>
        <w:jc w:val="both"/>
        <w:rPr>
          <w:rFonts w:ascii="Calibri" w:hAnsi="Calibri" w:cs="Calibri"/>
          <w:sz w:val="24"/>
          <w:szCs w:val="24"/>
        </w:rPr>
      </w:pPr>
      <w:r w:rsidRPr="000819FC">
        <w:rPr>
          <w:rFonts w:ascii="Calibri" w:hAnsi="Calibri" w:cs="Calibri"/>
          <w:sz w:val="24"/>
          <w:szCs w:val="24"/>
        </w:rPr>
        <w:t>A</w:t>
      </w:r>
      <w:r>
        <w:rPr>
          <w:rFonts w:ascii="Calibri" w:hAnsi="Calibri" w:cs="Calibri"/>
          <w:sz w:val="24"/>
          <w:szCs w:val="24"/>
        </w:rPr>
        <w:t xml:space="preserve"> CDRJ revisou os valores registrados no grupo Imobilizado em Andamento e efetuou a correta classificação contábil, visto que não atendiam aos critérios para caracterização de ativos, nos termos das normas contábeis vigentes.</w:t>
      </w:r>
    </w:p>
    <w:p w:rsidR="000819FC" w:rsidRPr="000819FC" w:rsidRDefault="000819FC" w:rsidP="00C16DDB">
      <w:pPr>
        <w:jc w:val="both"/>
        <w:rPr>
          <w:rFonts w:ascii="Calibri" w:hAnsi="Calibri" w:cs="Calibri"/>
          <w:sz w:val="24"/>
          <w:szCs w:val="24"/>
        </w:rPr>
      </w:pPr>
    </w:p>
    <w:p w:rsidR="000819FC" w:rsidRPr="000819FC" w:rsidRDefault="000819FC" w:rsidP="00C16DDB">
      <w:pPr>
        <w:jc w:val="both"/>
        <w:rPr>
          <w:rFonts w:ascii="Calibri" w:hAnsi="Calibri" w:cs="Calibri"/>
          <w:sz w:val="24"/>
          <w:szCs w:val="24"/>
        </w:rPr>
      </w:pPr>
    </w:p>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0831FD"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rupo</w:t>
      </w:r>
      <w:r w:rsidR="000831FD">
        <w:rPr>
          <w:rFonts w:ascii="Calibri" w:hAnsi="Calibri" w:cs="Calibri"/>
          <w:sz w:val="24"/>
          <w:szCs w:val="24"/>
        </w:rPr>
        <w:t xml:space="preserve"> contém as remunerações a empregados, diretores, </w:t>
      </w:r>
      <w:r w:rsidR="00CC4E45">
        <w:rPr>
          <w:rFonts w:ascii="Calibri" w:hAnsi="Calibri" w:cs="Calibri"/>
          <w:sz w:val="24"/>
          <w:szCs w:val="24"/>
        </w:rPr>
        <w:t xml:space="preserve">membros dos conselhos de administração e fiscal, </w:t>
      </w:r>
      <w:r w:rsidR="000831FD">
        <w:rPr>
          <w:rFonts w:ascii="Calibri" w:hAnsi="Calibri" w:cs="Calibri"/>
          <w:sz w:val="24"/>
          <w:szCs w:val="24"/>
        </w:rPr>
        <w:t>membros do comitê de auditoria</w:t>
      </w:r>
      <w:r w:rsidR="00CC4E45">
        <w:rPr>
          <w:rFonts w:ascii="Calibri" w:hAnsi="Calibri" w:cs="Calibri"/>
          <w:sz w:val="24"/>
          <w:szCs w:val="24"/>
        </w:rPr>
        <w:t xml:space="preserve"> estatutário</w:t>
      </w:r>
      <w:r w:rsidR="000831FD">
        <w:rPr>
          <w:rFonts w:ascii="Calibri" w:hAnsi="Calibri" w:cs="Calibri"/>
          <w:sz w:val="24"/>
          <w:szCs w:val="24"/>
        </w:rPr>
        <w:t>, estagiários e jovens aprendizes, com os respectivos encargos; os valores a serem recolhidos a título de pensão alimentícia; e as consignações descontas em folha, tais como contribuição para sindicatos e associações de classe, empréstimos bancários, plano funeral, etc.</w:t>
      </w:r>
    </w:p>
    <w:p w:rsidR="000831FD" w:rsidRDefault="000831FD" w:rsidP="00C16DDB">
      <w:pPr>
        <w:jc w:val="both"/>
        <w:rPr>
          <w:rFonts w:ascii="Calibri" w:hAnsi="Calibri" w:cs="Calibri"/>
          <w:sz w:val="24"/>
          <w:szCs w:val="24"/>
        </w:rPr>
      </w:pPr>
    </w:p>
    <w:p w:rsidR="00C16DDB" w:rsidRDefault="000831FD" w:rsidP="00C16DDB">
      <w:pPr>
        <w:jc w:val="both"/>
        <w:rPr>
          <w:rFonts w:ascii="Calibri" w:hAnsi="Calibri" w:cs="Calibri"/>
          <w:sz w:val="24"/>
          <w:szCs w:val="24"/>
        </w:rPr>
      </w:pPr>
      <w:r>
        <w:rPr>
          <w:rFonts w:ascii="Calibri" w:hAnsi="Calibri" w:cs="Calibri"/>
          <w:sz w:val="24"/>
          <w:szCs w:val="24"/>
        </w:rPr>
        <w:t>A seguir a composição do grupo</w:t>
      </w:r>
      <w:r w:rsidR="000604CA">
        <w:rPr>
          <w:rFonts w:ascii="Calibri" w:hAnsi="Calibri" w:cs="Calibri"/>
          <w:sz w:val="24"/>
          <w:szCs w:val="24"/>
        </w:rPr>
        <w:t>:</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2E7F4A" w:rsidRPr="002E7F4A" w:rsidTr="00697525">
        <w:trPr>
          <w:trHeight w:val="315"/>
          <w:jc w:val="center"/>
        </w:trPr>
        <w:tc>
          <w:tcPr>
            <w:tcW w:w="2860" w:type="dxa"/>
            <w:tcBorders>
              <w:top w:val="nil"/>
              <w:left w:val="nil"/>
              <w:bottom w:val="single" w:sz="4" w:space="0" w:color="auto"/>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F4A" w:rsidRPr="002E7F4A" w:rsidRDefault="00D0760C" w:rsidP="000819FC">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0819FC">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F4A" w:rsidRPr="002E7F4A" w:rsidRDefault="002E7F4A" w:rsidP="000819F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31/12/201</w:t>
            </w:r>
            <w:r w:rsidR="000819FC">
              <w:rPr>
                <w:rFonts w:ascii="Calibri" w:hAnsi="Calibri" w:cs="Calibri"/>
                <w:b/>
                <w:bCs/>
                <w:snapToGrid/>
                <w:color w:val="000000"/>
                <w:sz w:val="24"/>
                <w:szCs w:val="24"/>
              </w:rPr>
              <w:t>9</w:t>
            </w:r>
          </w:p>
        </w:tc>
      </w:tr>
      <w:tr w:rsidR="000819F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7.715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0819F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313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327</w:t>
            </w:r>
          </w:p>
        </w:tc>
      </w:tr>
      <w:tr w:rsidR="000819F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92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134</w:t>
            </w:r>
          </w:p>
        </w:tc>
      </w:tr>
      <w:tr w:rsidR="000819F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12.335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jc w:val="right"/>
              <w:rPr>
                <w:rFonts w:ascii="Calibri" w:hAnsi="Calibri" w:cs="Calibri"/>
                <w:snapToGrid/>
                <w:color w:val="000000"/>
                <w:sz w:val="24"/>
                <w:szCs w:val="24"/>
              </w:rPr>
            </w:pPr>
            <w:r>
              <w:rPr>
                <w:rFonts w:ascii="Calibri" w:hAnsi="Calibri" w:cs="Calibri"/>
                <w:snapToGrid/>
                <w:color w:val="000000"/>
                <w:sz w:val="24"/>
                <w:szCs w:val="24"/>
              </w:rPr>
              <w:t>8.312</w:t>
            </w:r>
          </w:p>
        </w:tc>
      </w:tr>
      <w:tr w:rsidR="000819F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9FC" w:rsidRPr="002E7F4A" w:rsidRDefault="000819FC" w:rsidP="000819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20.455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FC" w:rsidRPr="002E7F4A" w:rsidRDefault="000819FC" w:rsidP="000819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18.005</w:t>
            </w:r>
          </w:p>
        </w:tc>
      </w:tr>
    </w:tbl>
    <w:p w:rsidR="000819FC" w:rsidRDefault="000819FC" w:rsidP="00C16DDB">
      <w:pPr>
        <w:jc w:val="both"/>
        <w:rPr>
          <w:rFonts w:ascii="Calibri" w:hAnsi="Calibri" w:cs="Calibri"/>
          <w:sz w:val="24"/>
          <w:szCs w:val="24"/>
        </w:rPr>
      </w:pPr>
    </w:p>
    <w:p w:rsidR="00CC4E45" w:rsidRDefault="004230C0" w:rsidP="00C16DDB">
      <w:pPr>
        <w:jc w:val="both"/>
        <w:rPr>
          <w:rFonts w:ascii="Calibri" w:hAnsi="Calibri" w:cs="Calibri"/>
          <w:sz w:val="24"/>
          <w:szCs w:val="24"/>
        </w:rPr>
      </w:pPr>
      <w:r>
        <w:rPr>
          <w:rFonts w:ascii="Calibri" w:hAnsi="Calibri" w:cs="Calibri"/>
          <w:sz w:val="24"/>
          <w:szCs w:val="24"/>
        </w:rPr>
        <w:t>A redução no grupo de remunerações é reflexo</w:t>
      </w:r>
      <w:r w:rsidR="00EF5DC6">
        <w:rPr>
          <w:rFonts w:ascii="Calibri" w:hAnsi="Calibri" w:cs="Calibri"/>
          <w:sz w:val="24"/>
          <w:szCs w:val="24"/>
        </w:rPr>
        <w:t xml:space="preserve">, principalmente, </w:t>
      </w:r>
      <w:r>
        <w:rPr>
          <w:rFonts w:ascii="Calibri" w:hAnsi="Calibri" w:cs="Calibri"/>
          <w:sz w:val="24"/>
          <w:szCs w:val="24"/>
        </w:rPr>
        <w:t>do Plano de Demissão Voluntária – PDV, implantado no exercício de 2020</w:t>
      </w:r>
      <w:r w:rsidR="00EF5DC6">
        <w:rPr>
          <w:rFonts w:ascii="Calibri" w:hAnsi="Calibri" w:cs="Calibri"/>
          <w:sz w:val="24"/>
          <w:szCs w:val="24"/>
        </w:rPr>
        <w:t>,</w:t>
      </w:r>
      <w:r>
        <w:rPr>
          <w:rFonts w:ascii="Calibri" w:hAnsi="Calibri" w:cs="Calibri"/>
          <w:sz w:val="24"/>
          <w:szCs w:val="24"/>
        </w:rPr>
        <w:t xml:space="preserve"> </w:t>
      </w:r>
      <w:r w:rsidR="00EF5DC6">
        <w:rPr>
          <w:rFonts w:ascii="Calibri" w:hAnsi="Calibri" w:cs="Calibri"/>
          <w:sz w:val="24"/>
          <w:szCs w:val="24"/>
        </w:rPr>
        <w:t>que resultou no</w:t>
      </w:r>
      <w:r>
        <w:rPr>
          <w:rFonts w:ascii="Calibri" w:hAnsi="Calibri" w:cs="Calibri"/>
          <w:sz w:val="24"/>
          <w:szCs w:val="24"/>
        </w:rPr>
        <w:t xml:space="preserve"> desligamento</w:t>
      </w:r>
      <w:r w:rsidR="0051289F">
        <w:rPr>
          <w:rFonts w:ascii="Calibri" w:hAnsi="Calibri" w:cs="Calibri"/>
          <w:sz w:val="24"/>
          <w:szCs w:val="24"/>
        </w:rPr>
        <w:t xml:space="preserve"> de 65</w:t>
      </w:r>
      <w:r w:rsidR="00CC4E45">
        <w:rPr>
          <w:rFonts w:ascii="Calibri" w:hAnsi="Calibri" w:cs="Calibri"/>
          <w:sz w:val="24"/>
          <w:szCs w:val="24"/>
        </w:rPr>
        <w:t xml:space="preserve"> (sessenta</w:t>
      </w:r>
      <w:r w:rsidR="0051289F">
        <w:rPr>
          <w:rFonts w:ascii="Calibri" w:hAnsi="Calibri" w:cs="Calibri"/>
          <w:sz w:val="24"/>
          <w:szCs w:val="24"/>
        </w:rPr>
        <w:t xml:space="preserve"> e cinco</w:t>
      </w:r>
      <w:r w:rsidR="00CC4E45">
        <w:rPr>
          <w:rFonts w:ascii="Calibri" w:hAnsi="Calibri" w:cs="Calibri"/>
          <w:sz w:val="24"/>
          <w:szCs w:val="24"/>
        </w:rPr>
        <w:t>) colaboradores.</w:t>
      </w:r>
      <w:r w:rsidR="0028437E">
        <w:rPr>
          <w:rFonts w:ascii="Calibri" w:hAnsi="Calibri" w:cs="Calibri"/>
          <w:sz w:val="24"/>
          <w:szCs w:val="24"/>
        </w:rPr>
        <w:t xml:space="preserve"> O plano foi aprovado pelo CONSAD por meio da Deliberação nº 879/2019.</w:t>
      </w:r>
    </w:p>
    <w:p w:rsidR="00CC4E45" w:rsidRDefault="00CC4E45" w:rsidP="00C16DDB">
      <w:pPr>
        <w:jc w:val="both"/>
        <w:rPr>
          <w:rFonts w:ascii="Calibri" w:hAnsi="Calibri" w:cs="Calibri"/>
          <w:sz w:val="24"/>
          <w:szCs w:val="24"/>
        </w:rPr>
      </w:pPr>
    </w:p>
    <w:p w:rsidR="004230C0" w:rsidRDefault="00CC4E45" w:rsidP="00C16DDB">
      <w:pPr>
        <w:jc w:val="both"/>
        <w:rPr>
          <w:rFonts w:ascii="Calibri" w:hAnsi="Calibri" w:cs="Calibri"/>
          <w:sz w:val="24"/>
          <w:szCs w:val="24"/>
        </w:rPr>
      </w:pPr>
      <w:r>
        <w:rPr>
          <w:rFonts w:ascii="Calibri" w:hAnsi="Calibri" w:cs="Calibri"/>
          <w:sz w:val="24"/>
          <w:szCs w:val="24"/>
        </w:rPr>
        <w:t>A variação das Provisões e Encargos é resultado da revisão, no exercício de 2020, dos métodos de constituição das provisões de férias, realizada pela Gerência de Recursos Humanos.</w:t>
      </w:r>
    </w:p>
    <w:p w:rsidR="00F75D53" w:rsidRDefault="00F75D53" w:rsidP="00C16DDB">
      <w:pPr>
        <w:jc w:val="both"/>
        <w:rPr>
          <w:rFonts w:ascii="Calibri" w:hAnsi="Calibri" w:cs="Calibri"/>
          <w:sz w:val="24"/>
          <w:szCs w:val="24"/>
        </w:rPr>
      </w:pPr>
    </w:p>
    <w:p w:rsidR="00CC4E45" w:rsidRDefault="00CC4E45" w:rsidP="00C16DDB">
      <w:pPr>
        <w:jc w:val="both"/>
        <w:rPr>
          <w:rFonts w:ascii="Calibri" w:hAnsi="Calibri" w:cs="Calibri"/>
          <w:sz w:val="24"/>
          <w:szCs w:val="24"/>
        </w:rPr>
      </w:pPr>
    </w:p>
    <w:p w:rsidR="00CC4E45" w:rsidRDefault="00CC4E45" w:rsidP="00C16DDB">
      <w:pPr>
        <w:jc w:val="both"/>
        <w:rPr>
          <w:rFonts w:ascii="Calibri" w:hAnsi="Calibri" w:cs="Calibri"/>
          <w:sz w:val="24"/>
          <w:szCs w:val="24"/>
        </w:rPr>
      </w:pPr>
    </w:p>
    <w:p w:rsidR="00CC4E45" w:rsidRDefault="00CC4E45" w:rsidP="00C16DDB">
      <w:pPr>
        <w:jc w:val="both"/>
        <w:rPr>
          <w:rFonts w:ascii="Calibri" w:hAnsi="Calibri" w:cs="Calibri"/>
          <w:sz w:val="24"/>
          <w:szCs w:val="24"/>
        </w:rPr>
      </w:pPr>
    </w:p>
    <w:p w:rsidR="00CC4E45" w:rsidRDefault="00CC4E45" w:rsidP="00C16DDB">
      <w:pPr>
        <w:jc w:val="both"/>
        <w:rPr>
          <w:rFonts w:ascii="Calibri" w:hAnsi="Calibri" w:cs="Calibri"/>
          <w:sz w:val="24"/>
          <w:szCs w:val="24"/>
        </w:rPr>
      </w:pPr>
    </w:p>
    <w:p w:rsidR="00CC4E45" w:rsidRDefault="00CC4E45" w:rsidP="00C16DDB">
      <w:pPr>
        <w:jc w:val="both"/>
        <w:rPr>
          <w:rFonts w:ascii="Calibri" w:hAnsi="Calibri" w:cs="Calibri"/>
          <w:sz w:val="24"/>
          <w:szCs w:val="24"/>
        </w:rPr>
      </w:pPr>
    </w:p>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lastRenderedPageBreak/>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751CE0">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751CE0">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751CE0">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751CE0">
              <w:rPr>
                <w:rFonts w:ascii="Calibri" w:hAnsi="Calibri" w:cs="Calibri"/>
                <w:b/>
                <w:bCs/>
                <w:snapToGrid/>
                <w:color w:val="000000"/>
                <w:sz w:val="24"/>
                <w:szCs w:val="24"/>
              </w:rPr>
              <w:t>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751CE0">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751CE0">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751CE0">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751CE0">
              <w:rPr>
                <w:rFonts w:ascii="Calibri" w:hAnsi="Calibri" w:cs="Calibri"/>
                <w:b/>
                <w:bCs/>
                <w:snapToGrid/>
                <w:color w:val="000000"/>
                <w:sz w:val="24"/>
                <w:szCs w:val="24"/>
              </w:rPr>
              <w:t>9</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13.193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14.611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751CE0"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446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423.929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499.959</w:t>
            </w:r>
          </w:p>
        </w:tc>
      </w:tr>
      <w:tr w:rsidR="00751CE0"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Pr>
                <w:rFonts w:ascii="Calibri" w:hAnsi="Calibri" w:cs="Calibri"/>
                <w:snapToGrid/>
                <w:color w:val="000000"/>
                <w:sz w:val="24"/>
                <w:szCs w:val="24"/>
              </w:rPr>
              <w:t>Parcelamentos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110.066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70.074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572.358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434.716</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5.671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10.365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3.161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5.318</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751CE0" w:rsidRDefault="00751CE0" w:rsidP="00751CE0">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751CE0" w:rsidRDefault="00751CE0" w:rsidP="00751CE0">
            <w:pPr>
              <w:jc w:val="right"/>
            </w:pPr>
            <w:r w:rsidRPr="002C1F36">
              <w:rPr>
                <w:rFonts w:ascii="Calibri" w:hAnsi="Calibri" w:cs="Calibri"/>
                <w:snapToGrid/>
                <w:color w:val="000000"/>
                <w:sz w:val="24"/>
                <w:szCs w:val="24"/>
              </w:rPr>
              <w:t>-</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3.900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14.901</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751CE0" w:rsidRDefault="00751CE0" w:rsidP="00751CE0">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751CE0" w:rsidRDefault="00751CE0" w:rsidP="00751CE0">
            <w:pPr>
              <w:jc w:val="right"/>
            </w:pPr>
            <w:r w:rsidRPr="002C1F36">
              <w:rPr>
                <w:rFonts w:ascii="Calibri" w:hAnsi="Calibri" w:cs="Calibri"/>
                <w:snapToGrid/>
                <w:color w:val="000000"/>
                <w:sz w:val="24"/>
                <w:szCs w:val="24"/>
              </w:rPr>
              <w:t>-</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751CE0" w:rsidRDefault="00751CE0" w:rsidP="00751CE0">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751CE0" w:rsidRDefault="00751CE0" w:rsidP="00751CE0">
            <w:pPr>
              <w:jc w:val="right"/>
            </w:pPr>
            <w:r w:rsidRPr="002C1F36">
              <w:rPr>
                <w:rFonts w:ascii="Calibri" w:hAnsi="Calibri" w:cs="Calibri"/>
                <w:snapToGrid/>
                <w:color w:val="000000"/>
                <w:sz w:val="24"/>
                <w:szCs w:val="24"/>
              </w:rPr>
              <w:t>-</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11.509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11.322</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751CE0" w:rsidRDefault="00751CE0" w:rsidP="00751CE0">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751CE0" w:rsidRDefault="00751CE0" w:rsidP="00751CE0">
            <w:pPr>
              <w:jc w:val="right"/>
            </w:pPr>
            <w:r w:rsidRPr="002C1F36">
              <w:rPr>
                <w:rFonts w:ascii="Calibri" w:hAnsi="Calibri" w:cs="Calibri"/>
                <w:snapToGrid/>
                <w:color w:val="000000"/>
                <w:sz w:val="24"/>
                <w:szCs w:val="24"/>
              </w:rPr>
              <w:t>-</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244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snapToGrid/>
                <w:color w:val="000000"/>
                <w:sz w:val="24"/>
                <w:szCs w:val="24"/>
              </w:rPr>
            </w:pPr>
            <w:r>
              <w:rPr>
                <w:rFonts w:ascii="Calibri" w:hAnsi="Calibri" w:cs="Calibri"/>
                <w:snapToGrid/>
                <w:color w:val="000000"/>
                <w:sz w:val="24"/>
                <w:szCs w:val="24"/>
              </w:rPr>
              <w:t>1.137</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751CE0" w:rsidRDefault="00751CE0" w:rsidP="00751CE0">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751CE0" w:rsidRDefault="00751CE0" w:rsidP="00751CE0">
            <w:pPr>
              <w:jc w:val="right"/>
            </w:pPr>
            <w:r w:rsidRPr="002C1F36">
              <w:rPr>
                <w:rFonts w:ascii="Calibri" w:hAnsi="Calibri" w:cs="Calibri"/>
                <w:snapToGrid/>
                <w:color w:val="000000"/>
                <w:sz w:val="24"/>
                <w:szCs w:val="24"/>
              </w:rPr>
              <w:t>-</w:t>
            </w:r>
          </w:p>
        </w:tc>
      </w:tr>
      <w:tr w:rsidR="00751CE0" w:rsidRPr="001A3B52" w:rsidTr="00751CE0">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751CE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154.626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CE0" w:rsidRPr="001A3B52" w:rsidRDefault="00751CE0" w:rsidP="008E724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996.</w:t>
            </w:r>
            <w:r w:rsidR="008E7247">
              <w:rPr>
                <w:rFonts w:ascii="Calibri" w:hAnsi="Calibri" w:cs="Calibri"/>
                <w:b/>
                <w:bCs/>
                <w:snapToGrid/>
                <w:color w:val="000000"/>
                <w:sz w:val="24"/>
                <w:szCs w:val="24"/>
              </w:rPr>
              <w:t>2</w:t>
            </w:r>
            <w:bookmarkStart w:id="0" w:name="_GoBack"/>
            <w:bookmarkEnd w:id="0"/>
            <w:r>
              <w:rPr>
                <w:rFonts w:ascii="Calibri" w:hAnsi="Calibri" w:cs="Calibri"/>
                <w:b/>
                <w:bCs/>
                <w:snapToGrid/>
                <w:color w:val="000000"/>
                <w:sz w:val="24"/>
                <w:szCs w:val="24"/>
              </w:rPr>
              <w:t>87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CE0" w:rsidRPr="001A3B52" w:rsidRDefault="00751CE0" w:rsidP="00751CE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934.675</w:t>
            </w:r>
          </w:p>
        </w:tc>
      </w:tr>
    </w:tbl>
    <w:p w:rsidR="001A44D1" w:rsidRDefault="00784D4D" w:rsidP="00C16DDB">
      <w:pPr>
        <w:jc w:val="both"/>
        <w:rPr>
          <w:rFonts w:ascii="Calibri" w:hAnsi="Calibri" w:cs="Calibri"/>
          <w:sz w:val="24"/>
          <w:szCs w:val="24"/>
        </w:rPr>
      </w:pPr>
      <w:r>
        <w:rPr>
          <w:rFonts w:ascii="Calibri" w:hAnsi="Calibri" w:cs="Calibri"/>
          <w:sz w:val="24"/>
          <w:szCs w:val="24"/>
        </w:rPr>
        <w:t xml:space="preserve"> </w:t>
      </w: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8967A6">
        <w:rPr>
          <w:rFonts w:ascii="Calibri" w:hAnsi="Calibri" w:cs="Calibri"/>
          <w:sz w:val="24"/>
          <w:szCs w:val="24"/>
        </w:rPr>
        <w:t xml:space="preserve">. Os valores </w:t>
      </w:r>
      <w:r w:rsidR="006350A8">
        <w:rPr>
          <w:rFonts w:ascii="Calibri" w:hAnsi="Calibri" w:cs="Calibri"/>
          <w:sz w:val="24"/>
          <w:szCs w:val="24"/>
        </w:rPr>
        <w:t>do</w:t>
      </w:r>
      <w:r w:rsidR="008967A6">
        <w:rPr>
          <w:rFonts w:ascii="Calibri" w:hAnsi="Calibri" w:cs="Calibri"/>
          <w:sz w:val="24"/>
          <w:szCs w:val="24"/>
        </w:rPr>
        <w:t xml:space="preserve"> longo prazo</w:t>
      </w:r>
      <w:r w:rsidR="00FA6EF7">
        <w:rPr>
          <w:rFonts w:ascii="Calibri" w:hAnsi="Calibri" w:cs="Calibri"/>
          <w:sz w:val="24"/>
          <w:szCs w:val="24"/>
        </w:rPr>
        <w:t>, com exceção de pequenos valores em cobrança amigável</w:t>
      </w:r>
      <w:r w:rsidR="008967A6">
        <w:rPr>
          <w:rFonts w:ascii="Calibri" w:hAnsi="Calibri" w:cs="Calibri"/>
          <w:sz w:val="24"/>
          <w:szCs w:val="24"/>
        </w:rPr>
        <w:t xml:space="preserve">, estão sendo cobrados </w:t>
      </w:r>
      <w:r>
        <w:rPr>
          <w:rFonts w:ascii="Calibri" w:hAnsi="Calibri" w:cs="Calibri"/>
          <w:sz w:val="24"/>
          <w:szCs w:val="24"/>
        </w:rPr>
        <w:t>pelo Município do Rio de J</w:t>
      </w:r>
      <w:r w:rsidR="00861B8E">
        <w:rPr>
          <w:rFonts w:ascii="Calibri" w:hAnsi="Calibri" w:cs="Calibri"/>
          <w:sz w:val="24"/>
          <w:szCs w:val="24"/>
        </w:rPr>
        <w:t xml:space="preserve">aneiro por meio de seis processos </w:t>
      </w:r>
      <w:r w:rsidR="00FA6EF7">
        <w:rPr>
          <w:rFonts w:ascii="Calibri" w:hAnsi="Calibri" w:cs="Calibri"/>
          <w:sz w:val="24"/>
          <w:szCs w:val="24"/>
        </w:rPr>
        <w:t>de execução fiscal</w:t>
      </w:r>
      <w:r w:rsidR="00861B8E">
        <w:rPr>
          <w:rFonts w:ascii="Calibri" w:hAnsi="Calibri" w:cs="Calibri"/>
          <w:sz w:val="24"/>
          <w:szCs w:val="24"/>
        </w:rPr>
        <w:t xml:space="preserve">, </w:t>
      </w:r>
      <w:r w:rsidR="00FA6EF7">
        <w:rPr>
          <w:rFonts w:ascii="Calibri" w:hAnsi="Calibri" w:cs="Calibri"/>
          <w:sz w:val="24"/>
          <w:szCs w:val="24"/>
        </w:rPr>
        <w:t xml:space="preserve">movidas pelo Município do Rio de Janeiro, </w:t>
      </w:r>
      <w:r w:rsidR="00861B8E">
        <w:rPr>
          <w:rFonts w:ascii="Calibri" w:hAnsi="Calibri" w:cs="Calibri"/>
          <w:sz w:val="24"/>
          <w:szCs w:val="24"/>
        </w:rPr>
        <w:t>que tramitam na 12ª Vara da Fazend</w:t>
      </w:r>
      <w:r w:rsidR="00FA6EF7">
        <w:rPr>
          <w:rFonts w:ascii="Calibri" w:hAnsi="Calibri" w:cs="Calibri"/>
          <w:sz w:val="24"/>
          <w:szCs w:val="24"/>
        </w:rPr>
        <w:t xml:space="preserve">a Pública da Comarca da Capital do Estado do Rio de Janeiro. A CDRJ opôs embargos no exercício de 2002, os quais foram julgados improcedentes. A sentença foi confirmada em 2ª instância e negado provimento ao agravo em recurso especial no Superior Tribunal de Justiça, com trânsito em julgado. No exercício de 2020, o exequente obteve liberação de depósitos judiciais no montante de R$ 98.360 mil. </w:t>
      </w:r>
    </w:p>
    <w:p w:rsidR="00FA6EF7" w:rsidRDefault="00FA6EF7" w:rsidP="00C16DDB">
      <w:pPr>
        <w:jc w:val="both"/>
        <w:rPr>
          <w:rFonts w:ascii="Calibri" w:hAnsi="Calibri" w:cs="Calibri"/>
          <w:sz w:val="24"/>
          <w:szCs w:val="24"/>
        </w:rPr>
      </w:pPr>
    </w:p>
    <w:p w:rsidR="00F57BCC"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 xml:space="preserve">Parcelamentos </w:t>
      </w:r>
      <w:r w:rsidR="0011024F">
        <w:rPr>
          <w:rFonts w:ascii="Calibri" w:hAnsi="Calibri" w:cs="Calibri"/>
          <w:sz w:val="24"/>
          <w:szCs w:val="24"/>
        </w:rPr>
        <w:t>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F57BCC">
        <w:rPr>
          <w:rFonts w:ascii="Calibri" w:hAnsi="Calibri" w:cs="Calibri"/>
          <w:sz w:val="24"/>
          <w:szCs w:val="24"/>
        </w:rPr>
        <w:t>um</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 </w:t>
      </w:r>
      <w:r w:rsidR="00ED4421">
        <w:rPr>
          <w:rFonts w:ascii="Calibri" w:hAnsi="Calibri" w:cs="Calibri"/>
          <w:sz w:val="24"/>
          <w:szCs w:val="24"/>
        </w:rPr>
        <w:t>o</w:t>
      </w:r>
      <w:r w:rsidR="0011024F">
        <w:rPr>
          <w:rFonts w:ascii="Calibri" w:hAnsi="Calibri" w:cs="Calibri"/>
          <w:sz w:val="24"/>
          <w:szCs w:val="24"/>
        </w:rPr>
        <w:t>rdinário</w:t>
      </w:r>
      <w:r w:rsidR="00F57BCC">
        <w:rPr>
          <w:rFonts w:ascii="Calibri" w:hAnsi="Calibri" w:cs="Calibri"/>
          <w:sz w:val="24"/>
          <w:szCs w:val="24"/>
        </w:rPr>
        <w:t xml:space="preserve"> de débitos p</w:t>
      </w:r>
      <w:r w:rsidR="0011024F">
        <w:rPr>
          <w:rFonts w:ascii="Calibri" w:hAnsi="Calibri" w:cs="Calibri"/>
          <w:sz w:val="24"/>
          <w:szCs w:val="24"/>
        </w:rPr>
        <w:t>revidenciário</w:t>
      </w:r>
      <w:r w:rsidR="00F57BCC">
        <w:rPr>
          <w:rFonts w:ascii="Calibri" w:hAnsi="Calibri" w:cs="Calibri"/>
          <w:sz w:val="24"/>
          <w:szCs w:val="24"/>
        </w:rPr>
        <w:t>s, de 28 de maio de 2018, dois parcelamentos de</w:t>
      </w:r>
      <w:r w:rsidR="0011024F">
        <w:rPr>
          <w:rFonts w:ascii="Calibri" w:hAnsi="Calibri" w:cs="Calibri"/>
          <w:sz w:val="24"/>
          <w:szCs w:val="24"/>
        </w:rPr>
        <w:t xml:space="preserve"> PIS</w:t>
      </w:r>
      <w:r w:rsidR="00F57BCC">
        <w:rPr>
          <w:rFonts w:ascii="Calibri" w:hAnsi="Calibri" w:cs="Calibri"/>
          <w:sz w:val="24"/>
          <w:szCs w:val="24"/>
        </w:rPr>
        <w:t xml:space="preserve"> e </w:t>
      </w:r>
      <w:r w:rsidR="0011024F">
        <w:rPr>
          <w:rFonts w:ascii="Calibri" w:hAnsi="Calibri" w:cs="Calibri"/>
          <w:sz w:val="24"/>
          <w:szCs w:val="24"/>
        </w:rPr>
        <w:t xml:space="preserve">COFINS, aderidos em 13 de julho de 2018, </w:t>
      </w:r>
      <w:r w:rsidR="00F57BCC">
        <w:rPr>
          <w:rFonts w:ascii="Calibri" w:hAnsi="Calibri" w:cs="Calibri"/>
          <w:sz w:val="24"/>
          <w:szCs w:val="24"/>
        </w:rPr>
        <w:t xml:space="preserve">e dois acordos com a PGFN – Negócio Jurídico Processual, assinados em 29 de maio de 2019 e 21 de outubro de 2020. A variação nos valores registrados é relativa ao </w:t>
      </w:r>
      <w:r w:rsidR="002F04B3">
        <w:rPr>
          <w:rFonts w:ascii="Calibri" w:hAnsi="Calibri" w:cs="Calibri"/>
          <w:sz w:val="24"/>
          <w:szCs w:val="24"/>
        </w:rPr>
        <w:t>acréscimo de R$ 176</w:t>
      </w:r>
      <w:r w:rsidR="00041935">
        <w:rPr>
          <w:rFonts w:ascii="Calibri" w:hAnsi="Calibri" w:cs="Calibri"/>
          <w:sz w:val="24"/>
          <w:szCs w:val="24"/>
        </w:rPr>
        <w:t>.824</w:t>
      </w:r>
      <w:r w:rsidR="002F04B3">
        <w:rPr>
          <w:rFonts w:ascii="Calibri" w:hAnsi="Calibri" w:cs="Calibri"/>
          <w:sz w:val="24"/>
          <w:szCs w:val="24"/>
        </w:rPr>
        <w:t xml:space="preserve"> mil do </w:t>
      </w:r>
      <w:r w:rsidR="00F57BCC">
        <w:rPr>
          <w:rFonts w:ascii="Calibri" w:hAnsi="Calibri" w:cs="Calibri"/>
          <w:sz w:val="24"/>
          <w:szCs w:val="24"/>
        </w:rPr>
        <w:t xml:space="preserve">último acordo assinado, além da adequação de valores do PERT, por </w:t>
      </w:r>
      <w:r w:rsidR="002F04B3">
        <w:rPr>
          <w:rFonts w:ascii="Calibri" w:hAnsi="Calibri" w:cs="Calibri"/>
          <w:sz w:val="24"/>
          <w:szCs w:val="24"/>
        </w:rPr>
        <w:t xml:space="preserve">alteração nos valores </w:t>
      </w:r>
      <w:r w:rsidR="00041935">
        <w:rPr>
          <w:rFonts w:ascii="Calibri" w:hAnsi="Calibri" w:cs="Calibri"/>
          <w:sz w:val="24"/>
          <w:szCs w:val="24"/>
        </w:rPr>
        <w:t xml:space="preserve">mensal </w:t>
      </w:r>
      <w:r w:rsidR="002F04B3">
        <w:rPr>
          <w:rFonts w:ascii="Calibri" w:hAnsi="Calibri" w:cs="Calibri"/>
          <w:sz w:val="24"/>
          <w:szCs w:val="24"/>
        </w:rPr>
        <w:t>das parcelas no exercício de 2020</w:t>
      </w:r>
      <w:r w:rsidR="00041935">
        <w:rPr>
          <w:rFonts w:ascii="Calibri" w:hAnsi="Calibri" w:cs="Calibri"/>
          <w:sz w:val="24"/>
          <w:szCs w:val="24"/>
        </w:rPr>
        <w:t>.</w:t>
      </w:r>
    </w:p>
    <w:p w:rsidR="00F57BCC" w:rsidRDefault="00F57BCC" w:rsidP="00C16DDB">
      <w:pPr>
        <w:jc w:val="both"/>
        <w:rPr>
          <w:rFonts w:ascii="Calibri" w:hAnsi="Calibri" w:cs="Calibri"/>
          <w:sz w:val="24"/>
          <w:szCs w:val="24"/>
        </w:rPr>
      </w:pPr>
    </w:p>
    <w:p w:rsidR="00D30656" w:rsidRDefault="00D30656" w:rsidP="00C16DDB">
      <w:pPr>
        <w:jc w:val="both"/>
        <w:rPr>
          <w:rFonts w:ascii="Calibri" w:hAnsi="Calibri" w:cs="Calibri"/>
          <w:sz w:val="24"/>
          <w:szCs w:val="24"/>
        </w:rPr>
      </w:pPr>
      <w:r w:rsidRPr="00D30656">
        <w:rPr>
          <w:rFonts w:ascii="Calibri" w:hAnsi="Calibri" w:cs="Calibri"/>
          <w:sz w:val="24"/>
          <w:szCs w:val="24"/>
        </w:rPr>
        <w:t>O</w:t>
      </w:r>
      <w:r>
        <w:rPr>
          <w:rFonts w:ascii="Calibri" w:hAnsi="Calibri" w:cs="Calibri"/>
          <w:sz w:val="24"/>
          <w:szCs w:val="24"/>
        </w:rPr>
        <w:t xml:space="preserve"> grupo</w:t>
      </w:r>
      <w:r>
        <w:rPr>
          <w:rFonts w:ascii="Calibri" w:hAnsi="Calibri" w:cs="Calibri"/>
          <w:b/>
          <w:sz w:val="24"/>
          <w:szCs w:val="24"/>
        </w:rPr>
        <w:t xml:space="preserve"> INSS/FGTS</w:t>
      </w:r>
      <w:r w:rsidR="0033356E">
        <w:rPr>
          <w:rFonts w:ascii="Calibri" w:hAnsi="Calibri" w:cs="Calibri"/>
          <w:sz w:val="24"/>
          <w:szCs w:val="24"/>
        </w:rPr>
        <w:t xml:space="preserve"> </w:t>
      </w:r>
      <w:r>
        <w:rPr>
          <w:rFonts w:ascii="Calibri" w:hAnsi="Calibri" w:cs="Calibri"/>
          <w:sz w:val="24"/>
          <w:szCs w:val="24"/>
        </w:rPr>
        <w:t>representa contribuições correntes sobre a folha de pagamento mensal. O valor de R$ 14.901 mil, correspondente ao exercício de 2019, era relativo aos impostos do mês corrente, além de valores em atraso das competências setembro a novembro e do 13º salário. Não houve pagamentos em atraso no exercício de 2020.</w:t>
      </w:r>
    </w:p>
    <w:p w:rsidR="000831FD" w:rsidRDefault="00D30656" w:rsidP="00C16DDB">
      <w:pPr>
        <w:jc w:val="both"/>
        <w:rPr>
          <w:rFonts w:ascii="Calibri" w:hAnsi="Calibri" w:cs="Calibri"/>
          <w:b/>
          <w:sz w:val="24"/>
          <w:szCs w:val="24"/>
        </w:rPr>
      </w:pPr>
      <w:r>
        <w:rPr>
          <w:rFonts w:ascii="Calibri" w:hAnsi="Calibri" w:cs="Calibri"/>
          <w:b/>
          <w:sz w:val="24"/>
          <w:szCs w:val="24"/>
        </w:rPr>
        <w:t xml:space="preserve"> </w:t>
      </w:r>
    </w:p>
    <w:p w:rsidR="00F75D53" w:rsidRDefault="00F75D53" w:rsidP="00C16DDB">
      <w:pPr>
        <w:jc w:val="both"/>
        <w:rPr>
          <w:rFonts w:ascii="Calibri" w:hAnsi="Calibri" w:cs="Calibri"/>
          <w:b/>
          <w:sz w:val="24"/>
          <w:szCs w:val="24"/>
        </w:rPr>
      </w:pPr>
    </w:p>
    <w:p w:rsidR="00D30656" w:rsidRDefault="00D30656" w:rsidP="00D30656">
      <w:pPr>
        <w:jc w:val="both"/>
        <w:rPr>
          <w:rFonts w:ascii="Calibri" w:hAnsi="Calibri" w:cs="Calibri"/>
          <w:sz w:val="24"/>
          <w:szCs w:val="24"/>
        </w:rPr>
      </w:pPr>
      <w:r>
        <w:rPr>
          <w:rFonts w:ascii="Calibri" w:hAnsi="Calibri" w:cs="Calibri"/>
          <w:sz w:val="24"/>
          <w:szCs w:val="24"/>
        </w:rPr>
        <w:lastRenderedPageBreak/>
        <w:t xml:space="preserve">O </w:t>
      </w:r>
      <w:r w:rsidRPr="0033356E">
        <w:rPr>
          <w:rFonts w:ascii="Calibri" w:hAnsi="Calibri" w:cs="Calibri"/>
          <w:b/>
          <w:sz w:val="24"/>
          <w:szCs w:val="24"/>
        </w:rPr>
        <w:t>ATP</w:t>
      </w:r>
      <w:r>
        <w:rPr>
          <w:rFonts w:ascii="Calibri" w:hAnsi="Calibri" w:cs="Calibri"/>
          <w:sz w:val="24"/>
          <w:szCs w:val="24"/>
        </w:rPr>
        <w:t xml:space="preserve"> – Adicional de Tarifa Portuária, instituído pela Lei nº 7.700, de 21 de dezembro de 1988, tratava-se de cobrança de taxa cuja base de cálculo eram as operações de importação e exportação,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6350A8" w:rsidRDefault="006350A8" w:rsidP="00C16DDB">
      <w:pPr>
        <w:jc w:val="both"/>
        <w:rPr>
          <w:rFonts w:ascii="Calibri" w:hAnsi="Calibri" w:cs="Calibri"/>
          <w:b/>
          <w:sz w:val="24"/>
          <w:szCs w:val="24"/>
        </w:rPr>
      </w:pPr>
    </w:p>
    <w:p w:rsidR="001C4695" w:rsidRPr="00312424" w:rsidRDefault="001C4695"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t>1</w:t>
      </w:r>
      <w:r w:rsidR="0043773C">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EC01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EC011A">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EC011A">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C011A">
              <w:rPr>
                <w:rFonts w:ascii="Calibri" w:hAnsi="Calibri" w:cs="Calibri"/>
                <w:b/>
                <w:bCs/>
                <w:snapToGrid/>
                <w:color w:val="000000"/>
                <w:sz w:val="24"/>
                <w:szCs w:val="24"/>
              </w:rPr>
              <w:t>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EC01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EC011A">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EC011A">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C011A">
              <w:rPr>
                <w:rFonts w:ascii="Calibri" w:hAnsi="Calibri" w:cs="Calibri"/>
                <w:b/>
                <w:bCs/>
                <w:snapToGrid/>
                <w:color w:val="000000"/>
                <w:sz w:val="24"/>
                <w:szCs w:val="24"/>
              </w:rPr>
              <w:t>9</w:t>
            </w:r>
          </w:p>
        </w:tc>
      </w:tr>
      <w:tr w:rsidR="00EC011A"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1.888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2.979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C011A"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17.410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16.276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34.850</w:t>
            </w:r>
          </w:p>
        </w:tc>
      </w:tr>
      <w:tr w:rsidR="00EC011A"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64.110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193.226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C011A"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2.810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2.828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C011A"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86.218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214.027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1A3B52" w:rsidRDefault="00EC011A"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16.276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1A3B52" w:rsidRDefault="00EC011A"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34.850</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w:t>
      </w:r>
      <w:proofErr w:type="gramStart"/>
      <w:r w:rsidR="00573368">
        <w:rPr>
          <w:rFonts w:ascii="Calibri" w:hAnsi="Calibri" w:cs="Calibri"/>
          <w:sz w:val="24"/>
          <w:szCs w:val="24"/>
        </w:rPr>
        <w:t>do cais</w:t>
      </w:r>
      <w:proofErr w:type="gramEnd"/>
      <w:r w:rsidR="00573368">
        <w:rPr>
          <w:rFonts w:ascii="Calibri" w:hAnsi="Calibri" w:cs="Calibri"/>
          <w:sz w:val="24"/>
          <w:szCs w:val="24"/>
        </w:rPr>
        <w:t xml:space="preserve">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w:t>
      </w:r>
      <w:r w:rsidR="00712984">
        <w:rPr>
          <w:rFonts w:ascii="Calibri" w:hAnsi="Calibri" w:cs="Calibri"/>
          <w:sz w:val="24"/>
          <w:szCs w:val="24"/>
        </w:rPr>
        <w:t>s</w:t>
      </w:r>
      <w:r w:rsidR="00BF4639">
        <w:rPr>
          <w:rFonts w:ascii="Calibri" w:hAnsi="Calibri" w:cs="Calibri"/>
          <w:sz w:val="24"/>
          <w:szCs w:val="24"/>
        </w:rPr>
        <w:t xml:space="preserve"> parte</w:t>
      </w:r>
      <w:r w:rsidR="00712984">
        <w:rPr>
          <w:rFonts w:ascii="Calibri" w:hAnsi="Calibri" w:cs="Calibri"/>
          <w:sz w:val="24"/>
          <w:szCs w:val="24"/>
        </w:rPr>
        <w:t>s</w:t>
      </w:r>
      <w:r w:rsidR="00BF4639">
        <w:rPr>
          <w:rFonts w:ascii="Calibri" w:hAnsi="Calibri" w:cs="Calibri"/>
          <w:sz w:val="24"/>
          <w:szCs w:val="24"/>
        </w:rPr>
        <w:t xml:space="preserve"> fixa e variável do arrendamento.</w:t>
      </w:r>
    </w:p>
    <w:p w:rsidR="00085185" w:rsidRDefault="00085185"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 xml:space="preserve">nos quais a CDRJ transferiu à União parte dos direitos de créditos decorrentes dos contratos de arrendamento firmados com a Libra Terminal Rio e </w:t>
      </w:r>
      <w:proofErr w:type="spellStart"/>
      <w:r w:rsidR="008706A4">
        <w:rPr>
          <w:rFonts w:ascii="Calibri" w:hAnsi="Calibri" w:cs="Calibri"/>
          <w:sz w:val="24"/>
          <w:szCs w:val="24"/>
        </w:rPr>
        <w:t>Sepetiba</w:t>
      </w:r>
      <w:proofErr w:type="spellEnd"/>
      <w:r w:rsidR="008706A4">
        <w:rPr>
          <w:rFonts w:ascii="Calibri" w:hAnsi="Calibri" w:cs="Calibri"/>
          <w:sz w:val="24"/>
          <w:szCs w:val="24"/>
        </w:rPr>
        <w:t xml:space="preserve"> </w:t>
      </w:r>
      <w:proofErr w:type="spellStart"/>
      <w:r w:rsidR="008706A4">
        <w:rPr>
          <w:rFonts w:ascii="Calibri" w:hAnsi="Calibri" w:cs="Calibri"/>
          <w:sz w:val="24"/>
          <w:szCs w:val="24"/>
        </w:rPr>
        <w:t>Tecon</w:t>
      </w:r>
      <w:proofErr w:type="spellEnd"/>
      <w:r w:rsidR="008706A4">
        <w:rPr>
          <w:rFonts w:ascii="Calibri" w:hAnsi="Calibri" w:cs="Calibri"/>
          <w:sz w:val="24"/>
          <w:szCs w:val="24"/>
        </w:rPr>
        <w:t>, vencíveis até o exercício de 202</w:t>
      </w:r>
      <w:r w:rsidR="00712984">
        <w:rPr>
          <w:rFonts w:ascii="Calibri" w:hAnsi="Calibri" w:cs="Calibri"/>
          <w:sz w:val="24"/>
          <w:szCs w:val="24"/>
        </w:rPr>
        <w:t>5</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r w:rsidR="00EC011A">
        <w:rPr>
          <w:rFonts w:ascii="Calibri" w:hAnsi="Calibri" w:cs="Calibri"/>
          <w:sz w:val="24"/>
          <w:szCs w:val="24"/>
        </w:rPr>
        <w:t xml:space="preserve"> No exercício de 2020, houve a transferência de R$ 176.824 mil para o grupo de parcelamentos, por conta do acordo Negócio Jurídico Processual firmado com a PGFN.</w:t>
      </w:r>
    </w:p>
    <w:p w:rsidR="00D30656" w:rsidRDefault="00D30656" w:rsidP="00C16DDB">
      <w:pPr>
        <w:rPr>
          <w:rFonts w:ascii="Calibri" w:hAnsi="Calibri" w:cs="Calibri"/>
          <w:b/>
          <w:sz w:val="24"/>
          <w:szCs w:val="24"/>
        </w:rPr>
      </w:pPr>
    </w:p>
    <w:p w:rsidR="00D30656" w:rsidRDefault="00D30656" w:rsidP="00C16DDB">
      <w:pPr>
        <w:rPr>
          <w:rFonts w:ascii="Calibri" w:hAnsi="Calibri" w:cs="Calibri"/>
          <w:b/>
          <w:sz w:val="24"/>
          <w:szCs w:val="24"/>
        </w:rPr>
      </w:pPr>
    </w:p>
    <w:p w:rsidR="00F75D53" w:rsidRDefault="00F75D53" w:rsidP="00C16DDB">
      <w:pPr>
        <w:rPr>
          <w:rFonts w:ascii="Calibri" w:hAnsi="Calibri" w:cs="Calibri"/>
          <w:b/>
          <w:sz w:val="24"/>
          <w:szCs w:val="24"/>
        </w:rPr>
      </w:pPr>
    </w:p>
    <w:p w:rsidR="00F75D53" w:rsidRDefault="00F75D53" w:rsidP="00C16DDB">
      <w:pPr>
        <w:rPr>
          <w:rFonts w:ascii="Calibri" w:hAnsi="Calibri" w:cs="Calibri"/>
          <w:b/>
          <w:sz w:val="24"/>
          <w:szCs w:val="24"/>
        </w:rPr>
      </w:pPr>
    </w:p>
    <w:p w:rsidR="00F75D53" w:rsidRDefault="00F75D53" w:rsidP="00C16DDB">
      <w:pPr>
        <w:rPr>
          <w:rFonts w:ascii="Calibri" w:hAnsi="Calibri" w:cs="Calibri"/>
          <w:b/>
          <w:sz w:val="24"/>
          <w:szCs w:val="24"/>
        </w:rPr>
      </w:pPr>
    </w:p>
    <w:p w:rsidR="00F75D53" w:rsidRDefault="00F75D53" w:rsidP="00C16DDB">
      <w:pPr>
        <w:rPr>
          <w:rFonts w:ascii="Calibri" w:hAnsi="Calibri" w:cs="Calibri"/>
          <w:b/>
          <w:sz w:val="24"/>
          <w:szCs w:val="24"/>
        </w:rPr>
      </w:pPr>
    </w:p>
    <w:p w:rsidR="00F75D53" w:rsidRDefault="00F75D53" w:rsidP="00C16DDB">
      <w:pPr>
        <w:rPr>
          <w:rFonts w:ascii="Calibri" w:hAnsi="Calibri" w:cs="Calibri"/>
          <w:b/>
          <w:sz w:val="24"/>
          <w:szCs w:val="24"/>
        </w:rPr>
      </w:pPr>
    </w:p>
    <w:p w:rsidR="00055920" w:rsidRDefault="00055920" w:rsidP="00C16DDB">
      <w:pPr>
        <w:rPr>
          <w:rFonts w:ascii="Calibri" w:hAnsi="Calibri" w:cs="Calibri"/>
          <w:b/>
          <w:sz w:val="24"/>
          <w:szCs w:val="24"/>
        </w:rPr>
      </w:pPr>
    </w:p>
    <w:p w:rsidR="00F75D53" w:rsidRDefault="00F75D53"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lastRenderedPageBreak/>
        <w:t>1</w:t>
      </w:r>
      <w:r w:rsidR="0043773C">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w:t>
      </w:r>
      <w:proofErr w:type="spellStart"/>
      <w:r>
        <w:rPr>
          <w:rFonts w:ascii="Calibri" w:hAnsi="Calibri" w:cs="Calibri"/>
          <w:sz w:val="24"/>
          <w:szCs w:val="24"/>
        </w:rPr>
        <w:t>Portus</w:t>
      </w:r>
      <w:proofErr w:type="spellEnd"/>
      <w:r>
        <w:rPr>
          <w:rFonts w:ascii="Calibri" w:hAnsi="Calibri" w:cs="Calibri"/>
          <w:sz w:val="24"/>
          <w:szCs w:val="24"/>
        </w:rPr>
        <w:t xml:space="preserve"> </w:t>
      </w:r>
      <w:r w:rsidRPr="00312424">
        <w:rPr>
          <w:rFonts w:ascii="Calibri" w:hAnsi="Calibri" w:cs="Calibri"/>
          <w:sz w:val="24"/>
          <w:szCs w:val="24"/>
        </w:rPr>
        <w:t xml:space="preserve">– Instituto de Seguridade Social, entidade </w:t>
      </w:r>
      <w:r w:rsidR="00D83D81">
        <w:rPr>
          <w:rFonts w:ascii="Calibri" w:hAnsi="Calibri" w:cs="Calibri"/>
          <w:sz w:val="24"/>
          <w:szCs w:val="24"/>
        </w:rPr>
        <w:t xml:space="preserve">fechada </w:t>
      </w:r>
      <w:r w:rsidRPr="00312424">
        <w:rPr>
          <w:rFonts w:ascii="Calibri" w:hAnsi="Calibri" w:cs="Calibri"/>
          <w:sz w:val="24"/>
          <w:szCs w:val="24"/>
        </w:rPr>
        <w:t xml:space="preserve">de previdência </w:t>
      </w:r>
      <w:r>
        <w:rPr>
          <w:rFonts w:ascii="Calibri" w:hAnsi="Calibri" w:cs="Calibri"/>
          <w:sz w:val="24"/>
          <w:szCs w:val="24"/>
        </w:rPr>
        <w:t>complementar</w:t>
      </w:r>
      <w:r w:rsidR="00D83D81">
        <w:rPr>
          <w:rFonts w:ascii="Calibri" w:hAnsi="Calibri" w:cs="Calibri"/>
          <w:sz w:val="24"/>
          <w:szCs w:val="24"/>
        </w:rPr>
        <w:t xml:space="preserve"> sem fins lucrativos</w:t>
      </w:r>
      <w:r w:rsidRPr="00312424">
        <w:rPr>
          <w:rFonts w:ascii="Calibri" w:hAnsi="Calibri" w:cs="Calibri"/>
          <w:sz w:val="24"/>
          <w:szCs w:val="24"/>
        </w:rPr>
        <w:t xml:space="preserve">, </w:t>
      </w:r>
      <w:r w:rsidR="00D83D81">
        <w:rPr>
          <w:rFonts w:ascii="Calibri" w:hAnsi="Calibri" w:cs="Calibri"/>
          <w:sz w:val="24"/>
          <w:szCs w:val="24"/>
        </w:rPr>
        <w:t xml:space="preserve">de direito privado, com autonomia administrativa e financeira, </w:t>
      </w:r>
      <w:r w:rsidRPr="00312424">
        <w:rPr>
          <w:rFonts w:ascii="Calibri" w:hAnsi="Calibri" w:cs="Calibri"/>
          <w:sz w:val="24"/>
          <w:szCs w:val="24"/>
        </w:rPr>
        <w:t>fiscalizada pel</w:t>
      </w:r>
      <w:r w:rsidR="00D83D81">
        <w:rPr>
          <w:rFonts w:ascii="Calibri" w:hAnsi="Calibri" w:cs="Calibri"/>
          <w:sz w:val="24"/>
          <w:szCs w:val="24"/>
        </w:rPr>
        <w:t>o órgão de supervisão dos fundos de pensão – PREVIC – Superintendência Nacional de Previdência Complementar vinculada ao Ministério da Fazenda.</w:t>
      </w:r>
      <w:r w:rsidRPr="00312424">
        <w:rPr>
          <w:rFonts w:ascii="Calibri" w:hAnsi="Calibri" w:cs="Calibri"/>
          <w:sz w:val="24"/>
          <w:szCs w:val="24"/>
        </w:rPr>
        <w:t xml:space="preserve"> </w:t>
      </w:r>
      <w:r>
        <w:rPr>
          <w:rFonts w:ascii="Calibri" w:hAnsi="Calibri" w:cs="Calibri"/>
          <w:sz w:val="24"/>
          <w:szCs w:val="24"/>
        </w:rPr>
        <w:t>A CDRJ contribui com uma parcela mensal sobre a massa de salários dos empregados participantes, paritária aos valores por eles recolhidos.</w:t>
      </w:r>
    </w:p>
    <w:p w:rsidR="00D83D81" w:rsidRDefault="00D83D81" w:rsidP="00E70A67">
      <w:pPr>
        <w:jc w:val="both"/>
        <w:rPr>
          <w:rFonts w:ascii="Calibri" w:hAnsi="Calibri" w:cs="Calibri"/>
          <w:sz w:val="24"/>
          <w:szCs w:val="24"/>
        </w:rPr>
      </w:pPr>
    </w:p>
    <w:p w:rsidR="00D83D81" w:rsidRDefault="00D83D81" w:rsidP="00E70A67">
      <w:pPr>
        <w:jc w:val="both"/>
        <w:rPr>
          <w:rFonts w:ascii="Calibri" w:hAnsi="Calibri" w:cs="Calibri"/>
          <w:sz w:val="24"/>
          <w:szCs w:val="24"/>
        </w:rPr>
      </w:pPr>
      <w:r>
        <w:rPr>
          <w:rFonts w:ascii="Calibri" w:hAnsi="Calibri" w:cs="Calibri"/>
          <w:sz w:val="24"/>
          <w:szCs w:val="24"/>
        </w:rPr>
        <w:t xml:space="preserve">O </w:t>
      </w:r>
      <w:proofErr w:type="spellStart"/>
      <w:r>
        <w:rPr>
          <w:rFonts w:ascii="Calibri" w:hAnsi="Calibri" w:cs="Calibri"/>
          <w:sz w:val="24"/>
          <w:szCs w:val="24"/>
        </w:rPr>
        <w:t>Portus</w:t>
      </w:r>
      <w:proofErr w:type="spellEnd"/>
      <w:r>
        <w:rPr>
          <w:rFonts w:ascii="Calibri" w:hAnsi="Calibri" w:cs="Calibri"/>
          <w:sz w:val="24"/>
          <w:szCs w:val="24"/>
        </w:rPr>
        <w:t xml:space="preserve"> está sob intervenção federal decretada pela Diretoria Colegiada da Superintendência Nacional de Previdência Complementar – PREVIC, em 22 de agosto de 2011, por meio da Portaria nº 459, publicada no Diário Oficial da União – DOU de 23 de agosto de 2011.</w:t>
      </w:r>
    </w:p>
    <w:p w:rsidR="000831FD" w:rsidRDefault="000831FD"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535C43" w:rsidRDefault="00535C43" w:rsidP="00E70A67">
      <w:pPr>
        <w:jc w:val="both"/>
        <w:rPr>
          <w:rFonts w:ascii="Calibri" w:hAnsi="Calibri" w:cs="Calibri"/>
          <w:sz w:val="24"/>
          <w:szCs w:val="24"/>
        </w:rPr>
      </w:pPr>
    </w:p>
    <w:tbl>
      <w:tblPr>
        <w:tblW w:w="9974" w:type="dxa"/>
        <w:tblLayout w:type="fixed"/>
        <w:tblCellMar>
          <w:left w:w="70" w:type="dxa"/>
          <w:right w:w="70" w:type="dxa"/>
        </w:tblCellMar>
        <w:tblLook w:val="04A0" w:firstRow="1" w:lastRow="0" w:firstColumn="1" w:lastColumn="0" w:noHBand="0" w:noVBand="1"/>
      </w:tblPr>
      <w:tblGrid>
        <w:gridCol w:w="3556"/>
        <w:gridCol w:w="1604"/>
        <w:gridCol w:w="1605"/>
        <w:gridCol w:w="1604"/>
        <w:gridCol w:w="1605"/>
      </w:tblGrid>
      <w:tr w:rsidR="007661FF" w:rsidRPr="00547369" w:rsidTr="000133A1">
        <w:trPr>
          <w:trHeight w:val="284"/>
        </w:trPr>
        <w:tc>
          <w:tcPr>
            <w:tcW w:w="3556" w:type="dxa"/>
            <w:tcBorders>
              <w:top w:val="nil"/>
              <w:left w:val="nil"/>
              <w:right w:val="single" w:sz="4" w:space="0" w:color="auto"/>
            </w:tcBorders>
            <w:shd w:val="clear" w:color="auto" w:fill="auto"/>
            <w:noWrap/>
            <w:vAlign w:val="center"/>
          </w:tcPr>
          <w:p w:rsidR="007661FF" w:rsidRPr="00547369" w:rsidRDefault="007661FF" w:rsidP="007661FF">
            <w:pPr>
              <w:widowControl/>
              <w:rPr>
                <w:rFonts w:ascii="Calibri" w:hAnsi="Calibri" w:cs="Calibri"/>
                <w:snapToGrid/>
                <w:color w:val="000000"/>
                <w:sz w:val="24"/>
                <w:szCs w:val="24"/>
              </w:rPr>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61FF" w:rsidRPr="001A3B52" w:rsidRDefault="007661FF" w:rsidP="007661FF">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61FF" w:rsidRPr="001A3B52" w:rsidRDefault="007661FF" w:rsidP="007661FF">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EC011A" w:rsidRPr="00547369" w:rsidTr="007661FF">
        <w:trPr>
          <w:trHeight w:val="284"/>
        </w:trPr>
        <w:tc>
          <w:tcPr>
            <w:tcW w:w="3556" w:type="dxa"/>
            <w:tcBorders>
              <w:top w:val="nil"/>
              <w:left w:val="nil"/>
              <w:bottom w:val="single" w:sz="4" w:space="0" w:color="auto"/>
              <w:right w:val="single" w:sz="4" w:space="0" w:color="auto"/>
            </w:tcBorders>
            <w:shd w:val="clear" w:color="auto" w:fill="auto"/>
            <w:noWrap/>
            <w:vAlign w:val="center"/>
            <w:hideMark/>
          </w:tcPr>
          <w:p w:rsidR="00EC011A" w:rsidRPr="00547369" w:rsidRDefault="00EC011A" w:rsidP="00EC011A">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11A" w:rsidRPr="00547369" w:rsidRDefault="00EC011A" w:rsidP="00EC01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31/12/2020</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11A" w:rsidRPr="00547369" w:rsidRDefault="00EC011A" w:rsidP="00EC01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11A" w:rsidRPr="00547369" w:rsidRDefault="00EC011A" w:rsidP="00EC01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31/12/2020</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11A" w:rsidRPr="00547369" w:rsidRDefault="00EC011A" w:rsidP="00EC01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EC011A" w:rsidRPr="00547369" w:rsidTr="007661FF">
        <w:trPr>
          <w:trHeight w:val="284"/>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EC011A" w:rsidP="00EC011A">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7661FF"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1.091</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1.797</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7661FF"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C011A" w:rsidRPr="00547369" w:rsidTr="007661FF">
        <w:trPr>
          <w:trHeight w:val="284"/>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7661FF" w:rsidP="00EC011A">
            <w:pPr>
              <w:widowControl/>
              <w:rPr>
                <w:rFonts w:ascii="Calibri" w:hAnsi="Calibri" w:cs="Calibri"/>
                <w:snapToGrid/>
                <w:color w:val="000000"/>
                <w:sz w:val="24"/>
                <w:szCs w:val="24"/>
              </w:rPr>
            </w:pPr>
            <w:r>
              <w:rPr>
                <w:rFonts w:ascii="Calibri" w:hAnsi="Calibri" w:cs="Calibri"/>
                <w:snapToGrid/>
                <w:color w:val="000000"/>
                <w:sz w:val="24"/>
                <w:szCs w:val="24"/>
              </w:rPr>
              <w:t>Termo de Compromisso Financeiro</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7661FF"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4F7CB9" w:rsidP="000133A1">
            <w:pPr>
              <w:widowControl/>
              <w:jc w:val="right"/>
              <w:rPr>
                <w:rFonts w:ascii="Calibri" w:hAnsi="Calibri" w:cs="Calibri"/>
                <w:snapToGrid/>
                <w:color w:val="000000"/>
                <w:sz w:val="24"/>
                <w:szCs w:val="24"/>
              </w:rPr>
            </w:pPr>
            <w:r>
              <w:rPr>
                <w:rFonts w:ascii="Calibri" w:hAnsi="Calibri" w:cs="Calibri"/>
                <w:snapToGrid/>
                <w:color w:val="000000"/>
                <w:sz w:val="24"/>
                <w:szCs w:val="24"/>
              </w:rPr>
              <w:t>20</w:t>
            </w:r>
            <w:r w:rsidR="000133A1">
              <w:rPr>
                <w:rFonts w:ascii="Calibri" w:hAnsi="Calibri" w:cs="Calibri"/>
                <w:snapToGrid/>
                <w:color w:val="000000"/>
                <w:sz w:val="24"/>
                <w:szCs w:val="24"/>
              </w:rPr>
              <w:t>5</w:t>
            </w:r>
            <w:r>
              <w:rPr>
                <w:rFonts w:ascii="Calibri" w:hAnsi="Calibri" w:cs="Calibri"/>
                <w:snapToGrid/>
                <w:color w:val="000000"/>
                <w:sz w:val="24"/>
                <w:szCs w:val="24"/>
              </w:rPr>
              <w:t>.</w:t>
            </w:r>
            <w:r w:rsidR="000133A1">
              <w:rPr>
                <w:rFonts w:ascii="Calibri" w:hAnsi="Calibri" w:cs="Calibri"/>
                <w:snapToGrid/>
                <w:color w:val="000000"/>
                <w:sz w:val="24"/>
                <w:szCs w:val="24"/>
              </w:rPr>
              <w:t>3</w:t>
            </w:r>
            <w:r>
              <w:rPr>
                <w:rFonts w:ascii="Calibri" w:hAnsi="Calibri" w:cs="Calibri"/>
                <w:snapToGrid/>
                <w:color w:val="000000"/>
                <w:sz w:val="24"/>
                <w:szCs w:val="24"/>
              </w:rPr>
              <w:t>29</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C011A" w:rsidRPr="00547369" w:rsidTr="007661FF">
        <w:trPr>
          <w:trHeight w:val="284"/>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EC011A" w:rsidP="00EC011A">
            <w:pPr>
              <w:widowControl/>
              <w:rPr>
                <w:rFonts w:ascii="Calibri" w:hAnsi="Calibri" w:cs="Calibri"/>
                <w:snapToGrid/>
                <w:color w:val="000000"/>
                <w:sz w:val="24"/>
                <w:szCs w:val="24"/>
              </w:rPr>
            </w:pPr>
            <w:r>
              <w:rPr>
                <w:rFonts w:ascii="Calibri" w:hAnsi="Calibri" w:cs="Calibri"/>
                <w:snapToGrid/>
                <w:color w:val="000000"/>
                <w:sz w:val="24"/>
                <w:szCs w:val="24"/>
              </w:rPr>
              <w:t>Déficit Atuarial</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7661FF"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4F7CB9" w:rsidP="000133A1">
            <w:pPr>
              <w:widowControl/>
              <w:jc w:val="right"/>
              <w:rPr>
                <w:rFonts w:ascii="Calibri" w:hAnsi="Calibri" w:cs="Calibri"/>
                <w:snapToGrid/>
                <w:color w:val="000000"/>
                <w:sz w:val="24"/>
                <w:szCs w:val="24"/>
              </w:rPr>
            </w:pPr>
            <w:r>
              <w:rPr>
                <w:rFonts w:ascii="Calibri" w:hAnsi="Calibri" w:cs="Calibri"/>
                <w:snapToGrid/>
                <w:color w:val="000000"/>
                <w:sz w:val="24"/>
                <w:szCs w:val="24"/>
              </w:rPr>
              <w:t>153.67</w:t>
            </w:r>
            <w:r w:rsidR="000133A1">
              <w:rPr>
                <w:rFonts w:ascii="Calibri" w:hAnsi="Calibri" w:cs="Calibri"/>
                <w:snapToGrid/>
                <w:color w:val="000000"/>
                <w:sz w:val="24"/>
                <w:szCs w:val="24"/>
              </w:rPr>
              <w:t>4</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EC011A" w:rsidP="00EC011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r w:rsidR="00EC011A" w:rsidRPr="00547369" w:rsidTr="007661FF">
        <w:trPr>
          <w:trHeight w:val="284"/>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EC011A" w:rsidP="00EC011A">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7661FF"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1.091</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7661FF"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1.797</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1A" w:rsidRPr="00547369" w:rsidRDefault="007661FF" w:rsidP="000133A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359.</w:t>
            </w:r>
            <w:r w:rsidR="000133A1">
              <w:rPr>
                <w:rFonts w:ascii="Calibri" w:hAnsi="Calibri" w:cs="Calibri"/>
                <w:b/>
                <w:bCs/>
                <w:snapToGrid/>
                <w:color w:val="000000"/>
                <w:sz w:val="24"/>
                <w:szCs w:val="24"/>
              </w:rPr>
              <w:t>003</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11A" w:rsidRPr="00547369" w:rsidRDefault="00EC011A" w:rsidP="00EC011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383.492</w:t>
            </w:r>
          </w:p>
        </w:tc>
      </w:tr>
    </w:tbl>
    <w:p w:rsidR="000831FD" w:rsidRDefault="000831FD" w:rsidP="00535C43">
      <w:pPr>
        <w:jc w:val="both"/>
        <w:rPr>
          <w:rFonts w:ascii="Calibri" w:hAnsi="Calibri" w:cs="Calibri"/>
          <w:sz w:val="24"/>
          <w:szCs w:val="24"/>
        </w:rPr>
      </w:pPr>
    </w:p>
    <w:p w:rsidR="00535C43" w:rsidRPr="00312424" w:rsidRDefault="00535C43" w:rsidP="00535C43">
      <w:pPr>
        <w:jc w:val="both"/>
        <w:rPr>
          <w:rFonts w:ascii="Calibri" w:hAnsi="Calibri" w:cs="Calibri"/>
          <w:sz w:val="24"/>
          <w:szCs w:val="24"/>
        </w:rPr>
      </w:pPr>
      <w:r>
        <w:rPr>
          <w:rFonts w:ascii="Calibri" w:hAnsi="Calibri" w:cs="Calibri"/>
          <w:sz w:val="24"/>
          <w:szCs w:val="24"/>
        </w:rPr>
        <w:t xml:space="preserve">O déficit atuarial da CDRJ apontado no balanço patrimonial e nos quadros abaixo de R$ </w:t>
      </w:r>
      <w:r w:rsidR="004F7CB9">
        <w:rPr>
          <w:rFonts w:ascii="Calibri" w:hAnsi="Calibri" w:cs="Calibri"/>
          <w:sz w:val="24"/>
          <w:szCs w:val="24"/>
        </w:rPr>
        <w:t>359.</w:t>
      </w:r>
      <w:r w:rsidR="000133A1">
        <w:rPr>
          <w:rFonts w:ascii="Calibri" w:hAnsi="Calibri" w:cs="Calibri"/>
          <w:sz w:val="24"/>
          <w:szCs w:val="24"/>
        </w:rPr>
        <w:t>003</w:t>
      </w:r>
      <w:r>
        <w:rPr>
          <w:rFonts w:ascii="Calibri" w:hAnsi="Calibri" w:cs="Calibri"/>
          <w:sz w:val="24"/>
          <w:szCs w:val="24"/>
        </w:rPr>
        <w:t xml:space="preserve"> mil</w:t>
      </w:r>
      <w:r w:rsidR="00D414A4">
        <w:rPr>
          <w:rFonts w:ascii="Calibri" w:hAnsi="Calibri" w:cs="Calibri"/>
          <w:sz w:val="24"/>
          <w:szCs w:val="24"/>
        </w:rPr>
        <w:t xml:space="preserve"> (R$ 3</w:t>
      </w:r>
      <w:r w:rsidR="004F7CB9">
        <w:rPr>
          <w:rFonts w:ascii="Calibri" w:hAnsi="Calibri" w:cs="Calibri"/>
          <w:sz w:val="24"/>
          <w:szCs w:val="24"/>
        </w:rPr>
        <w:t>83</w:t>
      </w:r>
      <w:r w:rsidR="00D414A4">
        <w:rPr>
          <w:rFonts w:ascii="Calibri" w:hAnsi="Calibri" w:cs="Calibri"/>
          <w:sz w:val="24"/>
          <w:szCs w:val="24"/>
        </w:rPr>
        <w:t>.</w:t>
      </w:r>
      <w:r w:rsidR="004F7CB9">
        <w:rPr>
          <w:rFonts w:ascii="Calibri" w:hAnsi="Calibri" w:cs="Calibri"/>
          <w:sz w:val="24"/>
          <w:szCs w:val="24"/>
        </w:rPr>
        <w:t>492</w:t>
      </w:r>
      <w:r w:rsidR="00D414A4">
        <w:rPr>
          <w:rFonts w:ascii="Calibri" w:hAnsi="Calibri" w:cs="Calibri"/>
          <w:sz w:val="24"/>
          <w:szCs w:val="24"/>
        </w:rPr>
        <w:t xml:space="preserve"> mil em 201</w:t>
      </w:r>
      <w:r w:rsidR="00EF7BB5">
        <w:rPr>
          <w:rFonts w:ascii="Calibri" w:hAnsi="Calibri" w:cs="Calibri"/>
          <w:sz w:val="24"/>
          <w:szCs w:val="24"/>
        </w:rPr>
        <w:t>9</w:t>
      </w:r>
      <w:r w:rsidR="00D414A4">
        <w:rPr>
          <w:rFonts w:ascii="Calibri" w:hAnsi="Calibri" w:cs="Calibri"/>
          <w:sz w:val="24"/>
          <w:szCs w:val="24"/>
        </w:rPr>
        <w:t>)</w:t>
      </w:r>
      <w:r>
        <w:rPr>
          <w:rFonts w:ascii="Calibri" w:hAnsi="Calibri" w:cs="Calibri"/>
          <w:sz w:val="24"/>
          <w:szCs w:val="24"/>
        </w:rPr>
        <w:t xml:space="preserve">, calculado segundo o CPC </w:t>
      </w:r>
      <w:r w:rsidR="00CB047B">
        <w:rPr>
          <w:rFonts w:ascii="Calibri" w:hAnsi="Calibri" w:cs="Calibri"/>
          <w:sz w:val="24"/>
          <w:szCs w:val="24"/>
        </w:rPr>
        <w:t>3</w:t>
      </w:r>
      <w:r>
        <w:rPr>
          <w:rFonts w:ascii="Calibri" w:hAnsi="Calibri" w:cs="Calibri"/>
          <w:sz w:val="24"/>
          <w:szCs w:val="24"/>
        </w:rPr>
        <w:t xml:space="preserve">3, </w:t>
      </w:r>
      <w:r w:rsidR="004F7CB9">
        <w:rPr>
          <w:rFonts w:ascii="Calibri" w:hAnsi="Calibri" w:cs="Calibri"/>
          <w:sz w:val="24"/>
          <w:szCs w:val="24"/>
        </w:rPr>
        <w:t>está sendo</w:t>
      </w:r>
      <w:r>
        <w:rPr>
          <w:rFonts w:ascii="Calibri" w:hAnsi="Calibri" w:cs="Calibri"/>
          <w:sz w:val="24"/>
          <w:szCs w:val="24"/>
        </w:rPr>
        <w:t xml:space="preserve"> equacionado conforme as regras estabelecidas no </w:t>
      </w:r>
      <w:r w:rsidR="005668D8">
        <w:rPr>
          <w:rFonts w:ascii="Calibri" w:hAnsi="Calibri" w:cs="Calibri"/>
          <w:sz w:val="24"/>
          <w:szCs w:val="24"/>
        </w:rPr>
        <w:t>Termo de Compromisso Financeiro</w:t>
      </w:r>
      <w:r>
        <w:rPr>
          <w:rFonts w:ascii="Calibri" w:hAnsi="Calibri" w:cs="Calibri"/>
          <w:sz w:val="24"/>
          <w:szCs w:val="24"/>
        </w:rPr>
        <w:t>, aprovado pelo Conselho de Administração da CDRJ</w:t>
      </w:r>
      <w:r w:rsidR="005668D8">
        <w:rPr>
          <w:rFonts w:ascii="Calibri" w:hAnsi="Calibri" w:cs="Calibri"/>
          <w:sz w:val="24"/>
          <w:szCs w:val="24"/>
        </w:rPr>
        <w:t xml:space="preserve">, </w:t>
      </w:r>
      <w:r>
        <w:rPr>
          <w:rFonts w:ascii="Calibri" w:hAnsi="Calibri" w:cs="Calibri"/>
          <w:sz w:val="24"/>
          <w:szCs w:val="24"/>
        </w:rPr>
        <w:t xml:space="preserve">em sua </w:t>
      </w:r>
      <w:r w:rsidR="005668D8">
        <w:rPr>
          <w:rFonts w:ascii="Calibri" w:hAnsi="Calibri" w:cs="Calibri"/>
          <w:sz w:val="24"/>
          <w:szCs w:val="24"/>
        </w:rPr>
        <w:t>742</w:t>
      </w:r>
      <w:r>
        <w:rPr>
          <w:rFonts w:ascii="Calibri" w:hAnsi="Calibri" w:cs="Calibri"/>
          <w:sz w:val="24"/>
          <w:szCs w:val="24"/>
        </w:rPr>
        <w:t xml:space="preserve">ª reunião, realizada em </w:t>
      </w:r>
      <w:r w:rsidR="005668D8">
        <w:rPr>
          <w:rFonts w:ascii="Calibri" w:hAnsi="Calibri" w:cs="Calibri"/>
          <w:sz w:val="24"/>
          <w:szCs w:val="24"/>
        </w:rPr>
        <w:t>10 de junho de 2020</w:t>
      </w:r>
      <w:r>
        <w:rPr>
          <w:rFonts w:ascii="Calibri" w:hAnsi="Calibri" w:cs="Calibri"/>
          <w:sz w:val="24"/>
          <w:szCs w:val="24"/>
        </w:rPr>
        <w:t xml:space="preserve">, com a supervisão da Secretaria de Coordenação e Governança das Empresas Estatais (SEST). As informações atuariais, de responsabilidade da empresa de consultoria </w:t>
      </w:r>
      <w:proofErr w:type="spellStart"/>
      <w:r>
        <w:rPr>
          <w:rFonts w:ascii="Calibri" w:hAnsi="Calibri" w:cs="Calibri"/>
          <w:sz w:val="24"/>
          <w:szCs w:val="24"/>
        </w:rPr>
        <w:t>Rodarte</w:t>
      </w:r>
      <w:proofErr w:type="spellEnd"/>
      <w:r>
        <w:rPr>
          <w:rFonts w:ascii="Calibri" w:hAnsi="Calibri" w:cs="Calibri"/>
          <w:sz w:val="24"/>
          <w:szCs w:val="24"/>
        </w:rPr>
        <w:t xml:space="preserve"> Consultoria em Estatística e Seguridade Ltda., estão apresentadas abaixo:</w:t>
      </w:r>
    </w:p>
    <w:p w:rsidR="005C2D87" w:rsidRDefault="005C2D87" w:rsidP="00E70A67">
      <w:pPr>
        <w:jc w:val="both"/>
        <w:rPr>
          <w:rFonts w:ascii="Calibri" w:hAnsi="Calibri" w:cs="Calibri"/>
          <w:sz w:val="24"/>
          <w:szCs w:val="24"/>
        </w:rPr>
      </w:pPr>
    </w:p>
    <w:p w:rsidR="00E91329" w:rsidRDefault="00E91329" w:rsidP="00E91329">
      <w:pPr>
        <w:jc w:val="both"/>
        <w:rPr>
          <w:rFonts w:ascii="Calibri" w:hAnsi="Calibri" w:cs="Calibri"/>
          <w:sz w:val="24"/>
          <w:szCs w:val="24"/>
        </w:rPr>
      </w:pPr>
      <w:r>
        <w:rPr>
          <w:rFonts w:ascii="Calibri" w:hAnsi="Calibri" w:cs="Calibri"/>
          <w:sz w:val="24"/>
          <w:szCs w:val="24"/>
        </w:rPr>
        <w:t xml:space="preserve">Base de </w:t>
      </w:r>
      <w:r w:rsidR="007B271D">
        <w:rPr>
          <w:rFonts w:ascii="Calibri" w:hAnsi="Calibri" w:cs="Calibri"/>
          <w:sz w:val="24"/>
          <w:szCs w:val="24"/>
        </w:rPr>
        <w:t>D</w:t>
      </w:r>
      <w:r>
        <w:rPr>
          <w:rFonts w:ascii="Calibri" w:hAnsi="Calibri" w:cs="Calibri"/>
          <w:sz w:val="24"/>
          <w:szCs w:val="24"/>
        </w:rPr>
        <w:t>ados:</w:t>
      </w:r>
    </w:p>
    <w:p w:rsidR="00D414A4" w:rsidRDefault="00D414A4" w:rsidP="00E91329">
      <w:pPr>
        <w:jc w:val="both"/>
        <w:rPr>
          <w:rFonts w:ascii="Calibri" w:hAnsi="Calibri" w:cs="Calibr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134"/>
        <w:gridCol w:w="1134"/>
      </w:tblGrid>
      <w:tr w:rsidR="00E91329" w:rsidRPr="002E7F4A" w:rsidTr="00E91329">
        <w:trPr>
          <w:trHeight w:val="315"/>
        </w:trPr>
        <w:tc>
          <w:tcPr>
            <w:tcW w:w="6946" w:type="dxa"/>
            <w:shd w:val="clear" w:color="auto" w:fill="auto"/>
            <w:noWrap/>
            <w:vAlign w:val="bottom"/>
          </w:tcPr>
          <w:p w:rsidR="00E91329" w:rsidRPr="002E7F4A" w:rsidRDefault="00E91329" w:rsidP="00014E44">
            <w:pPr>
              <w:widowControl/>
              <w:rPr>
                <w:rFonts w:ascii="Calibri" w:hAnsi="Calibri" w:cs="Calibri"/>
                <w:snapToGrid/>
                <w:color w:val="000000"/>
                <w:sz w:val="24"/>
                <w:szCs w:val="24"/>
              </w:rPr>
            </w:pPr>
          </w:p>
        </w:tc>
        <w:tc>
          <w:tcPr>
            <w:tcW w:w="1134" w:type="dxa"/>
            <w:shd w:val="clear" w:color="auto" w:fill="auto"/>
            <w:noWrap/>
            <w:vAlign w:val="bottom"/>
            <w:hideMark/>
          </w:tcPr>
          <w:p w:rsidR="00E91329" w:rsidRPr="002E7F4A" w:rsidRDefault="00E91329" w:rsidP="004F7CB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w:t>
            </w:r>
            <w:r w:rsidR="004F7CB9">
              <w:rPr>
                <w:rFonts w:ascii="Calibri" w:hAnsi="Calibri" w:cs="Calibri"/>
                <w:b/>
                <w:bCs/>
                <w:snapToGrid/>
                <w:color w:val="000000"/>
                <w:sz w:val="24"/>
                <w:szCs w:val="24"/>
              </w:rPr>
              <w:t>20</w:t>
            </w:r>
          </w:p>
        </w:tc>
        <w:tc>
          <w:tcPr>
            <w:tcW w:w="1134" w:type="dxa"/>
            <w:shd w:val="clear" w:color="auto" w:fill="auto"/>
            <w:noWrap/>
            <w:vAlign w:val="bottom"/>
            <w:hideMark/>
          </w:tcPr>
          <w:p w:rsidR="00E91329" w:rsidRPr="002E7F4A" w:rsidRDefault="00E91329" w:rsidP="004F7CB9">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w:t>
            </w:r>
            <w:r w:rsidR="004F7CB9">
              <w:rPr>
                <w:rFonts w:ascii="Calibri" w:hAnsi="Calibri" w:cs="Calibri"/>
                <w:b/>
                <w:bCs/>
                <w:snapToGrid/>
                <w:color w:val="000000"/>
                <w:sz w:val="24"/>
                <w:szCs w:val="24"/>
              </w:rPr>
              <w:t>19</w:t>
            </w:r>
          </w:p>
        </w:tc>
      </w:tr>
      <w:tr w:rsidR="004F7CB9" w:rsidRPr="002E7F4A" w:rsidTr="00E91329">
        <w:trPr>
          <w:trHeight w:val="315"/>
        </w:trPr>
        <w:tc>
          <w:tcPr>
            <w:tcW w:w="6946"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Participantes ativos (passivo principal)</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263</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r>
      <w:tr w:rsidR="004F7CB9" w:rsidRPr="002E7F4A" w:rsidTr="00E91329">
        <w:trPr>
          <w:trHeight w:val="315"/>
        </w:trPr>
        <w:tc>
          <w:tcPr>
            <w:tcW w:w="6946"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Participantes assistidos / beneficiários em gozo de benefício</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1.307</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r>
      <w:tr w:rsidR="004F7CB9" w:rsidRPr="002E7F4A" w:rsidTr="00E91329">
        <w:trPr>
          <w:trHeight w:val="315"/>
        </w:trPr>
        <w:tc>
          <w:tcPr>
            <w:tcW w:w="6946" w:type="dxa"/>
            <w:shd w:val="clear" w:color="auto" w:fill="auto"/>
            <w:noWrap/>
            <w:vAlign w:val="bottom"/>
          </w:tcPr>
          <w:p w:rsidR="004F7CB9" w:rsidRPr="00F079A2" w:rsidRDefault="004F7CB9" w:rsidP="004F7CB9">
            <w:pPr>
              <w:widowControl/>
              <w:ind w:firstLine="214"/>
              <w:rPr>
                <w:rFonts w:ascii="Calibri" w:hAnsi="Calibri" w:cs="Calibri"/>
                <w:snapToGrid/>
                <w:color w:val="000000"/>
                <w:sz w:val="24"/>
                <w:szCs w:val="24"/>
              </w:rPr>
            </w:pPr>
            <w:r>
              <w:rPr>
                <w:rFonts w:ascii="Calibri" w:hAnsi="Calibri" w:cs="Calibri"/>
                <w:snapToGrid/>
                <w:color w:val="000000"/>
                <w:sz w:val="24"/>
                <w:szCs w:val="24"/>
              </w:rPr>
              <w:t>Aposentados</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642</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r>
      <w:tr w:rsidR="004F7CB9" w:rsidRPr="002E7F4A" w:rsidTr="00E91329">
        <w:trPr>
          <w:trHeight w:val="315"/>
        </w:trPr>
        <w:tc>
          <w:tcPr>
            <w:tcW w:w="6946" w:type="dxa"/>
            <w:shd w:val="clear" w:color="auto" w:fill="auto"/>
            <w:noWrap/>
            <w:vAlign w:val="bottom"/>
          </w:tcPr>
          <w:p w:rsidR="004F7CB9" w:rsidRPr="00F079A2" w:rsidRDefault="004F7CB9" w:rsidP="004F7CB9">
            <w:pPr>
              <w:widowControl/>
              <w:ind w:firstLine="214"/>
              <w:rPr>
                <w:rFonts w:ascii="Calibri" w:hAnsi="Calibri" w:cs="Calibri"/>
                <w:snapToGrid/>
                <w:color w:val="000000"/>
                <w:sz w:val="24"/>
                <w:szCs w:val="24"/>
              </w:rPr>
            </w:pPr>
            <w:r>
              <w:rPr>
                <w:rFonts w:ascii="Calibri" w:hAnsi="Calibri" w:cs="Calibri"/>
                <w:snapToGrid/>
                <w:color w:val="000000"/>
                <w:sz w:val="24"/>
                <w:szCs w:val="24"/>
              </w:rPr>
              <w:t>Pensionistas</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665</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r>
      <w:tr w:rsidR="004F7CB9" w:rsidRPr="002E7F4A" w:rsidTr="00E91329">
        <w:trPr>
          <w:trHeight w:val="315"/>
        </w:trPr>
        <w:tc>
          <w:tcPr>
            <w:tcW w:w="6946"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Total de participantes</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1.570</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r>
      <w:tr w:rsidR="004F7CB9" w:rsidRPr="002E7F4A" w:rsidTr="00E91329">
        <w:trPr>
          <w:trHeight w:val="315"/>
        </w:trPr>
        <w:tc>
          <w:tcPr>
            <w:tcW w:w="6946"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proofErr w:type="spellStart"/>
            <w:r w:rsidRPr="00E91329">
              <w:rPr>
                <w:rFonts w:ascii="Calibri" w:hAnsi="Calibri" w:cs="Calibri"/>
                <w:i/>
                <w:snapToGrid/>
                <w:color w:val="000000"/>
                <w:sz w:val="24"/>
                <w:szCs w:val="24"/>
              </w:rPr>
              <w:t>Duration</w:t>
            </w:r>
            <w:proofErr w:type="spellEnd"/>
            <w:r>
              <w:rPr>
                <w:rFonts w:ascii="Calibri" w:hAnsi="Calibri" w:cs="Calibri"/>
                <w:snapToGrid/>
                <w:color w:val="000000"/>
                <w:sz w:val="24"/>
                <w:szCs w:val="24"/>
              </w:rPr>
              <w:t xml:space="preserve"> da obrigação (utilizada para determinar a taxa de desconto)</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7,97</w:t>
            </w:r>
          </w:p>
        </w:tc>
        <w:tc>
          <w:tcPr>
            <w:tcW w:w="1134"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r>
    </w:tbl>
    <w:p w:rsidR="00D414A4" w:rsidRDefault="00D414A4" w:rsidP="00E70A67">
      <w:pPr>
        <w:jc w:val="both"/>
        <w:rPr>
          <w:rFonts w:ascii="Calibri" w:hAnsi="Calibri" w:cs="Calibri"/>
          <w:sz w:val="24"/>
          <w:szCs w:val="24"/>
        </w:rPr>
      </w:pPr>
    </w:p>
    <w:p w:rsidR="00F75D53" w:rsidRDefault="00F75D53" w:rsidP="00E70A67">
      <w:pPr>
        <w:jc w:val="both"/>
        <w:rPr>
          <w:rFonts w:ascii="Calibri" w:hAnsi="Calibri" w:cs="Calibri"/>
          <w:sz w:val="24"/>
          <w:szCs w:val="24"/>
        </w:rPr>
      </w:pPr>
    </w:p>
    <w:p w:rsidR="00F75D53" w:rsidRDefault="00F75D53" w:rsidP="00E70A67">
      <w:pPr>
        <w:jc w:val="both"/>
        <w:rPr>
          <w:rFonts w:ascii="Calibri" w:hAnsi="Calibri" w:cs="Calibri"/>
          <w:sz w:val="24"/>
          <w:szCs w:val="24"/>
        </w:rPr>
      </w:pPr>
    </w:p>
    <w:p w:rsidR="00055920" w:rsidRDefault="00055920" w:rsidP="00E70A67">
      <w:pPr>
        <w:jc w:val="both"/>
        <w:rPr>
          <w:rFonts w:ascii="Calibri" w:hAnsi="Calibri" w:cs="Calibri"/>
          <w:sz w:val="24"/>
          <w:szCs w:val="24"/>
        </w:rPr>
      </w:pPr>
    </w:p>
    <w:p w:rsidR="00643D49" w:rsidRDefault="00643D49" w:rsidP="00643D49">
      <w:pPr>
        <w:jc w:val="both"/>
        <w:rPr>
          <w:rFonts w:ascii="Calibri" w:hAnsi="Calibri" w:cs="Calibri"/>
          <w:sz w:val="24"/>
          <w:szCs w:val="24"/>
        </w:rPr>
      </w:pPr>
      <w:r>
        <w:rPr>
          <w:rFonts w:ascii="Calibri" w:hAnsi="Calibri" w:cs="Calibri"/>
          <w:sz w:val="24"/>
          <w:szCs w:val="24"/>
        </w:rPr>
        <w:lastRenderedPageBreak/>
        <w:t xml:space="preserve">Formação do </w:t>
      </w:r>
      <w:r w:rsidR="007B271D">
        <w:rPr>
          <w:rFonts w:ascii="Calibri" w:hAnsi="Calibri" w:cs="Calibri"/>
          <w:sz w:val="24"/>
          <w:szCs w:val="24"/>
        </w:rPr>
        <w:t>D</w:t>
      </w:r>
      <w:r>
        <w:rPr>
          <w:rFonts w:ascii="Calibri" w:hAnsi="Calibri" w:cs="Calibri"/>
          <w:sz w:val="24"/>
          <w:szCs w:val="24"/>
        </w:rPr>
        <w:t>éficit:</w:t>
      </w:r>
    </w:p>
    <w:p w:rsidR="00D414A4" w:rsidRDefault="00D414A4" w:rsidP="00643D49">
      <w:pPr>
        <w:jc w:val="both"/>
        <w:rPr>
          <w:rFonts w:ascii="Calibri" w:hAnsi="Calibri" w:cs="Calibri"/>
          <w:sz w:val="24"/>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417"/>
        <w:gridCol w:w="1418"/>
      </w:tblGrid>
      <w:tr w:rsidR="00643D49" w:rsidRPr="002E7F4A" w:rsidTr="00014E44">
        <w:trPr>
          <w:trHeight w:val="315"/>
        </w:trPr>
        <w:tc>
          <w:tcPr>
            <w:tcW w:w="5103" w:type="dxa"/>
            <w:shd w:val="clear" w:color="auto" w:fill="auto"/>
            <w:noWrap/>
            <w:vAlign w:val="bottom"/>
          </w:tcPr>
          <w:p w:rsidR="00643D49" w:rsidRPr="002E7F4A" w:rsidRDefault="00643D49" w:rsidP="00014E44">
            <w:pPr>
              <w:widowControl/>
              <w:rPr>
                <w:rFonts w:ascii="Calibri" w:hAnsi="Calibri" w:cs="Calibri"/>
                <w:snapToGrid/>
                <w:color w:val="000000"/>
                <w:sz w:val="24"/>
                <w:szCs w:val="24"/>
              </w:rPr>
            </w:pPr>
          </w:p>
        </w:tc>
        <w:tc>
          <w:tcPr>
            <w:tcW w:w="1417" w:type="dxa"/>
            <w:shd w:val="clear" w:color="auto" w:fill="auto"/>
            <w:noWrap/>
            <w:vAlign w:val="bottom"/>
            <w:hideMark/>
          </w:tcPr>
          <w:p w:rsidR="00643D49" w:rsidRPr="002E7F4A" w:rsidRDefault="00643D49" w:rsidP="004F7CB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w:t>
            </w:r>
            <w:r w:rsidR="004F7CB9">
              <w:rPr>
                <w:rFonts w:ascii="Calibri" w:hAnsi="Calibri" w:cs="Calibri"/>
                <w:b/>
                <w:bCs/>
                <w:snapToGrid/>
                <w:color w:val="000000"/>
                <w:sz w:val="24"/>
                <w:szCs w:val="24"/>
              </w:rPr>
              <w:t>20</w:t>
            </w:r>
          </w:p>
        </w:tc>
        <w:tc>
          <w:tcPr>
            <w:tcW w:w="1418" w:type="dxa"/>
            <w:shd w:val="clear" w:color="auto" w:fill="auto"/>
            <w:noWrap/>
            <w:vAlign w:val="bottom"/>
            <w:hideMark/>
          </w:tcPr>
          <w:p w:rsidR="00643D49" w:rsidRPr="002E7F4A" w:rsidRDefault="00643D49" w:rsidP="004F7CB9">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w:t>
            </w:r>
            <w:r w:rsidR="004F7CB9">
              <w:rPr>
                <w:rFonts w:ascii="Calibri" w:hAnsi="Calibri" w:cs="Calibri"/>
                <w:b/>
                <w:bCs/>
                <w:snapToGrid/>
                <w:color w:val="000000"/>
                <w:sz w:val="24"/>
                <w:szCs w:val="24"/>
              </w:rPr>
              <w:t>19</w:t>
            </w:r>
          </w:p>
        </w:tc>
      </w:tr>
      <w:tr w:rsidR="004F7CB9" w:rsidRPr="002E7F4A" w:rsidTr="00014E44">
        <w:trPr>
          <w:trHeight w:val="315"/>
        </w:trPr>
        <w:tc>
          <w:tcPr>
            <w:tcW w:w="5103"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Saldo do passivo atuarial no início do exercício</w:t>
            </w:r>
          </w:p>
        </w:tc>
        <w:tc>
          <w:tcPr>
            <w:tcW w:w="1417" w:type="dxa"/>
            <w:shd w:val="clear" w:color="auto" w:fill="auto"/>
            <w:noWrap/>
            <w:vAlign w:val="bottom"/>
          </w:tcPr>
          <w:p w:rsidR="004F7CB9" w:rsidRPr="002E7F4A" w:rsidRDefault="00191677"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418"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(350.895)</w:t>
            </w:r>
          </w:p>
        </w:tc>
      </w:tr>
      <w:tr w:rsidR="004F7CB9" w:rsidRPr="002E7F4A" w:rsidTr="00014E44">
        <w:trPr>
          <w:trHeight w:val="315"/>
        </w:trPr>
        <w:tc>
          <w:tcPr>
            <w:tcW w:w="5103"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Custo líquido no período</w:t>
            </w:r>
          </w:p>
        </w:tc>
        <w:tc>
          <w:tcPr>
            <w:tcW w:w="1417" w:type="dxa"/>
            <w:shd w:val="clear" w:color="auto" w:fill="auto"/>
            <w:noWrap/>
            <w:vAlign w:val="bottom"/>
          </w:tcPr>
          <w:p w:rsidR="004F7CB9" w:rsidRPr="002E7F4A" w:rsidRDefault="00191677" w:rsidP="00191677">
            <w:pPr>
              <w:widowControl/>
              <w:jc w:val="right"/>
              <w:rPr>
                <w:rFonts w:ascii="Calibri" w:hAnsi="Calibri" w:cs="Calibri"/>
                <w:snapToGrid/>
                <w:color w:val="000000"/>
                <w:sz w:val="24"/>
                <w:szCs w:val="24"/>
              </w:rPr>
            </w:pPr>
            <w:r>
              <w:rPr>
                <w:rFonts w:ascii="Calibri" w:hAnsi="Calibri" w:cs="Calibri"/>
                <w:snapToGrid/>
                <w:color w:val="000000"/>
                <w:sz w:val="24"/>
                <w:szCs w:val="24"/>
              </w:rPr>
              <w:t>(26.522)</w:t>
            </w:r>
          </w:p>
        </w:tc>
        <w:tc>
          <w:tcPr>
            <w:tcW w:w="1418"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(22.719)</w:t>
            </w:r>
          </w:p>
        </w:tc>
      </w:tr>
      <w:tr w:rsidR="004F7CB9" w:rsidRPr="002E7F4A" w:rsidTr="00014E44">
        <w:trPr>
          <w:trHeight w:val="315"/>
        </w:trPr>
        <w:tc>
          <w:tcPr>
            <w:tcW w:w="5103" w:type="dxa"/>
            <w:shd w:val="clear" w:color="auto" w:fill="auto"/>
            <w:noWrap/>
            <w:vAlign w:val="bottom"/>
          </w:tcPr>
          <w:p w:rsidR="004F7CB9"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Ganhos atuariais líquidos de capital</w:t>
            </w:r>
          </w:p>
        </w:tc>
        <w:tc>
          <w:tcPr>
            <w:tcW w:w="1417" w:type="dxa"/>
            <w:shd w:val="clear" w:color="auto" w:fill="auto"/>
            <w:noWrap/>
            <w:vAlign w:val="bottom"/>
          </w:tcPr>
          <w:p w:rsidR="004F7CB9" w:rsidRPr="002E7F4A" w:rsidRDefault="00191677" w:rsidP="00191677">
            <w:pPr>
              <w:widowControl/>
              <w:jc w:val="right"/>
              <w:rPr>
                <w:rFonts w:ascii="Calibri" w:hAnsi="Calibri" w:cs="Calibri"/>
                <w:snapToGrid/>
                <w:color w:val="000000"/>
                <w:sz w:val="24"/>
                <w:szCs w:val="24"/>
              </w:rPr>
            </w:pPr>
            <w:r>
              <w:rPr>
                <w:rFonts w:ascii="Calibri" w:hAnsi="Calibri" w:cs="Calibri"/>
                <w:snapToGrid/>
                <w:color w:val="000000"/>
                <w:sz w:val="24"/>
                <w:szCs w:val="24"/>
              </w:rPr>
              <w:t>107.055</w:t>
            </w:r>
          </w:p>
        </w:tc>
        <w:tc>
          <w:tcPr>
            <w:tcW w:w="1418"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212.467</w:t>
            </w:r>
          </w:p>
        </w:tc>
      </w:tr>
      <w:tr w:rsidR="004F7CB9" w:rsidRPr="002E7F4A" w:rsidTr="00014E44">
        <w:trPr>
          <w:trHeight w:val="315"/>
        </w:trPr>
        <w:tc>
          <w:tcPr>
            <w:tcW w:w="5103"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Pagamento de contribuições</w:t>
            </w:r>
          </w:p>
        </w:tc>
        <w:tc>
          <w:tcPr>
            <w:tcW w:w="1417" w:type="dxa"/>
            <w:shd w:val="clear" w:color="auto" w:fill="auto"/>
            <w:noWrap/>
            <w:vAlign w:val="bottom"/>
          </w:tcPr>
          <w:p w:rsidR="004F7CB9" w:rsidRPr="002E7F4A" w:rsidRDefault="00191677" w:rsidP="00191677">
            <w:pPr>
              <w:widowControl/>
              <w:jc w:val="right"/>
              <w:rPr>
                <w:rFonts w:ascii="Calibri" w:hAnsi="Calibri" w:cs="Calibri"/>
                <w:snapToGrid/>
                <w:color w:val="000000"/>
                <w:sz w:val="24"/>
                <w:szCs w:val="24"/>
              </w:rPr>
            </w:pPr>
            <w:r>
              <w:rPr>
                <w:rFonts w:ascii="Calibri" w:hAnsi="Calibri" w:cs="Calibri"/>
                <w:snapToGrid/>
                <w:color w:val="000000"/>
                <w:sz w:val="24"/>
                <w:szCs w:val="24"/>
              </w:rPr>
              <w:t>37.787</w:t>
            </w:r>
          </w:p>
        </w:tc>
        <w:tc>
          <w:tcPr>
            <w:tcW w:w="1418"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8.419</w:t>
            </w:r>
          </w:p>
        </w:tc>
      </w:tr>
      <w:tr w:rsidR="004F7CB9" w:rsidRPr="002E7F4A" w:rsidTr="00014E44">
        <w:trPr>
          <w:trHeight w:val="315"/>
        </w:trPr>
        <w:tc>
          <w:tcPr>
            <w:tcW w:w="5103"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Compartilhamento de risco</w:t>
            </w:r>
          </w:p>
        </w:tc>
        <w:tc>
          <w:tcPr>
            <w:tcW w:w="1417" w:type="dxa"/>
            <w:shd w:val="clear" w:color="auto" w:fill="auto"/>
            <w:noWrap/>
            <w:vAlign w:val="bottom"/>
          </w:tcPr>
          <w:p w:rsidR="004F7CB9" w:rsidRPr="002E7F4A" w:rsidRDefault="00191677"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(93.831)</w:t>
            </w:r>
          </w:p>
        </w:tc>
        <w:tc>
          <w:tcPr>
            <w:tcW w:w="1418"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(230.764)</w:t>
            </w:r>
          </w:p>
        </w:tc>
      </w:tr>
      <w:tr w:rsidR="004F7CB9" w:rsidRPr="002E7F4A" w:rsidTr="00014E44">
        <w:trPr>
          <w:trHeight w:val="315"/>
        </w:trPr>
        <w:tc>
          <w:tcPr>
            <w:tcW w:w="5103" w:type="dxa"/>
            <w:shd w:val="clear" w:color="auto" w:fill="auto"/>
            <w:noWrap/>
            <w:vAlign w:val="bottom"/>
          </w:tcPr>
          <w:p w:rsidR="004F7CB9" w:rsidRPr="00F079A2" w:rsidRDefault="004F7CB9" w:rsidP="004F7CB9">
            <w:pPr>
              <w:widowControl/>
              <w:rPr>
                <w:rFonts w:ascii="Calibri" w:hAnsi="Calibri" w:cs="Calibri"/>
                <w:snapToGrid/>
                <w:color w:val="000000"/>
                <w:sz w:val="24"/>
                <w:szCs w:val="24"/>
              </w:rPr>
            </w:pPr>
            <w:r>
              <w:rPr>
                <w:rFonts w:ascii="Calibri" w:hAnsi="Calibri" w:cs="Calibri"/>
                <w:snapToGrid/>
                <w:color w:val="000000"/>
                <w:sz w:val="24"/>
                <w:szCs w:val="24"/>
              </w:rPr>
              <w:t>Saldo do passivo líquido ao final do exercício</w:t>
            </w:r>
          </w:p>
        </w:tc>
        <w:tc>
          <w:tcPr>
            <w:tcW w:w="1417" w:type="dxa"/>
            <w:shd w:val="clear" w:color="auto" w:fill="auto"/>
            <w:noWrap/>
            <w:vAlign w:val="bottom"/>
          </w:tcPr>
          <w:p w:rsidR="004F7CB9" w:rsidRPr="002E7F4A" w:rsidRDefault="00191677"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(359.003)</w:t>
            </w:r>
          </w:p>
        </w:tc>
        <w:tc>
          <w:tcPr>
            <w:tcW w:w="1418" w:type="dxa"/>
            <w:shd w:val="clear" w:color="auto" w:fill="auto"/>
            <w:noWrap/>
            <w:vAlign w:val="bottom"/>
          </w:tcPr>
          <w:p w:rsidR="004F7CB9" w:rsidRPr="002E7F4A" w:rsidRDefault="004F7CB9" w:rsidP="004F7CB9">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bl>
    <w:p w:rsidR="00F75D53" w:rsidRDefault="00F75D53" w:rsidP="00D414A4">
      <w:pPr>
        <w:jc w:val="both"/>
        <w:rPr>
          <w:rFonts w:ascii="Calibri" w:hAnsi="Calibri" w:cs="Calibri"/>
          <w:sz w:val="24"/>
          <w:szCs w:val="24"/>
        </w:rPr>
      </w:pPr>
    </w:p>
    <w:p w:rsidR="00D414A4" w:rsidRDefault="00D414A4" w:rsidP="00D414A4">
      <w:pPr>
        <w:jc w:val="both"/>
        <w:rPr>
          <w:rFonts w:ascii="Calibri" w:hAnsi="Calibri" w:cs="Calibri"/>
          <w:sz w:val="24"/>
          <w:szCs w:val="24"/>
        </w:rPr>
      </w:pPr>
      <w:r>
        <w:rPr>
          <w:rFonts w:ascii="Calibri" w:hAnsi="Calibri" w:cs="Calibri"/>
          <w:sz w:val="24"/>
          <w:szCs w:val="24"/>
        </w:rPr>
        <w:t>Premissas:</w:t>
      </w:r>
    </w:p>
    <w:p w:rsidR="00D414A4" w:rsidRDefault="00D414A4" w:rsidP="00D414A4">
      <w:pPr>
        <w:jc w:val="both"/>
        <w:rPr>
          <w:rFonts w:ascii="Calibri" w:hAnsi="Calibri" w:cs="Calibri"/>
          <w:sz w:val="24"/>
          <w:szCs w:val="24"/>
        </w:rPr>
      </w:pPr>
    </w:p>
    <w:tbl>
      <w:tblPr>
        <w:tblW w:w="7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1"/>
        <w:gridCol w:w="1197"/>
        <w:gridCol w:w="1197"/>
      </w:tblGrid>
      <w:tr w:rsidR="00D414A4" w:rsidRPr="002E7F4A" w:rsidTr="00B9551E">
        <w:trPr>
          <w:trHeight w:val="315"/>
        </w:trPr>
        <w:tc>
          <w:tcPr>
            <w:tcW w:w="4831" w:type="dxa"/>
            <w:shd w:val="clear" w:color="auto" w:fill="auto"/>
            <w:noWrap/>
            <w:vAlign w:val="bottom"/>
            <w:hideMark/>
          </w:tcPr>
          <w:p w:rsidR="00D414A4" w:rsidRPr="002E7F4A"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Premissas adotadas (final do ano)</w:t>
            </w:r>
          </w:p>
        </w:tc>
        <w:tc>
          <w:tcPr>
            <w:tcW w:w="1197" w:type="dxa"/>
            <w:shd w:val="clear" w:color="auto" w:fill="auto"/>
            <w:noWrap/>
            <w:vAlign w:val="bottom"/>
            <w:hideMark/>
          </w:tcPr>
          <w:p w:rsidR="00D414A4" w:rsidRPr="002E7F4A" w:rsidRDefault="00EA6633" w:rsidP="00B9551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2020</w:t>
            </w:r>
          </w:p>
        </w:tc>
        <w:tc>
          <w:tcPr>
            <w:tcW w:w="1197" w:type="dxa"/>
            <w:shd w:val="clear" w:color="auto" w:fill="auto"/>
            <w:noWrap/>
            <w:vAlign w:val="bottom"/>
            <w:hideMark/>
          </w:tcPr>
          <w:p w:rsidR="00D414A4" w:rsidRPr="002E7F4A" w:rsidRDefault="00D414A4" w:rsidP="00EA6633">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sidR="00EA6633">
              <w:rPr>
                <w:rFonts w:ascii="Calibri" w:hAnsi="Calibri" w:cs="Calibri"/>
                <w:b/>
                <w:bCs/>
                <w:snapToGrid/>
                <w:color w:val="000000"/>
                <w:sz w:val="24"/>
                <w:szCs w:val="24"/>
              </w:rPr>
              <w:t>9</w:t>
            </w:r>
          </w:p>
        </w:tc>
      </w:tr>
      <w:tr w:rsidR="00EA6633" w:rsidRPr="002E7F4A" w:rsidTr="00B9551E">
        <w:trPr>
          <w:trHeight w:val="315"/>
        </w:trPr>
        <w:tc>
          <w:tcPr>
            <w:tcW w:w="4831"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Taxa de desconto (nominal)</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6,524%</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r>
      <w:tr w:rsidR="00EA6633" w:rsidRPr="002E7F4A" w:rsidTr="00B9551E">
        <w:trPr>
          <w:trHeight w:val="315"/>
        </w:trPr>
        <w:tc>
          <w:tcPr>
            <w:tcW w:w="4831"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Retorno esperado dos ativos do plano</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6,524%</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r>
      <w:tr w:rsidR="00EA6633" w:rsidRPr="002E7F4A" w:rsidTr="00B9551E">
        <w:trPr>
          <w:trHeight w:val="315"/>
        </w:trPr>
        <w:tc>
          <w:tcPr>
            <w:tcW w:w="4831"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Taxa nominal de crescimento salarial futuro</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r>
      <w:tr w:rsidR="00EA6633" w:rsidRPr="002E7F4A" w:rsidTr="00B9551E">
        <w:trPr>
          <w:trHeight w:val="315"/>
        </w:trPr>
        <w:tc>
          <w:tcPr>
            <w:tcW w:w="4831"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Indexador do benefício (apenas inflação)</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197" w:type="dxa"/>
            <w:shd w:val="clear" w:color="auto" w:fill="auto"/>
            <w:noWrap/>
            <w:vAlign w:val="bottom"/>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bl>
    <w:p w:rsidR="00D414A4" w:rsidRDefault="00D414A4" w:rsidP="000016CA">
      <w:pPr>
        <w:jc w:val="both"/>
        <w:rPr>
          <w:rFonts w:ascii="Calibri" w:hAnsi="Calibri" w:cs="Calibri"/>
          <w:sz w:val="24"/>
          <w:szCs w:val="24"/>
        </w:rPr>
      </w:pPr>
    </w:p>
    <w:p w:rsidR="009762BE" w:rsidRDefault="009762BE" w:rsidP="009762BE">
      <w:pPr>
        <w:jc w:val="both"/>
        <w:rPr>
          <w:rFonts w:ascii="Calibri" w:hAnsi="Calibri" w:cs="Calibri"/>
          <w:sz w:val="24"/>
          <w:szCs w:val="24"/>
        </w:rPr>
      </w:pPr>
      <w:r>
        <w:rPr>
          <w:rFonts w:ascii="Calibri" w:hAnsi="Calibri" w:cs="Calibri"/>
          <w:sz w:val="24"/>
          <w:szCs w:val="24"/>
        </w:rPr>
        <w:t>Outras Premissas Atuariais Materiais:</w:t>
      </w:r>
    </w:p>
    <w:p w:rsidR="00D414A4" w:rsidRDefault="00D414A4" w:rsidP="009762BE">
      <w:pPr>
        <w:jc w:val="both"/>
        <w:rPr>
          <w:rFonts w:ascii="Calibri" w:hAnsi="Calibri" w:cs="Calibr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339"/>
        <w:gridCol w:w="2339"/>
      </w:tblGrid>
      <w:tr w:rsidR="009762BE" w:rsidRPr="002E7F4A" w:rsidTr="00085185">
        <w:trPr>
          <w:trHeight w:val="315"/>
        </w:trPr>
        <w:tc>
          <w:tcPr>
            <w:tcW w:w="4253" w:type="dxa"/>
            <w:shd w:val="clear" w:color="auto" w:fill="auto"/>
            <w:noWrap/>
            <w:vAlign w:val="bottom"/>
          </w:tcPr>
          <w:p w:rsidR="009762BE" w:rsidRPr="002E7F4A" w:rsidRDefault="009762BE" w:rsidP="00085185">
            <w:pPr>
              <w:widowControl/>
              <w:rPr>
                <w:rFonts w:ascii="Calibri" w:hAnsi="Calibri" w:cs="Calibri"/>
                <w:snapToGrid/>
                <w:color w:val="000000"/>
                <w:sz w:val="24"/>
                <w:szCs w:val="24"/>
              </w:rPr>
            </w:pPr>
          </w:p>
        </w:tc>
        <w:tc>
          <w:tcPr>
            <w:tcW w:w="2339" w:type="dxa"/>
            <w:shd w:val="clear" w:color="auto" w:fill="auto"/>
            <w:noWrap/>
            <w:vAlign w:val="bottom"/>
            <w:hideMark/>
          </w:tcPr>
          <w:p w:rsidR="009762BE" w:rsidRPr="002E7F4A" w:rsidRDefault="00EA6633" w:rsidP="000851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2020</w:t>
            </w:r>
          </w:p>
        </w:tc>
        <w:tc>
          <w:tcPr>
            <w:tcW w:w="2339" w:type="dxa"/>
            <w:shd w:val="clear" w:color="auto" w:fill="auto"/>
            <w:noWrap/>
            <w:vAlign w:val="bottom"/>
            <w:hideMark/>
          </w:tcPr>
          <w:p w:rsidR="009762BE" w:rsidRPr="002E7F4A" w:rsidRDefault="009762BE" w:rsidP="00EA6633">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sidR="00EA6633">
              <w:rPr>
                <w:rFonts w:ascii="Calibri" w:hAnsi="Calibri" w:cs="Calibri"/>
                <w:b/>
                <w:bCs/>
                <w:snapToGrid/>
                <w:color w:val="000000"/>
                <w:sz w:val="24"/>
                <w:szCs w:val="24"/>
              </w:rPr>
              <w:t>9</w:t>
            </w:r>
          </w:p>
        </w:tc>
      </w:tr>
      <w:tr w:rsidR="00EA6633" w:rsidRPr="002E7F4A" w:rsidTr="00085185">
        <w:trPr>
          <w:trHeight w:val="315"/>
        </w:trPr>
        <w:tc>
          <w:tcPr>
            <w:tcW w:w="4253"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Rotatividade projetada dos empregados</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r>
      <w:tr w:rsidR="00EA6633" w:rsidRPr="002E7F4A" w:rsidTr="00085185">
        <w:trPr>
          <w:trHeight w:val="315"/>
        </w:trPr>
        <w:tc>
          <w:tcPr>
            <w:tcW w:w="4253"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Tábua de mortalidade geral</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r>
      <w:tr w:rsidR="00EA6633" w:rsidRPr="002E7F4A" w:rsidTr="00085185">
        <w:trPr>
          <w:trHeight w:val="315"/>
        </w:trPr>
        <w:tc>
          <w:tcPr>
            <w:tcW w:w="4253" w:type="dxa"/>
            <w:shd w:val="clear" w:color="auto" w:fill="auto"/>
            <w:noWrap/>
            <w:vAlign w:val="bottom"/>
          </w:tcPr>
          <w:p w:rsidR="00EA6633"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Tábua de entrada em invalidez</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r>
      <w:tr w:rsidR="00EA6633" w:rsidRPr="002E7F4A" w:rsidTr="00085185">
        <w:trPr>
          <w:trHeight w:val="315"/>
        </w:trPr>
        <w:tc>
          <w:tcPr>
            <w:tcW w:w="4253"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Tábua de mortalidade de inválidos</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proofErr w:type="spellStart"/>
            <w:r>
              <w:rPr>
                <w:rFonts w:ascii="Calibri" w:hAnsi="Calibri" w:cs="Calibri"/>
                <w:snapToGrid/>
                <w:color w:val="000000"/>
                <w:sz w:val="24"/>
                <w:szCs w:val="24"/>
              </w:rPr>
              <w:t>Winklevoss</w:t>
            </w:r>
            <w:proofErr w:type="spellEnd"/>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proofErr w:type="spellStart"/>
            <w:r>
              <w:rPr>
                <w:rFonts w:ascii="Calibri" w:hAnsi="Calibri" w:cs="Calibri"/>
                <w:snapToGrid/>
                <w:color w:val="000000"/>
                <w:sz w:val="24"/>
                <w:szCs w:val="24"/>
              </w:rPr>
              <w:t>Winklevoss</w:t>
            </w:r>
            <w:proofErr w:type="spellEnd"/>
          </w:p>
        </w:tc>
      </w:tr>
      <w:tr w:rsidR="00EA6633" w:rsidRPr="002E7F4A" w:rsidTr="00085185">
        <w:trPr>
          <w:trHeight w:val="315"/>
        </w:trPr>
        <w:tc>
          <w:tcPr>
            <w:tcW w:w="4253" w:type="dxa"/>
            <w:shd w:val="clear" w:color="auto" w:fill="auto"/>
            <w:noWrap/>
            <w:vAlign w:val="bottom"/>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Composição familiar</w:t>
            </w:r>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 xml:space="preserve">Família Padrão </w:t>
            </w:r>
            <w:proofErr w:type="spellStart"/>
            <w:r>
              <w:rPr>
                <w:rFonts w:ascii="Calibri" w:hAnsi="Calibri" w:cs="Calibri"/>
                <w:snapToGrid/>
                <w:color w:val="000000"/>
                <w:sz w:val="24"/>
                <w:szCs w:val="24"/>
              </w:rPr>
              <w:t>Portus</w:t>
            </w:r>
            <w:proofErr w:type="spellEnd"/>
          </w:p>
        </w:tc>
        <w:tc>
          <w:tcPr>
            <w:tcW w:w="2339" w:type="dxa"/>
            <w:shd w:val="clear" w:color="auto" w:fill="auto"/>
            <w:noWrap/>
            <w:vAlign w:val="bottom"/>
          </w:tcPr>
          <w:p w:rsidR="00EA6633" w:rsidRPr="002E7F4A" w:rsidRDefault="00EA6633" w:rsidP="00EA6633">
            <w:pPr>
              <w:widowControl/>
              <w:jc w:val="center"/>
              <w:rPr>
                <w:rFonts w:ascii="Calibri" w:hAnsi="Calibri" w:cs="Calibri"/>
                <w:snapToGrid/>
                <w:color w:val="000000"/>
                <w:sz w:val="24"/>
                <w:szCs w:val="24"/>
              </w:rPr>
            </w:pPr>
            <w:r>
              <w:rPr>
                <w:rFonts w:ascii="Calibri" w:hAnsi="Calibri" w:cs="Calibri"/>
                <w:snapToGrid/>
                <w:color w:val="000000"/>
                <w:sz w:val="24"/>
                <w:szCs w:val="24"/>
              </w:rPr>
              <w:t xml:space="preserve">Família Padrão </w:t>
            </w:r>
            <w:proofErr w:type="spellStart"/>
            <w:r>
              <w:rPr>
                <w:rFonts w:ascii="Calibri" w:hAnsi="Calibri" w:cs="Calibri"/>
                <w:snapToGrid/>
                <w:color w:val="000000"/>
                <w:sz w:val="24"/>
                <w:szCs w:val="24"/>
              </w:rPr>
              <w:t>Portus</w:t>
            </w:r>
            <w:proofErr w:type="spellEnd"/>
          </w:p>
        </w:tc>
      </w:tr>
    </w:tbl>
    <w:p w:rsidR="00CF18A9" w:rsidRDefault="00CF18A9" w:rsidP="000016CA">
      <w:pPr>
        <w:jc w:val="both"/>
        <w:rPr>
          <w:rFonts w:ascii="Calibri" w:hAnsi="Calibri" w:cs="Calibri"/>
          <w:sz w:val="24"/>
          <w:szCs w:val="24"/>
        </w:rPr>
      </w:pPr>
    </w:p>
    <w:p w:rsidR="000016CA" w:rsidRDefault="000016CA" w:rsidP="000016CA">
      <w:pPr>
        <w:jc w:val="both"/>
        <w:rPr>
          <w:rFonts w:ascii="Calibri" w:hAnsi="Calibri" w:cs="Calibri"/>
          <w:sz w:val="24"/>
          <w:szCs w:val="24"/>
        </w:rPr>
      </w:pPr>
      <w:r>
        <w:rPr>
          <w:rFonts w:ascii="Calibri" w:hAnsi="Calibri" w:cs="Calibri"/>
          <w:sz w:val="24"/>
          <w:szCs w:val="24"/>
        </w:rPr>
        <w:t xml:space="preserve">Valor </w:t>
      </w:r>
      <w:r w:rsidR="007B271D">
        <w:rPr>
          <w:rFonts w:ascii="Calibri" w:hAnsi="Calibri" w:cs="Calibri"/>
          <w:sz w:val="24"/>
          <w:szCs w:val="24"/>
        </w:rPr>
        <w:t>J</w:t>
      </w:r>
      <w:r>
        <w:rPr>
          <w:rFonts w:ascii="Calibri" w:hAnsi="Calibri" w:cs="Calibri"/>
          <w:sz w:val="24"/>
          <w:szCs w:val="24"/>
        </w:rPr>
        <w:t xml:space="preserve">usto dos </w:t>
      </w:r>
      <w:r w:rsidR="007B271D">
        <w:rPr>
          <w:rFonts w:ascii="Calibri" w:hAnsi="Calibri" w:cs="Calibri"/>
          <w:sz w:val="24"/>
          <w:szCs w:val="24"/>
        </w:rPr>
        <w:t>A</w:t>
      </w:r>
      <w:r>
        <w:rPr>
          <w:rFonts w:ascii="Calibri" w:hAnsi="Calibri" w:cs="Calibri"/>
          <w:sz w:val="24"/>
          <w:szCs w:val="24"/>
        </w:rPr>
        <w:t xml:space="preserve">tivos do </w:t>
      </w:r>
      <w:r w:rsidR="007B271D">
        <w:rPr>
          <w:rFonts w:ascii="Calibri" w:hAnsi="Calibri" w:cs="Calibri"/>
          <w:sz w:val="24"/>
          <w:szCs w:val="24"/>
        </w:rPr>
        <w:t>P</w:t>
      </w:r>
      <w:r>
        <w:rPr>
          <w:rFonts w:ascii="Calibri" w:hAnsi="Calibri" w:cs="Calibri"/>
          <w:sz w:val="24"/>
          <w:szCs w:val="24"/>
        </w:rPr>
        <w:t>lano:</w:t>
      </w:r>
    </w:p>
    <w:p w:rsidR="00D414A4" w:rsidRDefault="00D414A4" w:rsidP="000016CA">
      <w:pPr>
        <w:jc w:val="both"/>
        <w:rPr>
          <w:rFonts w:ascii="Calibri" w:hAnsi="Calibri" w:cs="Calibri"/>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1346"/>
        <w:gridCol w:w="1347"/>
        <w:gridCol w:w="1347"/>
        <w:gridCol w:w="1347"/>
      </w:tblGrid>
      <w:tr w:rsidR="00905BDE" w:rsidRPr="002E7F4A" w:rsidTr="00014E44">
        <w:trPr>
          <w:trHeight w:val="315"/>
        </w:trPr>
        <w:tc>
          <w:tcPr>
            <w:tcW w:w="3969" w:type="dxa"/>
            <w:shd w:val="clear" w:color="auto" w:fill="auto"/>
            <w:noWrap/>
            <w:vAlign w:val="center"/>
          </w:tcPr>
          <w:p w:rsidR="00905BDE" w:rsidRDefault="007B271D" w:rsidP="00232E4F">
            <w:pPr>
              <w:widowControl/>
              <w:rPr>
                <w:rFonts w:ascii="Calibri" w:hAnsi="Calibri" w:cs="Calibri"/>
                <w:snapToGrid/>
                <w:color w:val="000000"/>
                <w:sz w:val="24"/>
                <w:szCs w:val="24"/>
              </w:rPr>
            </w:pPr>
            <w:r>
              <w:rPr>
                <w:rFonts w:ascii="Calibri" w:hAnsi="Calibri" w:cs="Calibri"/>
                <w:snapToGrid/>
                <w:color w:val="000000"/>
                <w:sz w:val="24"/>
                <w:szCs w:val="24"/>
              </w:rPr>
              <w:t>Ativos</w:t>
            </w:r>
          </w:p>
        </w:tc>
        <w:tc>
          <w:tcPr>
            <w:tcW w:w="2693" w:type="dxa"/>
            <w:gridSpan w:val="2"/>
            <w:shd w:val="clear" w:color="auto" w:fill="auto"/>
            <w:noWrap/>
            <w:vAlign w:val="center"/>
          </w:tcPr>
          <w:p w:rsidR="00905BDE" w:rsidRPr="002E7F4A" w:rsidRDefault="00EA6633" w:rsidP="00232E4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2020</w:t>
            </w:r>
          </w:p>
        </w:tc>
        <w:tc>
          <w:tcPr>
            <w:tcW w:w="2694" w:type="dxa"/>
            <w:gridSpan w:val="2"/>
            <w:vAlign w:val="center"/>
          </w:tcPr>
          <w:p w:rsidR="00905BDE" w:rsidRPr="002E7F4A" w:rsidRDefault="00905BDE" w:rsidP="00232E4F">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sidR="00EA6633">
              <w:rPr>
                <w:rFonts w:ascii="Calibri" w:hAnsi="Calibri" w:cs="Calibri"/>
                <w:b/>
                <w:bCs/>
                <w:snapToGrid/>
                <w:color w:val="000000"/>
                <w:sz w:val="24"/>
                <w:szCs w:val="24"/>
              </w:rPr>
              <w:t>9</w:t>
            </w:r>
          </w:p>
        </w:tc>
      </w:tr>
      <w:tr w:rsidR="000016CA" w:rsidRPr="00905BDE" w:rsidTr="00905BDE">
        <w:trPr>
          <w:trHeight w:val="315"/>
        </w:trPr>
        <w:tc>
          <w:tcPr>
            <w:tcW w:w="3969" w:type="dxa"/>
            <w:shd w:val="clear" w:color="auto" w:fill="auto"/>
            <w:noWrap/>
            <w:vAlign w:val="center"/>
          </w:tcPr>
          <w:p w:rsidR="000016CA" w:rsidRPr="002E7F4A" w:rsidRDefault="00232E4F" w:rsidP="00014E44">
            <w:pPr>
              <w:widowControl/>
              <w:rPr>
                <w:rFonts w:ascii="Calibri" w:hAnsi="Calibri" w:cs="Calibri"/>
                <w:snapToGrid/>
                <w:color w:val="000000"/>
                <w:sz w:val="24"/>
                <w:szCs w:val="24"/>
              </w:rPr>
            </w:pPr>
            <w:r>
              <w:rPr>
                <w:rFonts w:ascii="Calibri" w:hAnsi="Calibri" w:cs="Calibri"/>
                <w:snapToGrid/>
                <w:color w:val="000000"/>
                <w:sz w:val="24"/>
                <w:szCs w:val="24"/>
              </w:rPr>
              <w:t xml:space="preserve">Principais </w:t>
            </w:r>
            <w:r w:rsidR="00014E44">
              <w:rPr>
                <w:rFonts w:ascii="Calibri" w:hAnsi="Calibri" w:cs="Calibri"/>
                <w:snapToGrid/>
                <w:color w:val="000000"/>
                <w:sz w:val="24"/>
                <w:szCs w:val="24"/>
              </w:rPr>
              <w:t>C</w:t>
            </w:r>
            <w:r>
              <w:rPr>
                <w:rFonts w:ascii="Calibri" w:hAnsi="Calibri" w:cs="Calibri"/>
                <w:snapToGrid/>
                <w:color w:val="000000"/>
                <w:sz w:val="24"/>
                <w:szCs w:val="24"/>
              </w:rPr>
              <w:t xml:space="preserve">ategorias de </w:t>
            </w:r>
            <w:r w:rsidR="00014E44">
              <w:rPr>
                <w:rFonts w:ascii="Calibri" w:hAnsi="Calibri" w:cs="Calibri"/>
                <w:snapToGrid/>
                <w:color w:val="000000"/>
                <w:sz w:val="24"/>
                <w:szCs w:val="24"/>
              </w:rPr>
              <w:t>A</w:t>
            </w:r>
            <w:r>
              <w:rPr>
                <w:rFonts w:ascii="Calibri" w:hAnsi="Calibri" w:cs="Calibri"/>
                <w:snapToGrid/>
                <w:color w:val="000000"/>
                <w:sz w:val="24"/>
                <w:szCs w:val="24"/>
              </w:rPr>
              <w:t>tivos</w:t>
            </w:r>
          </w:p>
        </w:tc>
        <w:tc>
          <w:tcPr>
            <w:tcW w:w="1346" w:type="dxa"/>
            <w:shd w:val="clear" w:color="auto" w:fill="auto"/>
            <w:noWrap/>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shd w:val="clear" w:color="auto" w:fill="auto"/>
            <w:noWrap/>
            <w:vAlign w:val="center"/>
            <w:hideMark/>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Disponível</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556</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0,199%</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658</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0,18%</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Realizável</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218.273</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78,269%</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57.103</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15,43%</w:t>
            </w:r>
          </w:p>
        </w:tc>
      </w:tr>
      <w:tr w:rsidR="00EA6633" w:rsidRPr="002E7F4A" w:rsidTr="00232E4F">
        <w:trPr>
          <w:trHeight w:val="315"/>
        </w:trPr>
        <w:tc>
          <w:tcPr>
            <w:tcW w:w="3969" w:type="dxa"/>
            <w:shd w:val="clear" w:color="auto" w:fill="auto"/>
            <w:noWrap/>
            <w:vAlign w:val="center"/>
          </w:tcPr>
          <w:p w:rsidR="00EA6633"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Títulos Públicos</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38.748</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10,46%</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Ações</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17.145</w:t>
            </w:r>
          </w:p>
        </w:tc>
        <w:tc>
          <w:tcPr>
            <w:tcW w:w="1347" w:type="dxa"/>
            <w:shd w:val="clear" w:color="auto" w:fill="auto"/>
            <w:noWrap/>
            <w:vAlign w:val="center"/>
          </w:tcPr>
          <w:p w:rsidR="00EA6633"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6,148%</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107.203</w:t>
            </w:r>
          </w:p>
        </w:tc>
        <w:tc>
          <w:tcPr>
            <w:tcW w:w="1347" w:type="dxa"/>
            <w:vAlign w:val="center"/>
          </w:tcPr>
          <w:p w:rsidR="00EA6633"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28,96%</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Fundos de Investimento</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20.336</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7,292%</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39.860</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10,77%</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ind w:firstLine="214"/>
              <w:rPr>
                <w:rFonts w:ascii="Calibri" w:hAnsi="Calibri" w:cs="Calibri"/>
                <w:snapToGrid/>
                <w:color w:val="000000"/>
                <w:sz w:val="24"/>
                <w:szCs w:val="24"/>
              </w:rPr>
            </w:pPr>
            <w:r>
              <w:rPr>
                <w:rFonts w:ascii="Calibri" w:hAnsi="Calibri" w:cs="Calibri"/>
                <w:snapToGrid/>
                <w:color w:val="000000"/>
                <w:sz w:val="24"/>
                <w:szCs w:val="24"/>
              </w:rPr>
              <w:t>Renda Fixa</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20.293</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39.618</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ind w:firstLine="214"/>
              <w:rPr>
                <w:rFonts w:ascii="Calibri" w:hAnsi="Calibri" w:cs="Calibri"/>
                <w:snapToGrid/>
                <w:color w:val="000000"/>
                <w:sz w:val="24"/>
                <w:szCs w:val="24"/>
              </w:rPr>
            </w:pPr>
            <w:r>
              <w:rPr>
                <w:rFonts w:ascii="Calibri" w:hAnsi="Calibri" w:cs="Calibri"/>
                <w:snapToGrid/>
                <w:color w:val="000000"/>
                <w:sz w:val="24"/>
                <w:szCs w:val="24"/>
              </w:rPr>
              <w:t>Imobiliário</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43</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242</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Investimentos Imobiliários</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20.658</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7,41%</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115.982</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31,33%</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Empréstimos e Financiamentos</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Outros – Depósitos Judiciários</w:t>
            </w:r>
          </w:p>
        </w:tc>
        <w:tc>
          <w:tcPr>
            <w:tcW w:w="1346"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1.906</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0,68%</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10.627</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2,87%</w:t>
            </w:r>
          </w:p>
        </w:tc>
      </w:tr>
      <w:tr w:rsidR="00EA6633" w:rsidRPr="002E7F4A" w:rsidTr="00232E4F">
        <w:trPr>
          <w:trHeight w:val="315"/>
        </w:trPr>
        <w:tc>
          <w:tcPr>
            <w:tcW w:w="3969" w:type="dxa"/>
            <w:shd w:val="clear" w:color="auto" w:fill="auto"/>
            <w:noWrap/>
            <w:vAlign w:val="center"/>
          </w:tcPr>
          <w:p w:rsidR="00EA6633" w:rsidRPr="00F079A2" w:rsidRDefault="00EA6633" w:rsidP="00EA6633">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346" w:type="dxa"/>
            <w:shd w:val="clear" w:color="auto" w:fill="auto"/>
            <w:noWrap/>
            <w:vAlign w:val="center"/>
          </w:tcPr>
          <w:p w:rsidR="00EA6633" w:rsidRPr="002E7F4A" w:rsidRDefault="00EA6633" w:rsidP="00CF18A9">
            <w:pPr>
              <w:widowControl/>
              <w:jc w:val="right"/>
              <w:rPr>
                <w:rFonts w:ascii="Calibri" w:hAnsi="Calibri" w:cs="Calibri"/>
                <w:snapToGrid/>
                <w:color w:val="000000"/>
                <w:sz w:val="24"/>
                <w:szCs w:val="24"/>
              </w:rPr>
            </w:pPr>
            <w:r>
              <w:rPr>
                <w:rFonts w:ascii="Calibri" w:hAnsi="Calibri" w:cs="Calibri"/>
                <w:snapToGrid/>
                <w:color w:val="000000"/>
                <w:sz w:val="24"/>
                <w:szCs w:val="24"/>
              </w:rPr>
              <w:t>278.87</w:t>
            </w:r>
            <w:r w:rsidR="00CF18A9">
              <w:rPr>
                <w:rFonts w:ascii="Calibri" w:hAnsi="Calibri" w:cs="Calibri"/>
                <w:snapToGrid/>
                <w:color w:val="000000"/>
                <w:sz w:val="24"/>
                <w:szCs w:val="24"/>
              </w:rPr>
              <w:t>4</w:t>
            </w:r>
          </w:p>
        </w:tc>
        <w:tc>
          <w:tcPr>
            <w:tcW w:w="1347" w:type="dxa"/>
            <w:shd w:val="clear" w:color="auto" w:fill="auto"/>
            <w:noWrap/>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347" w:type="dxa"/>
            <w:vAlign w:val="center"/>
          </w:tcPr>
          <w:p w:rsidR="00EA6633" w:rsidRPr="002E7F4A" w:rsidRDefault="00EA6633" w:rsidP="00EA6633">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r>
    </w:tbl>
    <w:p w:rsidR="007B271D" w:rsidRDefault="007B271D" w:rsidP="00E70A67">
      <w:pPr>
        <w:jc w:val="both"/>
        <w:rPr>
          <w:rFonts w:ascii="Calibri" w:hAnsi="Calibri" w:cs="Calibri"/>
          <w:sz w:val="24"/>
          <w:szCs w:val="2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1417"/>
        <w:gridCol w:w="1418"/>
      </w:tblGrid>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p>
        </w:tc>
        <w:tc>
          <w:tcPr>
            <w:tcW w:w="1417" w:type="dxa"/>
            <w:shd w:val="clear" w:color="auto" w:fill="auto"/>
            <w:noWrap/>
            <w:vAlign w:val="center"/>
          </w:tcPr>
          <w:p w:rsidR="007B271D" w:rsidRPr="007B271D" w:rsidRDefault="00044353" w:rsidP="007B271D">
            <w:pPr>
              <w:widowControl/>
              <w:jc w:val="center"/>
              <w:rPr>
                <w:rFonts w:ascii="Calibri" w:hAnsi="Calibri" w:cs="Calibri"/>
                <w:b/>
                <w:snapToGrid/>
                <w:color w:val="000000"/>
                <w:sz w:val="24"/>
                <w:szCs w:val="24"/>
              </w:rPr>
            </w:pPr>
            <w:r>
              <w:rPr>
                <w:rFonts w:ascii="Calibri" w:hAnsi="Calibri" w:cs="Calibri"/>
                <w:b/>
                <w:snapToGrid/>
                <w:color w:val="000000"/>
                <w:sz w:val="24"/>
                <w:szCs w:val="24"/>
              </w:rPr>
              <w:t>2020</w:t>
            </w:r>
          </w:p>
        </w:tc>
        <w:tc>
          <w:tcPr>
            <w:tcW w:w="1418" w:type="dxa"/>
            <w:vAlign w:val="center"/>
          </w:tcPr>
          <w:p w:rsidR="007B271D" w:rsidRPr="007B271D" w:rsidRDefault="007B271D" w:rsidP="00044353">
            <w:pPr>
              <w:widowControl/>
              <w:jc w:val="center"/>
              <w:rPr>
                <w:rFonts w:ascii="Calibri" w:hAnsi="Calibri" w:cs="Calibri"/>
                <w:b/>
                <w:snapToGrid/>
                <w:color w:val="000000"/>
                <w:sz w:val="24"/>
                <w:szCs w:val="24"/>
              </w:rPr>
            </w:pPr>
            <w:r w:rsidRPr="007B271D">
              <w:rPr>
                <w:rFonts w:ascii="Calibri" w:hAnsi="Calibri" w:cs="Calibri"/>
                <w:b/>
                <w:snapToGrid/>
                <w:color w:val="000000"/>
                <w:sz w:val="24"/>
                <w:szCs w:val="24"/>
              </w:rPr>
              <w:t>201</w:t>
            </w:r>
            <w:r w:rsidR="00044353">
              <w:rPr>
                <w:rFonts w:ascii="Calibri" w:hAnsi="Calibri" w:cs="Calibri"/>
                <w:b/>
                <w:snapToGrid/>
                <w:color w:val="000000"/>
                <w:sz w:val="24"/>
                <w:szCs w:val="24"/>
              </w:rPr>
              <w:t>9</w:t>
            </w:r>
          </w:p>
        </w:tc>
      </w:tr>
      <w:tr w:rsidR="00044353" w:rsidRPr="002E7F4A"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278.875</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r>
      <w:tr w:rsidR="00044353" w:rsidRPr="00905BDE" w:rsidTr="007B271D">
        <w:trPr>
          <w:trHeight w:val="315"/>
        </w:trPr>
        <w:tc>
          <w:tcPr>
            <w:tcW w:w="4253" w:type="dxa"/>
            <w:shd w:val="clear" w:color="auto" w:fill="auto"/>
            <w:noWrap/>
            <w:vAlign w:val="center"/>
          </w:tcPr>
          <w:p w:rsidR="00044353"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 Ajuste a Valor de Mercado</w:t>
            </w:r>
          </w:p>
        </w:tc>
        <w:tc>
          <w:tcPr>
            <w:tcW w:w="1417" w:type="dxa"/>
            <w:shd w:val="clear" w:color="auto" w:fill="auto"/>
            <w:noWrap/>
            <w:vAlign w:val="center"/>
          </w:tcPr>
          <w:p w:rsidR="00044353" w:rsidRPr="00905BDE" w:rsidRDefault="00044353" w:rsidP="00044353">
            <w:pPr>
              <w:widowControl/>
              <w:jc w:val="right"/>
              <w:rPr>
                <w:rFonts w:ascii="Calibri" w:hAnsi="Calibri" w:cs="Calibri"/>
                <w:bCs/>
                <w:snapToGrid/>
                <w:color w:val="000000"/>
                <w:sz w:val="24"/>
                <w:szCs w:val="24"/>
              </w:rPr>
            </w:pPr>
            <w:r>
              <w:rPr>
                <w:rFonts w:ascii="Calibri" w:hAnsi="Calibri" w:cs="Calibri"/>
                <w:bCs/>
                <w:snapToGrid/>
                <w:color w:val="000000"/>
                <w:sz w:val="24"/>
                <w:szCs w:val="24"/>
              </w:rPr>
              <w:t>237</w:t>
            </w:r>
          </w:p>
        </w:tc>
        <w:tc>
          <w:tcPr>
            <w:tcW w:w="1418" w:type="dxa"/>
            <w:vAlign w:val="center"/>
          </w:tcPr>
          <w:p w:rsidR="00044353" w:rsidRDefault="00044353" w:rsidP="00044353">
            <w:pPr>
              <w:widowControl/>
              <w:jc w:val="right"/>
              <w:rPr>
                <w:rFonts w:ascii="Calibri" w:hAnsi="Calibri" w:cs="Calibri"/>
                <w:bCs/>
                <w:snapToGrid/>
                <w:color w:val="000000"/>
                <w:sz w:val="24"/>
                <w:szCs w:val="24"/>
              </w:rPr>
            </w:pPr>
            <w:r>
              <w:rPr>
                <w:rFonts w:ascii="Calibri" w:hAnsi="Calibri" w:cs="Calibri"/>
                <w:bCs/>
                <w:snapToGrid/>
                <w:color w:val="000000"/>
                <w:sz w:val="24"/>
                <w:szCs w:val="24"/>
              </w:rPr>
              <w:t>0</w:t>
            </w:r>
          </w:p>
        </w:tc>
      </w:tr>
      <w:tr w:rsidR="00044353" w:rsidRPr="00905BDE" w:rsidTr="007B271D">
        <w:trPr>
          <w:trHeight w:val="315"/>
        </w:trPr>
        <w:tc>
          <w:tcPr>
            <w:tcW w:w="4253" w:type="dxa"/>
            <w:shd w:val="clear" w:color="auto" w:fill="auto"/>
            <w:noWrap/>
            <w:vAlign w:val="center"/>
          </w:tcPr>
          <w:p w:rsidR="00044353" w:rsidRPr="002E7F4A"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Contribuições Contratadas</w:t>
            </w:r>
          </w:p>
        </w:tc>
        <w:tc>
          <w:tcPr>
            <w:tcW w:w="1417" w:type="dxa"/>
            <w:shd w:val="clear" w:color="auto" w:fill="auto"/>
            <w:noWrap/>
            <w:vAlign w:val="center"/>
          </w:tcPr>
          <w:p w:rsidR="00044353" w:rsidRPr="00905BDE" w:rsidRDefault="00044353" w:rsidP="00044353">
            <w:pPr>
              <w:widowControl/>
              <w:jc w:val="right"/>
              <w:rPr>
                <w:rFonts w:ascii="Calibri" w:hAnsi="Calibri" w:cs="Calibri"/>
                <w:bCs/>
                <w:snapToGrid/>
                <w:color w:val="000000"/>
                <w:sz w:val="24"/>
                <w:szCs w:val="24"/>
              </w:rPr>
            </w:pPr>
            <w:r>
              <w:rPr>
                <w:rFonts w:ascii="Calibri" w:hAnsi="Calibri" w:cs="Calibri"/>
                <w:bCs/>
                <w:snapToGrid/>
                <w:color w:val="000000"/>
                <w:sz w:val="24"/>
                <w:szCs w:val="24"/>
              </w:rPr>
              <w:t>(205.329)</w:t>
            </w:r>
          </w:p>
        </w:tc>
        <w:tc>
          <w:tcPr>
            <w:tcW w:w="1418" w:type="dxa"/>
            <w:vAlign w:val="center"/>
          </w:tcPr>
          <w:p w:rsidR="00044353" w:rsidRPr="00905BDE" w:rsidRDefault="00044353" w:rsidP="00044353">
            <w:pPr>
              <w:widowControl/>
              <w:jc w:val="right"/>
              <w:rPr>
                <w:rFonts w:ascii="Calibri" w:hAnsi="Calibri" w:cs="Calibri"/>
                <w:bCs/>
                <w:snapToGrid/>
                <w:color w:val="000000"/>
                <w:sz w:val="24"/>
                <w:szCs w:val="24"/>
              </w:rPr>
            </w:pPr>
            <w:r>
              <w:rPr>
                <w:rFonts w:ascii="Calibri" w:hAnsi="Calibri" w:cs="Calibri"/>
                <w:bCs/>
                <w:snapToGrid/>
                <w:color w:val="000000"/>
                <w:sz w:val="24"/>
                <w:szCs w:val="24"/>
              </w:rPr>
              <w:t>0</w:t>
            </w:r>
          </w:p>
        </w:tc>
      </w:tr>
      <w:tr w:rsidR="00044353" w:rsidRPr="002E7F4A" w:rsidTr="007B271D">
        <w:trPr>
          <w:trHeight w:val="315"/>
        </w:trPr>
        <w:tc>
          <w:tcPr>
            <w:tcW w:w="4253" w:type="dxa"/>
            <w:shd w:val="clear" w:color="auto" w:fill="auto"/>
            <w:noWrap/>
            <w:vAlign w:val="center"/>
          </w:tcPr>
          <w:p w:rsidR="00044353" w:rsidRPr="002E7F4A"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Contribuições Contratadas em Atraso</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(144)</w:t>
            </w:r>
          </w:p>
        </w:tc>
        <w:tc>
          <w:tcPr>
            <w:tcW w:w="1418" w:type="dxa"/>
            <w:vAlign w:val="center"/>
          </w:tcPr>
          <w:p w:rsidR="00044353" w:rsidRDefault="00044353" w:rsidP="00044353">
            <w:pPr>
              <w:widowControl/>
              <w:jc w:val="right"/>
              <w:rPr>
                <w:rFonts w:ascii="Calibri" w:hAnsi="Calibri" w:cs="Calibri"/>
                <w:snapToGrid/>
                <w:color w:val="000000"/>
                <w:sz w:val="24"/>
                <w:szCs w:val="24"/>
              </w:rPr>
            </w:pPr>
            <w:r>
              <w:rPr>
                <w:rFonts w:ascii="Calibri" w:hAnsi="Calibri" w:cs="Calibri"/>
                <w:bCs/>
                <w:snapToGrid/>
                <w:color w:val="000000"/>
                <w:sz w:val="24"/>
                <w:szCs w:val="24"/>
              </w:rPr>
              <w:t>(8.828)</w:t>
            </w:r>
          </w:p>
        </w:tc>
      </w:tr>
      <w:tr w:rsidR="00044353" w:rsidRPr="002E7F4A"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Uso Próprio</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(1.005)</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(5.654)</w:t>
            </w:r>
          </w:p>
        </w:tc>
      </w:tr>
      <w:tr w:rsidR="00044353" w:rsidRPr="002E7F4A"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Operacional</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(754)</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(18.652)</w:t>
            </w:r>
          </w:p>
        </w:tc>
      </w:tr>
      <w:tr w:rsidR="00044353" w:rsidRPr="002E7F4A"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Contingencial</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(3.441)</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(15.680)</w:t>
            </w:r>
          </w:p>
        </w:tc>
      </w:tr>
      <w:tr w:rsidR="00044353" w:rsidRPr="002E7F4A" w:rsidTr="007B271D">
        <w:trPr>
          <w:trHeight w:val="315"/>
        </w:trPr>
        <w:tc>
          <w:tcPr>
            <w:tcW w:w="4253" w:type="dxa"/>
            <w:shd w:val="clear" w:color="auto" w:fill="auto"/>
            <w:noWrap/>
            <w:vAlign w:val="center"/>
          </w:tcPr>
          <w:p w:rsidR="00044353"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xml:space="preserve">–) Fundo </w:t>
            </w:r>
            <w:proofErr w:type="spellStart"/>
            <w:r>
              <w:rPr>
                <w:rFonts w:ascii="Calibri" w:hAnsi="Calibri" w:cs="Calibri"/>
                <w:sz w:val="24"/>
                <w:szCs w:val="24"/>
              </w:rPr>
              <w:t>Previdencial</w:t>
            </w:r>
            <w:proofErr w:type="spellEnd"/>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(8.419)</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(40.348)</w:t>
            </w:r>
          </w:p>
        </w:tc>
      </w:tr>
      <w:tr w:rsidR="00044353"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de Investimento</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(6.798)</w:t>
            </w:r>
          </w:p>
        </w:tc>
      </w:tr>
      <w:tr w:rsidR="00044353"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Administrativo</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(8.450)</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(69.664)</w:t>
            </w:r>
          </w:p>
        </w:tc>
      </w:tr>
      <w:tr w:rsidR="00044353"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51.570</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204.558</w:t>
            </w:r>
          </w:p>
        </w:tc>
      </w:tr>
      <w:tr w:rsidR="00044353" w:rsidTr="007B271D">
        <w:trPr>
          <w:trHeight w:val="315"/>
        </w:trPr>
        <w:tc>
          <w:tcPr>
            <w:tcW w:w="4253" w:type="dxa"/>
            <w:shd w:val="clear" w:color="auto" w:fill="auto"/>
            <w:noWrap/>
            <w:vAlign w:val="center"/>
          </w:tcPr>
          <w:p w:rsidR="00044353" w:rsidRPr="00F079A2"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Percentual de Rateio</w:t>
            </w:r>
          </w:p>
        </w:tc>
        <w:tc>
          <w:tcPr>
            <w:tcW w:w="1417" w:type="dxa"/>
            <w:shd w:val="clear" w:color="auto" w:fill="auto"/>
            <w:noWrap/>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N/A</w:t>
            </w:r>
          </w:p>
        </w:tc>
        <w:tc>
          <w:tcPr>
            <w:tcW w:w="1418" w:type="dxa"/>
            <w:vAlign w:val="center"/>
          </w:tcPr>
          <w:p w:rsidR="00044353" w:rsidRPr="002E7F4A"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r>
      <w:tr w:rsidR="00044353" w:rsidTr="007B271D">
        <w:trPr>
          <w:trHeight w:val="315"/>
        </w:trPr>
        <w:tc>
          <w:tcPr>
            <w:tcW w:w="4253" w:type="dxa"/>
            <w:shd w:val="clear" w:color="auto" w:fill="auto"/>
            <w:noWrap/>
            <w:vAlign w:val="center"/>
          </w:tcPr>
          <w:p w:rsidR="00044353" w:rsidRDefault="00044353" w:rsidP="0004435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417" w:type="dxa"/>
            <w:shd w:val="clear" w:color="auto" w:fill="auto"/>
            <w:noWrap/>
            <w:vAlign w:val="center"/>
          </w:tcPr>
          <w:p w:rsidR="00044353"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51.570</w:t>
            </w:r>
          </w:p>
        </w:tc>
        <w:tc>
          <w:tcPr>
            <w:tcW w:w="1418" w:type="dxa"/>
            <w:vAlign w:val="center"/>
          </w:tcPr>
          <w:p w:rsidR="00044353"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r>
    </w:tbl>
    <w:p w:rsidR="007B271D" w:rsidRDefault="007B271D" w:rsidP="00E70A67">
      <w:pPr>
        <w:jc w:val="both"/>
        <w:rPr>
          <w:rFonts w:ascii="Calibri" w:hAnsi="Calibri" w:cs="Calibri"/>
          <w:sz w:val="24"/>
          <w:szCs w:val="24"/>
        </w:rPr>
      </w:pPr>
    </w:p>
    <w:p w:rsidR="00643ADC" w:rsidRDefault="00643ADC" w:rsidP="00643ADC">
      <w:pPr>
        <w:jc w:val="both"/>
        <w:rPr>
          <w:rFonts w:ascii="Calibri" w:hAnsi="Calibri" w:cs="Calibri"/>
          <w:sz w:val="24"/>
          <w:szCs w:val="24"/>
        </w:rPr>
      </w:pPr>
      <w:r>
        <w:rPr>
          <w:rFonts w:ascii="Calibri" w:hAnsi="Calibri" w:cs="Calibri"/>
          <w:sz w:val="24"/>
          <w:szCs w:val="24"/>
        </w:rPr>
        <w:t>Conciliação da Obrigação de Benefício Definido – Segregado:</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1772"/>
        <w:gridCol w:w="1772"/>
      </w:tblGrid>
      <w:tr w:rsidR="00643ADC" w:rsidRPr="002E7F4A" w:rsidTr="00643ADC">
        <w:trPr>
          <w:trHeight w:val="315"/>
        </w:trPr>
        <w:tc>
          <w:tcPr>
            <w:tcW w:w="5387" w:type="dxa"/>
            <w:shd w:val="clear" w:color="auto" w:fill="auto"/>
            <w:noWrap/>
            <w:vAlign w:val="bottom"/>
          </w:tcPr>
          <w:p w:rsidR="00643ADC" w:rsidRPr="002E7F4A" w:rsidRDefault="00643ADC" w:rsidP="00FC72C3">
            <w:pPr>
              <w:widowControl/>
              <w:rPr>
                <w:rFonts w:ascii="Calibri" w:hAnsi="Calibri" w:cs="Calibri"/>
                <w:snapToGrid/>
                <w:color w:val="000000"/>
                <w:sz w:val="24"/>
                <w:szCs w:val="24"/>
              </w:rPr>
            </w:pPr>
          </w:p>
        </w:tc>
        <w:tc>
          <w:tcPr>
            <w:tcW w:w="1772"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Ativo (BAC)</w:t>
            </w:r>
          </w:p>
        </w:tc>
        <w:tc>
          <w:tcPr>
            <w:tcW w:w="1772"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Inativo (BC)</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início do ano</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187.987</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224.665</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 serviço corrente (parte patronal)</w:t>
            </w:r>
          </w:p>
        </w:tc>
        <w:tc>
          <w:tcPr>
            <w:tcW w:w="1772" w:type="dxa"/>
            <w:shd w:val="clear" w:color="auto" w:fill="auto"/>
            <w:noWrap/>
            <w:vAlign w:val="bottom"/>
          </w:tcPr>
          <w:p w:rsidR="00643ADC" w:rsidRPr="002E7F4A" w:rsidRDefault="00643ADC"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044353">
              <w:rPr>
                <w:rFonts w:ascii="Calibri" w:hAnsi="Calibri" w:cs="Calibri"/>
                <w:snapToGrid/>
                <w:color w:val="000000"/>
                <w:sz w:val="24"/>
                <w:szCs w:val="24"/>
              </w:rPr>
              <w:t>549</w:t>
            </w:r>
            <w:r>
              <w:rPr>
                <w:rFonts w:ascii="Calibri" w:hAnsi="Calibri" w:cs="Calibri"/>
                <w:snapToGrid/>
                <w:color w:val="000000"/>
                <w:sz w:val="24"/>
                <w:szCs w:val="24"/>
              </w:rPr>
              <w:t>)</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dos juros</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3.411</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4.017</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Contribuições de participantes do plano</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1.001</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Benefícios pagos</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72" w:type="dxa"/>
            <w:shd w:val="clear" w:color="auto" w:fill="auto"/>
            <w:noWrap/>
            <w:vAlign w:val="bottom"/>
          </w:tcPr>
          <w:p w:rsidR="00643ADC"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(9.379</w:t>
            </w:r>
            <w:r w:rsidR="00643ADC">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(Ganho) / perda atuarial</w:t>
            </w:r>
          </w:p>
        </w:tc>
        <w:tc>
          <w:tcPr>
            <w:tcW w:w="1772" w:type="dxa"/>
            <w:shd w:val="clear" w:color="auto" w:fill="auto"/>
            <w:noWrap/>
            <w:vAlign w:val="bottom"/>
          </w:tcPr>
          <w:p w:rsidR="00643ADC" w:rsidRPr="002E7F4A" w:rsidRDefault="00643ADC"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044353">
              <w:rPr>
                <w:rFonts w:ascii="Calibri" w:hAnsi="Calibri" w:cs="Calibri"/>
                <w:snapToGrid/>
                <w:color w:val="000000"/>
                <w:sz w:val="24"/>
                <w:szCs w:val="24"/>
              </w:rPr>
              <w:t>23.278</w:t>
            </w:r>
            <w:r>
              <w:rPr>
                <w:rFonts w:ascii="Calibri" w:hAnsi="Calibri" w:cs="Calibri"/>
                <w:snapToGrid/>
                <w:color w:val="000000"/>
                <w:sz w:val="24"/>
                <w:szCs w:val="24"/>
              </w:rPr>
              <w:t>)</w:t>
            </w:r>
          </w:p>
        </w:tc>
        <w:tc>
          <w:tcPr>
            <w:tcW w:w="1772" w:type="dxa"/>
            <w:shd w:val="clear" w:color="auto" w:fill="auto"/>
            <w:noWrap/>
            <w:vAlign w:val="bottom"/>
          </w:tcPr>
          <w:p w:rsidR="00643ADC" w:rsidRDefault="00044353" w:rsidP="00044353">
            <w:pPr>
              <w:widowControl/>
              <w:jc w:val="right"/>
              <w:rPr>
                <w:rFonts w:ascii="Calibri" w:hAnsi="Calibri" w:cs="Calibri"/>
                <w:snapToGrid/>
                <w:color w:val="000000"/>
                <w:sz w:val="24"/>
                <w:szCs w:val="24"/>
              </w:rPr>
            </w:pPr>
            <w:r>
              <w:rPr>
                <w:rFonts w:ascii="Calibri" w:hAnsi="Calibri" w:cs="Calibri"/>
                <w:snapToGrid/>
                <w:color w:val="000000"/>
                <w:sz w:val="24"/>
                <w:szCs w:val="24"/>
              </w:rPr>
              <w:t>35.249</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mudança de premissas</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13.110</w:t>
            </w:r>
          </w:p>
        </w:tc>
        <w:tc>
          <w:tcPr>
            <w:tcW w:w="1772" w:type="dxa"/>
            <w:shd w:val="clear" w:color="auto" w:fill="auto"/>
            <w:noWrap/>
            <w:vAlign w:val="bottom"/>
          </w:tcPr>
          <w:p w:rsidR="00643ADC"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16.197</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ajuste de experiência</w:t>
            </w:r>
          </w:p>
        </w:tc>
        <w:tc>
          <w:tcPr>
            <w:tcW w:w="1772" w:type="dxa"/>
            <w:shd w:val="clear" w:color="auto" w:fill="auto"/>
            <w:noWrap/>
            <w:vAlign w:val="bottom"/>
          </w:tcPr>
          <w:p w:rsidR="00643ADC" w:rsidRPr="002E7F4A" w:rsidRDefault="00044353"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(36.388)</w:t>
            </w:r>
          </w:p>
        </w:tc>
        <w:tc>
          <w:tcPr>
            <w:tcW w:w="1772" w:type="dxa"/>
            <w:shd w:val="clear" w:color="auto" w:fill="auto"/>
            <w:noWrap/>
            <w:vAlign w:val="bottom"/>
          </w:tcPr>
          <w:p w:rsidR="00643ADC" w:rsidRDefault="00CF18A9"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19.052</w:t>
            </w:r>
          </w:p>
        </w:tc>
      </w:tr>
      <w:tr w:rsidR="00CF18A9" w:rsidRPr="002E7F4A" w:rsidTr="00643ADC">
        <w:trPr>
          <w:trHeight w:val="315"/>
        </w:trPr>
        <w:tc>
          <w:tcPr>
            <w:tcW w:w="5387" w:type="dxa"/>
            <w:shd w:val="clear" w:color="auto" w:fill="auto"/>
            <w:noWrap/>
            <w:vAlign w:val="bottom"/>
          </w:tcPr>
          <w:p w:rsidR="00CF18A9" w:rsidRDefault="00CF18A9" w:rsidP="00643ADC">
            <w:pPr>
              <w:widowControl/>
              <w:rPr>
                <w:rFonts w:ascii="Calibri" w:hAnsi="Calibri" w:cs="Calibri"/>
                <w:snapToGrid/>
                <w:color w:val="000000"/>
                <w:sz w:val="24"/>
                <w:szCs w:val="24"/>
              </w:rPr>
            </w:pPr>
            <w:r>
              <w:rPr>
                <w:rFonts w:ascii="Calibri" w:hAnsi="Calibri" w:cs="Calibri"/>
                <w:snapToGrid/>
                <w:color w:val="000000"/>
                <w:sz w:val="24"/>
                <w:szCs w:val="24"/>
              </w:rPr>
              <w:t>Contribuições extraordinárias assistidos</w:t>
            </w:r>
          </w:p>
        </w:tc>
        <w:tc>
          <w:tcPr>
            <w:tcW w:w="1772" w:type="dxa"/>
            <w:shd w:val="clear" w:color="auto" w:fill="auto"/>
            <w:noWrap/>
            <w:vAlign w:val="bottom"/>
          </w:tcPr>
          <w:p w:rsidR="00CF18A9" w:rsidRDefault="00CF18A9"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72" w:type="dxa"/>
            <w:shd w:val="clear" w:color="auto" w:fill="auto"/>
            <w:noWrap/>
            <w:vAlign w:val="bottom"/>
          </w:tcPr>
          <w:p w:rsidR="00CF18A9" w:rsidRDefault="00CF18A9"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1.683</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final do ano</w:t>
            </w:r>
          </w:p>
        </w:tc>
        <w:tc>
          <w:tcPr>
            <w:tcW w:w="1772" w:type="dxa"/>
            <w:shd w:val="clear" w:color="auto" w:fill="auto"/>
            <w:noWrap/>
            <w:vAlign w:val="bottom"/>
          </w:tcPr>
          <w:p w:rsidR="00643ADC" w:rsidRPr="002E7F4A" w:rsidRDefault="00CF18A9"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168.572</w:t>
            </w:r>
          </w:p>
        </w:tc>
        <w:tc>
          <w:tcPr>
            <w:tcW w:w="1772" w:type="dxa"/>
            <w:shd w:val="clear" w:color="auto" w:fill="auto"/>
            <w:noWrap/>
            <w:vAlign w:val="bottom"/>
          </w:tcPr>
          <w:p w:rsidR="00643ADC" w:rsidRDefault="00CF18A9"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256.235</w:t>
            </w:r>
          </w:p>
        </w:tc>
      </w:tr>
    </w:tbl>
    <w:p w:rsidR="00CF18A9" w:rsidRDefault="00CF18A9" w:rsidP="00E70A67">
      <w:pPr>
        <w:jc w:val="both"/>
        <w:rPr>
          <w:rFonts w:ascii="Calibri" w:hAnsi="Calibri" w:cs="Calibri"/>
          <w:sz w:val="24"/>
          <w:szCs w:val="24"/>
        </w:rPr>
      </w:pPr>
    </w:p>
    <w:p w:rsidR="005E0B68" w:rsidRDefault="005E0B68" w:rsidP="005E0B68">
      <w:pPr>
        <w:jc w:val="both"/>
        <w:rPr>
          <w:rFonts w:ascii="Calibri" w:hAnsi="Calibri" w:cs="Calibri"/>
          <w:sz w:val="24"/>
          <w:szCs w:val="24"/>
        </w:rPr>
      </w:pPr>
      <w:r>
        <w:rPr>
          <w:rFonts w:ascii="Calibri" w:hAnsi="Calibri" w:cs="Calibri"/>
          <w:sz w:val="24"/>
          <w:szCs w:val="24"/>
        </w:rPr>
        <w:t>Análises de Sensibilidade</w:t>
      </w:r>
      <w:r w:rsidR="00D414A4">
        <w:rPr>
          <w:rFonts w:ascii="Calibri" w:hAnsi="Calibri" w:cs="Calibri"/>
          <w:sz w:val="24"/>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905BDE" w:rsidTr="00FC72C3">
        <w:trPr>
          <w:trHeight w:val="315"/>
        </w:trPr>
        <w:tc>
          <w:tcPr>
            <w:tcW w:w="5103" w:type="dxa"/>
            <w:vMerge w:val="restart"/>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905BDE" w:rsidTr="00C24B11">
        <w:trPr>
          <w:trHeight w:val="315"/>
        </w:trPr>
        <w:tc>
          <w:tcPr>
            <w:tcW w:w="5103" w:type="dxa"/>
            <w:vMerge/>
            <w:shd w:val="clear" w:color="auto" w:fill="auto"/>
            <w:noWrap/>
            <w:vAlign w:val="center"/>
          </w:tcPr>
          <w:p w:rsidR="005C2D87" w:rsidRPr="002E7F4A" w:rsidRDefault="005C2D87" w:rsidP="00FC72C3">
            <w:pPr>
              <w:widowControl/>
              <w:rPr>
                <w:rFonts w:ascii="Calibri" w:hAnsi="Calibri" w:cs="Calibri"/>
                <w:snapToGrid/>
                <w:color w:val="000000"/>
                <w:sz w:val="24"/>
                <w:szCs w:val="24"/>
              </w:rPr>
            </w:pP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10%</w:t>
            </w: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- 10%</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presente da obrigação atuarial do plano</w:t>
            </w:r>
          </w:p>
        </w:tc>
        <w:tc>
          <w:tcPr>
            <w:tcW w:w="1205" w:type="dxa"/>
            <w:shd w:val="clear" w:color="auto" w:fill="auto"/>
            <w:noWrap/>
            <w:vAlign w:val="center"/>
          </w:tcPr>
          <w:p w:rsidR="005E0B68" w:rsidRPr="002E7F4A" w:rsidRDefault="00CF18A9"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415.465</w:t>
            </w:r>
          </w:p>
        </w:tc>
        <w:tc>
          <w:tcPr>
            <w:tcW w:w="1205" w:type="dxa"/>
            <w:shd w:val="clear" w:color="auto" w:fill="auto"/>
            <w:noWrap/>
            <w:vAlign w:val="center"/>
          </w:tcPr>
          <w:p w:rsidR="005E0B68" w:rsidRPr="002E7F4A" w:rsidRDefault="00CF18A9"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434.972</w:t>
            </w:r>
          </w:p>
        </w:tc>
        <w:tc>
          <w:tcPr>
            <w:tcW w:w="1205" w:type="dxa"/>
            <w:vAlign w:val="center"/>
          </w:tcPr>
          <w:p w:rsidR="005E0B68" w:rsidRPr="002E7F4A" w:rsidRDefault="00CF18A9"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416.346</w:t>
            </w:r>
          </w:p>
        </w:tc>
        <w:tc>
          <w:tcPr>
            <w:tcW w:w="1205" w:type="dxa"/>
            <w:vAlign w:val="center"/>
          </w:tcPr>
          <w:p w:rsidR="005E0B68" w:rsidRPr="002E7F4A" w:rsidRDefault="00CF18A9"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433.558</w:t>
            </w:r>
          </w:p>
        </w:tc>
      </w:tr>
      <w:tr w:rsidR="00CF18A9" w:rsidRPr="002E7F4A" w:rsidTr="00C24B11">
        <w:trPr>
          <w:trHeight w:val="315"/>
        </w:trPr>
        <w:tc>
          <w:tcPr>
            <w:tcW w:w="5103" w:type="dxa"/>
            <w:shd w:val="clear" w:color="auto" w:fill="auto"/>
            <w:noWrap/>
            <w:vAlign w:val="center"/>
          </w:tcPr>
          <w:p w:rsidR="00CF18A9" w:rsidRPr="00F079A2" w:rsidRDefault="00CF18A9" w:rsidP="00CF18A9">
            <w:pPr>
              <w:widowControl/>
              <w:rPr>
                <w:rFonts w:ascii="Calibri" w:hAnsi="Calibri" w:cs="Calibri"/>
                <w:snapToGrid/>
                <w:color w:val="000000"/>
                <w:sz w:val="24"/>
                <w:szCs w:val="24"/>
              </w:rPr>
            </w:pPr>
            <w:r>
              <w:rPr>
                <w:rFonts w:ascii="Calibri" w:hAnsi="Calibri" w:cs="Calibri"/>
                <w:snapToGrid/>
                <w:color w:val="000000"/>
                <w:sz w:val="24"/>
                <w:szCs w:val="24"/>
              </w:rPr>
              <w:t>Valor justo dos ativos do plano</w:t>
            </w:r>
          </w:p>
        </w:tc>
        <w:tc>
          <w:tcPr>
            <w:tcW w:w="1205" w:type="dxa"/>
            <w:shd w:val="clear" w:color="auto" w:fill="auto"/>
            <w:noWrap/>
            <w:vAlign w:val="center"/>
          </w:tcPr>
          <w:p w:rsidR="00CF18A9" w:rsidRPr="002E7F4A" w:rsidRDefault="00CF18A9" w:rsidP="00CF18A9">
            <w:pPr>
              <w:widowControl/>
              <w:jc w:val="right"/>
              <w:rPr>
                <w:rFonts w:ascii="Calibri" w:hAnsi="Calibri" w:cs="Calibri"/>
                <w:snapToGrid/>
                <w:color w:val="000000"/>
                <w:sz w:val="24"/>
                <w:szCs w:val="24"/>
              </w:rPr>
            </w:pPr>
            <w:r>
              <w:rPr>
                <w:rFonts w:ascii="Calibri" w:hAnsi="Calibri" w:cs="Calibri"/>
                <w:snapToGrid/>
                <w:color w:val="000000"/>
                <w:sz w:val="24"/>
                <w:szCs w:val="24"/>
              </w:rPr>
              <w:t>51.570</w:t>
            </w:r>
          </w:p>
        </w:tc>
        <w:tc>
          <w:tcPr>
            <w:tcW w:w="1205" w:type="dxa"/>
            <w:shd w:val="clear" w:color="auto" w:fill="auto"/>
            <w:noWrap/>
            <w:vAlign w:val="center"/>
          </w:tcPr>
          <w:p w:rsidR="00CF18A9" w:rsidRPr="002E7F4A" w:rsidRDefault="00CF18A9" w:rsidP="00CF18A9">
            <w:pPr>
              <w:widowControl/>
              <w:jc w:val="right"/>
              <w:rPr>
                <w:rFonts w:ascii="Calibri" w:hAnsi="Calibri" w:cs="Calibri"/>
                <w:snapToGrid/>
                <w:color w:val="000000"/>
                <w:sz w:val="24"/>
                <w:szCs w:val="24"/>
              </w:rPr>
            </w:pPr>
            <w:r>
              <w:rPr>
                <w:rFonts w:ascii="Calibri" w:hAnsi="Calibri" w:cs="Calibri"/>
                <w:snapToGrid/>
                <w:color w:val="000000"/>
                <w:sz w:val="24"/>
                <w:szCs w:val="24"/>
              </w:rPr>
              <w:t>51.570</w:t>
            </w:r>
          </w:p>
        </w:tc>
        <w:tc>
          <w:tcPr>
            <w:tcW w:w="1205" w:type="dxa"/>
            <w:vAlign w:val="center"/>
          </w:tcPr>
          <w:p w:rsidR="00CF18A9" w:rsidRPr="002E7F4A" w:rsidRDefault="00CF18A9" w:rsidP="00CF18A9">
            <w:pPr>
              <w:widowControl/>
              <w:jc w:val="right"/>
              <w:rPr>
                <w:rFonts w:ascii="Calibri" w:hAnsi="Calibri" w:cs="Calibri"/>
                <w:snapToGrid/>
                <w:color w:val="000000"/>
                <w:sz w:val="24"/>
                <w:szCs w:val="24"/>
              </w:rPr>
            </w:pPr>
            <w:r>
              <w:rPr>
                <w:rFonts w:ascii="Calibri" w:hAnsi="Calibri" w:cs="Calibri"/>
                <w:snapToGrid/>
                <w:color w:val="000000"/>
                <w:sz w:val="24"/>
                <w:szCs w:val="24"/>
              </w:rPr>
              <w:t>51.570</w:t>
            </w:r>
          </w:p>
        </w:tc>
        <w:tc>
          <w:tcPr>
            <w:tcW w:w="1205" w:type="dxa"/>
            <w:vAlign w:val="center"/>
          </w:tcPr>
          <w:p w:rsidR="00CF18A9" w:rsidRPr="002E7F4A" w:rsidRDefault="00CF18A9" w:rsidP="00CF18A9">
            <w:pPr>
              <w:widowControl/>
              <w:jc w:val="right"/>
              <w:rPr>
                <w:rFonts w:ascii="Calibri" w:hAnsi="Calibri" w:cs="Calibri"/>
                <w:snapToGrid/>
                <w:color w:val="000000"/>
                <w:sz w:val="24"/>
                <w:szCs w:val="24"/>
              </w:rPr>
            </w:pPr>
            <w:r>
              <w:rPr>
                <w:rFonts w:ascii="Calibri" w:hAnsi="Calibri" w:cs="Calibri"/>
                <w:snapToGrid/>
                <w:color w:val="000000"/>
                <w:sz w:val="24"/>
                <w:szCs w:val="24"/>
              </w:rPr>
              <w:t>51.570</w:t>
            </w:r>
          </w:p>
        </w:tc>
      </w:tr>
      <w:tr w:rsidR="005E0B68" w:rsidRPr="002E7F4A" w:rsidTr="00C24B11">
        <w:trPr>
          <w:trHeight w:val="315"/>
        </w:trPr>
        <w:tc>
          <w:tcPr>
            <w:tcW w:w="5103" w:type="dxa"/>
            <w:shd w:val="clear" w:color="auto" w:fill="auto"/>
            <w:noWrap/>
            <w:vAlign w:val="center"/>
          </w:tcPr>
          <w:p w:rsidR="005E0B68"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inicial</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(363.895)</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(383.402)</w:t>
            </w:r>
          </w:p>
        </w:tc>
        <w:tc>
          <w:tcPr>
            <w:tcW w:w="1205" w:type="dxa"/>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(364.776)</w:t>
            </w:r>
          </w:p>
        </w:tc>
        <w:tc>
          <w:tcPr>
            <w:tcW w:w="1205" w:type="dxa"/>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(381.988)</w:t>
            </w:r>
          </w:p>
        </w:tc>
      </w:tr>
      <w:tr w:rsidR="005E0B68" w:rsidRPr="002E7F4A" w:rsidTr="00C24B11">
        <w:trPr>
          <w:trHeight w:val="315"/>
        </w:trPr>
        <w:tc>
          <w:tcPr>
            <w:tcW w:w="5103" w:type="dxa"/>
            <w:shd w:val="clear" w:color="auto" w:fill="auto"/>
            <w:noWrap/>
            <w:vAlign w:val="center"/>
          </w:tcPr>
          <w:p w:rsidR="005E0B68" w:rsidRPr="00F079A2" w:rsidRDefault="005E0B68" w:rsidP="003A0BC0">
            <w:pPr>
              <w:widowControl/>
              <w:rPr>
                <w:rFonts w:ascii="Calibri" w:hAnsi="Calibri" w:cs="Calibri"/>
                <w:snapToGrid/>
                <w:color w:val="000000"/>
                <w:sz w:val="24"/>
                <w:szCs w:val="24"/>
              </w:rPr>
            </w:pPr>
            <w:r>
              <w:rPr>
                <w:rFonts w:ascii="Calibri" w:hAnsi="Calibri" w:cs="Calibri"/>
                <w:snapToGrid/>
                <w:color w:val="000000"/>
                <w:sz w:val="24"/>
                <w:szCs w:val="24"/>
              </w:rPr>
              <w:t>Passivo do patrocinador c</w:t>
            </w:r>
            <w:r w:rsidR="003A0BC0">
              <w:rPr>
                <w:rFonts w:ascii="Calibri" w:hAnsi="Calibri" w:cs="Calibri"/>
                <w:snapToGrid/>
                <w:color w:val="000000"/>
                <w:sz w:val="24"/>
                <w:szCs w:val="24"/>
              </w:rPr>
              <w:t>/</w:t>
            </w:r>
            <w:r>
              <w:rPr>
                <w:rFonts w:ascii="Calibri" w:hAnsi="Calibri" w:cs="Calibri"/>
                <w:snapToGrid/>
                <w:color w:val="000000"/>
                <w:sz w:val="24"/>
                <w:szCs w:val="24"/>
              </w:rPr>
              <w:t xml:space="preserve"> redução de direitos</w:t>
            </w:r>
          </w:p>
        </w:tc>
        <w:tc>
          <w:tcPr>
            <w:tcW w:w="1205" w:type="dxa"/>
            <w:shd w:val="clear" w:color="auto" w:fill="auto"/>
            <w:noWrap/>
            <w:vAlign w:val="center"/>
          </w:tcPr>
          <w:p w:rsidR="005E0B68" w:rsidRPr="002E7F4A" w:rsidRDefault="003A0BC0"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c>
          <w:tcPr>
            <w:tcW w:w="1205" w:type="dxa"/>
            <w:shd w:val="clear" w:color="auto" w:fill="auto"/>
            <w:noWrap/>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r>
      <w:tr w:rsidR="005E0B68" w:rsidRPr="002E7F4A" w:rsidTr="00C24B11">
        <w:trPr>
          <w:trHeight w:val="315"/>
        </w:trPr>
        <w:tc>
          <w:tcPr>
            <w:tcW w:w="5103" w:type="dxa"/>
            <w:shd w:val="clear" w:color="auto" w:fill="auto"/>
            <w:noWrap/>
            <w:vAlign w:val="center"/>
          </w:tcPr>
          <w:p w:rsidR="005E0B68" w:rsidRPr="00F079A2" w:rsidRDefault="005E0B68" w:rsidP="003A0BC0">
            <w:pPr>
              <w:widowControl/>
              <w:rPr>
                <w:rFonts w:ascii="Calibri" w:hAnsi="Calibri" w:cs="Calibri"/>
                <w:snapToGrid/>
                <w:color w:val="000000"/>
                <w:sz w:val="24"/>
                <w:szCs w:val="24"/>
              </w:rPr>
            </w:pPr>
            <w:r>
              <w:rPr>
                <w:rFonts w:ascii="Calibri" w:hAnsi="Calibri" w:cs="Calibri"/>
                <w:snapToGrid/>
                <w:color w:val="000000"/>
                <w:sz w:val="24"/>
                <w:szCs w:val="24"/>
              </w:rPr>
              <w:t>Passivo do patrocinador c</w:t>
            </w:r>
            <w:r w:rsidR="003A0BC0">
              <w:rPr>
                <w:rFonts w:ascii="Calibri" w:hAnsi="Calibri" w:cs="Calibri"/>
                <w:snapToGrid/>
                <w:color w:val="000000"/>
                <w:sz w:val="24"/>
                <w:szCs w:val="24"/>
              </w:rPr>
              <w:t>/</w:t>
            </w:r>
            <w:r>
              <w:rPr>
                <w:rFonts w:ascii="Calibri" w:hAnsi="Calibri" w:cs="Calibri"/>
                <w:snapToGrid/>
                <w:color w:val="000000"/>
                <w:sz w:val="24"/>
                <w:szCs w:val="24"/>
              </w:rPr>
              <w:t xml:space="preserve"> contribuiç</w:t>
            </w:r>
            <w:r w:rsidR="00C24B11">
              <w:rPr>
                <w:rFonts w:ascii="Calibri" w:hAnsi="Calibri" w:cs="Calibri"/>
                <w:snapToGrid/>
                <w:color w:val="000000"/>
                <w:sz w:val="24"/>
                <w:szCs w:val="24"/>
              </w:rPr>
              <w:t>ões futuras</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43.874</w:t>
            </w:r>
          </w:p>
        </w:tc>
        <w:tc>
          <w:tcPr>
            <w:tcW w:w="1205" w:type="dxa"/>
            <w:shd w:val="clear" w:color="auto" w:fill="auto"/>
            <w:noWrap/>
            <w:vAlign w:val="center"/>
          </w:tcPr>
          <w:p w:rsidR="005E0B68" w:rsidRPr="002E7F4A" w:rsidRDefault="003A0BC0" w:rsidP="003A0BC0">
            <w:pPr>
              <w:widowControl/>
              <w:jc w:val="right"/>
              <w:rPr>
                <w:rFonts w:ascii="Calibri" w:hAnsi="Calibri" w:cs="Calibri"/>
                <w:snapToGrid/>
                <w:color w:val="000000"/>
                <w:sz w:val="24"/>
                <w:szCs w:val="24"/>
              </w:rPr>
            </w:pPr>
            <w:r>
              <w:rPr>
                <w:rFonts w:ascii="Calibri" w:hAnsi="Calibri" w:cs="Calibri"/>
                <w:snapToGrid/>
                <w:color w:val="000000"/>
                <w:sz w:val="24"/>
                <w:szCs w:val="24"/>
              </w:rPr>
              <w:t>45.934</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43.967</w:t>
            </w:r>
          </w:p>
        </w:tc>
        <w:tc>
          <w:tcPr>
            <w:tcW w:w="1205" w:type="dxa"/>
            <w:vAlign w:val="center"/>
          </w:tcPr>
          <w:p w:rsidR="005E0B68" w:rsidRDefault="003A0BC0"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45.784</w:t>
            </w:r>
          </w:p>
        </w:tc>
      </w:tr>
      <w:tr w:rsidR="003A0BC0" w:rsidRPr="002E7F4A" w:rsidTr="00C24B11">
        <w:trPr>
          <w:trHeight w:val="315"/>
        </w:trPr>
        <w:tc>
          <w:tcPr>
            <w:tcW w:w="5103" w:type="dxa"/>
            <w:shd w:val="clear" w:color="auto" w:fill="auto"/>
            <w:noWrap/>
            <w:vAlign w:val="center"/>
          </w:tcPr>
          <w:p w:rsidR="003A0BC0" w:rsidRDefault="003A0BC0" w:rsidP="003A0BC0">
            <w:pPr>
              <w:widowControl/>
              <w:rPr>
                <w:rFonts w:ascii="Calibri" w:hAnsi="Calibri" w:cs="Calibri"/>
                <w:snapToGrid/>
                <w:color w:val="000000"/>
                <w:sz w:val="24"/>
                <w:szCs w:val="24"/>
              </w:rPr>
            </w:pPr>
            <w:r>
              <w:rPr>
                <w:rFonts w:ascii="Calibri" w:hAnsi="Calibri" w:cs="Calibri"/>
                <w:snapToGrid/>
                <w:color w:val="000000"/>
                <w:sz w:val="24"/>
                <w:szCs w:val="24"/>
              </w:rPr>
              <w:t xml:space="preserve">Passivo do patrocinador c/ </w:t>
            </w:r>
            <w:proofErr w:type="spellStart"/>
            <w:r>
              <w:rPr>
                <w:rFonts w:ascii="Calibri" w:hAnsi="Calibri" w:cs="Calibri"/>
                <w:snapToGrid/>
                <w:color w:val="000000"/>
                <w:sz w:val="24"/>
                <w:szCs w:val="24"/>
              </w:rPr>
              <w:t>contrib</w:t>
            </w:r>
            <w:proofErr w:type="spellEnd"/>
            <w:r>
              <w:rPr>
                <w:rFonts w:ascii="Calibri" w:hAnsi="Calibri" w:cs="Calibri"/>
                <w:snapToGrid/>
                <w:color w:val="000000"/>
                <w:sz w:val="24"/>
                <w:szCs w:val="24"/>
              </w:rPr>
              <w:t xml:space="preserve">. </w:t>
            </w:r>
            <w:proofErr w:type="gramStart"/>
            <w:r>
              <w:rPr>
                <w:rFonts w:ascii="Calibri" w:hAnsi="Calibri" w:cs="Calibri"/>
                <w:snapToGrid/>
                <w:color w:val="000000"/>
                <w:sz w:val="24"/>
                <w:szCs w:val="24"/>
              </w:rPr>
              <w:t>extraordinárias</w:t>
            </w:r>
            <w:proofErr w:type="gramEnd"/>
          </w:p>
        </w:tc>
        <w:tc>
          <w:tcPr>
            <w:tcW w:w="1205" w:type="dxa"/>
            <w:shd w:val="clear" w:color="auto" w:fill="auto"/>
            <w:noWrap/>
            <w:vAlign w:val="center"/>
          </w:tcPr>
          <w:p w:rsidR="003A0BC0" w:rsidRPr="002E7F4A" w:rsidRDefault="003A0BC0" w:rsidP="003A0BC0">
            <w:pPr>
              <w:widowControl/>
              <w:jc w:val="right"/>
              <w:rPr>
                <w:rFonts w:ascii="Calibri" w:hAnsi="Calibri" w:cs="Calibri"/>
                <w:snapToGrid/>
                <w:color w:val="000000"/>
                <w:sz w:val="24"/>
                <w:szCs w:val="24"/>
              </w:rPr>
            </w:pPr>
            <w:r>
              <w:rPr>
                <w:rFonts w:ascii="Calibri" w:hAnsi="Calibri" w:cs="Calibri"/>
                <w:snapToGrid/>
                <w:color w:val="000000"/>
                <w:sz w:val="24"/>
                <w:szCs w:val="24"/>
              </w:rPr>
              <w:t>93.615</w:t>
            </w:r>
          </w:p>
        </w:tc>
        <w:tc>
          <w:tcPr>
            <w:tcW w:w="1205" w:type="dxa"/>
            <w:shd w:val="clear" w:color="auto" w:fill="auto"/>
            <w:noWrap/>
            <w:vAlign w:val="center"/>
          </w:tcPr>
          <w:p w:rsidR="003A0BC0" w:rsidRPr="002E7F4A" w:rsidRDefault="003A0BC0" w:rsidP="003A0BC0">
            <w:pPr>
              <w:widowControl/>
              <w:jc w:val="right"/>
              <w:rPr>
                <w:rFonts w:ascii="Calibri" w:hAnsi="Calibri" w:cs="Calibri"/>
                <w:snapToGrid/>
                <w:color w:val="000000"/>
                <w:sz w:val="24"/>
                <w:szCs w:val="24"/>
              </w:rPr>
            </w:pPr>
            <w:r>
              <w:rPr>
                <w:rFonts w:ascii="Calibri" w:hAnsi="Calibri" w:cs="Calibri"/>
                <w:snapToGrid/>
                <w:color w:val="000000"/>
                <w:sz w:val="24"/>
                <w:szCs w:val="24"/>
              </w:rPr>
              <w:t>98.010</w:t>
            </w:r>
          </w:p>
        </w:tc>
        <w:tc>
          <w:tcPr>
            <w:tcW w:w="1205" w:type="dxa"/>
            <w:vAlign w:val="center"/>
          </w:tcPr>
          <w:p w:rsidR="003A0BC0" w:rsidRDefault="003A0BC0" w:rsidP="003A0BC0">
            <w:pPr>
              <w:widowControl/>
              <w:jc w:val="right"/>
              <w:rPr>
                <w:rFonts w:ascii="Calibri" w:hAnsi="Calibri" w:cs="Calibri"/>
                <w:snapToGrid/>
                <w:color w:val="000000"/>
                <w:sz w:val="24"/>
                <w:szCs w:val="24"/>
              </w:rPr>
            </w:pPr>
            <w:r>
              <w:rPr>
                <w:rFonts w:ascii="Calibri" w:hAnsi="Calibri" w:cs="Calibri"/>
                <w:snapToGrid/>
                <w:color w:val="000000"/>
                <w:sz w:val="24"/>
                <w:szCs w:val="24"/>
              </w:rPr>
              <w:t>93.813</w:t>
            </w:r>
          </w:p>
        </w:tc>
        <w:tc>
          <w:tcPr>
            <w:tcW w:w="1205" w:type="dxa"/>
            <w:vAlign w:val="center"/>
          </w:tcPr>
          <w:p w:rsidR="003A0BC0" w:rsidRDefault="003A0BC0" w:rsidP="003A0BC0">
            <w:pPr>
              <w:widowControl/>
              <w:jc w:val="right"/>
              <w:rPr>
                <w:rFonts w:ascii="Calibri" w:hAnsi="Calibri" w:cs="Calibri"/>
                <w:snapToGrid/>
                <w:color w:val="000000"/>
                <w:sz w:val="24"/>
                <w:szCs w:val="24"/>
              </w:rPr>
            </w:pPr>
            <w:r>
              <w:rPr>
                <w:rFonts w:ascii="Calibri" w:hAnsi="Calibri" w:cs="Calibri"/>
                <w:snapToGrid/>
                <w:color w:val="000000"/>
                <w:sz w:val="24"/>
                <w:szCs w:val="24"/>
              </w:rPr>
              <w:t>97.692</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compartilhado</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(21.078)</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(34.129)</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(21.667)</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(33.183)</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Efeito compartilhamento de riscos – participantes</w:t>
            </w:r>
          </w:p>
        </w:tc>
        <w:tc>
          <w:tcPr>
            <w:tcW w:w="1205" w:type="dxa"/>
            <w:shd w:val="clear" w:color="auto" w:fill="auto"/>
            <w:noWrap/>
            <w:vAlign w:val="center"/>
          </w:tcPr>
          <w:p w:rsidR="005E0B68" w:rsidRPr="002E7F4A" w:rsidRDefault="003A0BC0"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10.9</w:t>
            </w:r>
            <w:r w:rsidR="00CC48A3">
              <w:rPr>
                <w:rFonts w:ascii="Calibri" w:hAnsi="Calibri" w:cs="Calibri"/>
                <w:snapToGrid/>
                <w:color w:val="000000"/>
                <w:sz w:val="24"/>
                <w:szCs w:val="24"/>
              </w:rPr>
              <w:t>79</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17.778</w:t>
            </w:r>
          </w:p>
        </w:tc>
        <w:tc>
          <w:tcPr>
            <w:tcW w:w="1205" w:type="dxa"/>
            <w:vAlign w:val="center"/>
          </w:tcPr>
          <w:p w:rsidR="005E0B68" w:rsidRDefault="003A0BC0"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11.28</w:t>
            </w:r>
            <w:r w:rsidR="00CC48A3">
              <w:rPr>
                <w:rFonts w:ascii="Calibri" w:hAnsi="Calibri" w:cs="Calibri"/>
                <w:snapToGrid/>
                <w:color w:val="000000"/>
                <w:sz w:val="24"/>
                <w:szCs w:val="24"/>
              </w:rPr>
              <w:t>7</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17.285</w:t>
            </w:r>
          </w:p>
        </w:tc>
      </w:tr>
      <w:tr w:rsidR="005E0B68" w:rsidRPr="002E7F4A" w:rsidTr="00C24B11">
        <w:trPr>
          <w:trHeight w:val="315"/>
        </w:trPr>
        <w:tc>
          <w:tcPr>
            <w:tcW w:w="5103" w:type="dxa"/>
            <w:shd w:val="clear" w:color="auto" w:fill="auto"/>
            <w:noWrap/>
            <w:vAlign w:val="center"/>
          </w:tcPr>
          <w:p w:rsidR="005E0B68" w:rsidRPr="00F079A2" w:rsidRDefault="005E0B68" w:rsidP="003A0BC0">
            <w:pPr>
              <w:widowControl/>
              <w:rPr>
                <w:rFonts w:ascii="Calibri" w:hAnsi="Calibri" w:cs="Calibri"/>
                <w:snapToGrid/>
                <w:color w:val="000000"/>
                <w:sz w:val="24"/>
                <w:szCs w:val="24"/>
              </w:rPr>
            </w:pPr>
            <w:r>
              <w:rPr>
                <w:rFonts w:ascii="Calibri" w:hAnsi="Calibri" w:cs="Calibri"/>
                <w:snapToGrid/>
                <w:color w:val="000000"/>
                <w:sz w:val="24"/>
                <w:szCs w:val="24"/>
              </w:rPr>
              <w:t>(Passivo) / ativo líquido</w:t>
            </w:r>
            <w:r w:rsidR="00CC48A3">
              <w:rPr>
                <w:rFonts w:ascii="Calibri" w:hAnsi="Calibri" w:cs="Calibri"/>
                <w:snapToGrid/>
                <w:color w:val="000000"/>
                <w:sz w:val="24"/>
                <w:szCs w:val="24"/>
              </w:rPr>
              <w:t xml:space="preserve"> a ser</w:t>
            </w:r>
            <w:r>
              <w:rPr>
                <w:rFonts w:ascii="Calibri" w:hAnsi="Calibri" w:cs="Calibri"/>
                <w:snapToGrid/>
                <w:color w:val="000000"/>
                <w:sz w:val="24"/>
                <w:szCs w:val="24"/>
              </w:rPr>
              <w:t xml:space="preserve"> reconhecido</w:t>
            </w:r>
          </w:p>
        </w:tc>
        <w:tc>
          <w:tcPr>
            <w:tcW w:w="1205" w:type="dxa"/>
            <w:shd w:val="clear" w:color="auto" w:fill="auto"/>
            <w:noWrap/>
            <w:vAlign w:val="center"/>
          </w:tcPr>
          <w:p w:rsidR="005E0B68" w:rsidRPr="002E7F4A"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(352.916)</w:t>
            </w:r>
          </w:p>
        </w:tc>
        <w:tc>
          <w:tcPr>
            <w:tcW w:w="1205" w:type="dxa"/>
            <w:shd w:val="clear" w:color="auto" w:fill="auto"/>
            <w:noWrap/>
            <w:vAlign w:val="center"/>
          </w:tcPr>
          <w:p w:rsidR="005E0B68" w:rsidRPr="002E7F4A" w:rsidRDefault="003A0BC0"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(365.624)</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(353.489)</w:t>
            </w:r>
          </w:p>
        </w:tc>
        <w:tc>
          <w:tcPr>
            <w:tcW w:w="1205" w:type="dxa"/>
            <w:vAlign w:val="center"/>
          </w:tcPr>
          <w:p w:rsidR="005E0B68" w:rsidRDefault="003A0BC0"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(364.703)</w:t>
            </w:r>
          </w:p>
        </w:tc>
      </w:tr>
      <w:tr w:rsidR="003A0BC0" w:rsidRPr="002E7F4A" w:rsidTr="00C24B11">
        <w:trPr>
          <w:trHeight w:val="315"/>
        </w:trPr>
        <w:tc>
          <w:tcPr>
            <w:tcW w:w="5103" w:type="dxa"/>
            <w:shd w:val="clear" w:color="auto" w:fill="auto"/>
            <w:noWrap/>
            <w:vAlign w:val="center"/>
          </w:tcPr>
          <w:p w:rsidR="003A0BC0" w:rsidRDefault="00CC48A3" w:rsidP="003A0BC0">
            <w:pPr>
              <w:widowControl/>
              <w:rPr>
                <w:rFonts w:ascii="Calibri" w:hAnsi="Calibri" w:cs="Calibri"/>
                <w:snapToGrid/>
                <w:color w:val="000000"/>
                <w:sz w:val="24"/>
                <w:szCs w:val="24"/>
              </w:rPr>
            </w:pPr>
            <w:r>
              <w:rPr>
                <w:rFonts w:ascii="Calibri" w:hAnsi="Calibri" w:cs="Calibri"/>
                <w:snapToGrid/>
                <w:color w:val="000000"/>
                <w:sz w:val="24"/>
                <w:szCs w:val="24"/>
              </w:rPr>
              <w:t>Reconhecimento de Débitos - TCF</w:t>
            </w:r>
          </w:p>
        </w:tc>
        <w:tc>
          <w:tcPr>
            <w:tcW w:w="1205" w:type="dxa"/>
            <w:shd w:val="clear" w:color="auto" w:fill="auto"/>
            <w:noWrap/>
            <w:vAlign w:val="center"/>
          </w:tcPr>
          <w:p w:rsidR="003A0BC0" w:rsidRDefault="00CC48A3"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c>
          <w:tcPr>
            <w:tcW w:w="1205" w:type="dxa"/>
            <w:shd w:val="clear" w:color="auto" w:fill="auto"/>
            <w:noWrap/>
            <w:vAlign w:val="center"/>
          </w:tcPr>
          <w:p w:rsidR="003A0BC0" w:rsidRDefault="00CC48A3"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c>
          <w:tcPr>
            <w:tcW w:w="1205" w:type="dxa"/>
            <w:vAlign w:val="center"/>
          </w:tcPr>
          <w:p w:rsidR="003A0BC0" w:rsidRDefault="00CC48A3"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c>
          <w:tcPr>
            <w:tcW w:w="1205" w:type="dxa"/>
            <w:vAlign w:val="center"/>
          </w:tcPr>
          <w:p w:rsidR="003A0BC0" w:rsidRDefault="00CC48A3"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205.329</w:t>
            </w:r>
          </w:p>
        </w:tc>
      </w:tr>
      <w:tr w:rsidR="00CC48A3" w:rsidRPr="002E7F4A" w:rsidTr="00C24B11">
        <w:trPr>
          <w:trHeight w:val="315"/>
        </w:trPr>
        <w:tc>
          <w:tcPr>
            <w:tcW w:w="5103" w:type="dxa"/>
            <w:shd w:val="clear" w:color="auto" w:fill="auto"/>
            <w:noWrap/>
            <w:vAlign w:val="center"/>
          </w:tcPr>
          <w:p w:rsidR="00CC48A3" w:rsidRPr="00F079A2" w:rsidRDefault="00CC48A3" w:rsidP="00CC48A3">
            <w:pPr>
              <w:widowControl/>
              <w:rPr>
                <w:rFonts w:ascii="Calibri" w:hAnsi="Calibri" w:cs="Calibri"/>
                <w:snapToGrid/>
                <w:color w:val="000000"/>
                <w:sz w:val="24"/>
                <w:szCs w:val="24"/>
              </w:rPr>
            </w:pPr>
            <w:r>
              <w:rPr>
                <w:rFonts w:ascii="Calibri" w:hAnsi="Calibri" w:cs="Calibri"/>
                <w:snapToGrid/>
                <w:color w:val="000000"/>
                <w:sz w:val="24"/>
                <w:szCs w:val="24"/>
              </w:rPr>
              <w:t>(Passivo) / ativo líquido reconhecido</w:t>
            </w:r>
          </w:p>
        </w:tc>
        <w:tc>
          <w:tcPr>
            <w:tcW w:w="1205" w:type="dxa"/>
            <w:shd w:val="clear" w:color="auto" w:fill="auto"/>
            <w:noWrap/>
            <w:vAlign w:val="center"/>
          </w:tcPr>
          <w:p w:rsidR="00CC48A3" w:rsidRDefault="00CC48A3"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(147.587)</w:t>
            </w:r>
          </w:p>
        </w:tc>
        <w:tc>
          <w:tcPr>
            <w:tcW w:w="1205" w:type="dxa"/>
            <w:shd w:val="clear" w:color="auto" w:fill="auto"/>
            <w:noWrap/>
            <w:vAlign w:val="center"/>
          </w:tcPr>
          <w:p w:rsidR="00CC48A3" w:rsidRDefault="00CC48A3"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(160.295)</w:t>
            </w:r>
          </w:p>
        </w:tc>
        <w:tc>
          <w:tcPr>
            <w:tcW w:w="1205" w:type="dxa"/>
            <w:vAlign w:val="center"/>
          </w:tcPr>
          <w:p w:rsidR="00CC48A3" w:rsidRDefault="00CC48A3"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(148.160)</w:t>
            </w:r>
          </w:p>
        </w:tc>
        <w:tc>
          <w:tcPr>
            <w:tcW w:w="1205" w:type="dxa"/>
            <w:vAlign w:val="center"/>
          </w:tcPr>
          <w:p w:rsidR="00CC48A3" w:rsidRDefault="00CC48A3"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(159.374)</w:t>
            </w:r>
          </w:p>
        </w:tc>
      </w:tr>
    </w:tbl>
    <w:p w:rsidR="00D414A4" w:rsidRDefault="00D414A4" w:rsidP="00E70A67">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2E7F4A" w:rsidTr="00FC72C3">
        <w:trPr>
          <w:trHeight w:val="315"/>
        </w:trPr>
        <w:tc>
          <w:tcPr>
            <w:tcW w:w="5103" w:type="dxa"/>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r w:rsidRPr="005C2D87">
              <w:rPr>
                <w:rFonts w:ascii="Calibri" w:hAnsi="Calibri" w:cs="Calibri"/>
                <w:b/>
                <w:snapToGrid/>
                <w:color w:val="000000"/>
                <w:sz w:val="24"/>
                <w:szCs w:val="24"/>
              </w:rPr>
              <w:t>Variações</w:t>
            </w: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da obrigação atuarial</w:t>
            </w:r>
          </w:p>
        </w:tc>
        <w:tc>
          <w:tcPr>
            <w:tcW w:w="1205" w:type="dxa"/>
            <w:shd w:val="clear" w:color="auto" w:fill="auto"/>
            <w:noWrap/>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CC48A3">
              <w:rPr>
                <w:rFonts w:ascii="Calibri" w:hAnsi="Calibri" w:cs="Calibri"/>
                <w:snapToGrid/>
                <w:color w:val="000000"/>
                <w:sz w:val="24"/>
                <w:szCs w:val="24"/>
              </w:rPr>
              <w:t>20</w:t>
            </w:r>
            <w:r>
              <w:rPr>
                <w:rFonts w:ascii="Calibri" w:hAnsi="Calibri" w:cs="Calibri"/>
                <w:snapToGrid/>
                <w:color w:val="000000"/>
                <w:sz w:val="24"/>
                <w:szCs w:val="24"/>
              </w:rPr>
              <w:t>%</w:t>
            </w:r>
          </w:p>
        </w:tc>
        <w:tc>
          <w:tcPr>
            <w:tcW w:w="1205" w:type="dxa"/>
            <w:shd w:val="clear" w:color="auto" w:fill="auto"/>
            <w:noWrap/>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CC48A3">
              <w:rPr>
                <w:rFonts w:ascii="Calibri" w:hAnsi="Calibri" w:cs="Calibri"/>
                <w:snapToGrid/>
                <w:color w:val="000000"/>
                <w:sz w:val="24"/>
                <w:szCs w:val="24"/>
              </w:rPr>
              <w:t>39</w:t>
            </w:r>
            <w:r>
              <w:rPr>
                <w:rFonts w:ascii="Calibri" w:hAnsi="Calibri" w:cs="Calibri"/>
                <w:snapToGrid/>
                <w:color w:val="000000"/>
                <w:sz w:val="24"/>
                <w:szCs w:val="24"/>
              </w:rPr>
              <w:t>%</w:t>
            </w:r>
          </w:p>
        </w:tc>
        <w:tc>
          <w:tcPr>
            <w:tcW w:w="1205" w:type="dxa"/>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CC48A3">
              <w:rPr>
                <w:rFonts w:ascii="Calibri" w:hAnsi="Calibri" w:cs="Calibri"/>
                <w:snapToGrid/>
                <w:color w:val="000000"/>
                <w:sz w:val="24"/>
                <w:szCs w:val="24"/>
              </w:rPr>
              <w:t>1</w:t>
            </w:r>
            <w:r>
              <w:rPr>
                <w:rFonts w:ascii="Calibri" w:hAnsi="Calibri" w:cs="Calibri"/>
                <w:snapToGrid/>
                <w:color w:val="000000"/>
                <w:sz w:val="24"/>
                <w:szCs w:val="24"/>
              </w:rPr>
              <w:t>,</w:t>
            </w:r>
            <w:r w:rsidR="00CC48A3">
              <w:rPr>
                <w:rFonts w:ascii="Calibri" w:hAnsi="Calibri" w:cs="Calibri"/>
                <w:snapToGrid/>
                <w:color w:val="000000"/>
                <w:sz w:val="24"/>
                <w:szCs w:val="24"/>
              </w:rPr>
              <w:t>99</w:t>
            </w:r>
            <w:r>
              <w:rPr>
                <w:rFonts w:ascii="Calibri" w:hAnsi="Calibri" w:cs="Calibri"/>
                <w:snapToGrid/>
                <w:color w:val="000000"/>
                <w:sz w:val="24"/>
                <w:szCs w:val="24"/>
              </w:rPr>
              <w:t>%</w:t>
            </w:r>
          </w:p>
        </w:tc>
        <w:tc>
          <w:tcPr>
            <w:tcW w:w="1205" w:type="dxa"/>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CC48A3">
              <w:rPr>
                <w:rFonts w:ascii="Calibri" w:hAnsi="Calibri" w:cs="Calibri"/>
                <w:snapToGrid/>
                <w:color w:val="000000"/>
                <w:sz w:val="24"/>
                <w:szCs w:val="24"/>
              </w:rPr>
              <w:t>06</w:t>
            </w:r>
            <w:r>
              <w:rPr>
                <w:rFonts w:ascii="Calibri" w:hAnsi="Calibri" w:cs="Calibri"/>
                <w:snapToGrid/>
                <w:color w:val="000000"/>
                <w:sz w:val="24"/>
                <w:szCs w:val="24"/>
              </w:rPr>
              <w:t>%</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do passivo / ativo líq. a ser reconhecido</w:t>
            </w:r>
          </w:p>
        </w:tc>
        <w:tc>
          <w:tcPr>
            <w:tcW w:w="1205" w:type="dxa"/>
            <w:shd w:val="clear" w:color="auto" w:fill="auto"/>
            <w:noWrap/>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CC48A3">
              <w:rPr>
                <w:rFonts w:ascii="Calibri" w:hAnsi="Calibri" w:cs="Calibri"/>
                <w:snapToGrid/>
                <w:color w:val="000000"/>
                <w:sz w:val="24"/>
                <w:szCs w:val="24"/>
              </w:rPr>
              <w:t>4</w:t>
            </w:r>
            <w:r>
              <w:rPr>
                <w:rFonts w:ascii="Calibri" w:hAnsi="Calibri" w:cs="Calibri"/>
                <w:snapToGrid/>
                <w:color w:val="000000"/>
                <w:sz w:val="24"/>
                <w:szCs w:val="24"/>
              </w:rPr>
              <w:t>4%</w:t>
            </w:r>
          </w:p>
        </w:tc>
        <w:tc>
          <w:tcPr>
            <w:tcW w:w="1205" w:type="dxa"/>
            <w:shd w:val="clear" w:color="auto" w:fill="auto"/>
            <w:noWrap/>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CC48A3">
              <w:rPr>
                <w:rFonts w:ascii="Calibri" w:hAnsi="Calibri" w:cs="Calibri"/>
                <w:snapToGrid/>
                <w:color w:val="000000"/>
                <w:sz w:val="24"/>
                <w:szCs w:val="24"/>
              </w:rPr>
              <w:t>65</w:t>
            </w:r>
            <w:r>
              <w:rPr>
                <w:rFonts w:ascii="Calibri" w:hAnsi="Calibri" w:cs="Calibri"/>
                <w:snapToGrid/>
                <w:color w:val="000000"/>
                <w:sz w:val="24"/>
                <w:szCs w:val="24"/>
              </w:rPr>
              <w:t>%</w:t>
            </w:r>
          </w:p>
        </w:tc>
        <w:tc>
          <w:tcPr>
            <w:tcW w:w="1205" w:type="dxa"/>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-2,2</w:t>
            </w:r>
            <w:r w:rsidR="00CC48A3">
              <w:rPr>
                <w:rFonts w:ascii="Calibri" w:hAnsi="Calibri" w:cs="Calibri"/>
                <w:snapToGrid/>
                <w:color w:val="000000"/>
                <w:sz w:val="24"/>
                <w:szCs w:val="24"/>
              </w:rPr>
              <w:t>1</w:t>
            </w:r>
            <w:r>
              <w:rPr>
                <w:rFonts w:ascii="Calibri" w:hAnsi="Calibri" w:cs="Calibri"/>
                <w:snapToGrid/>
                <w:color w:val="000000"/>
                <w:sz w:val="24"/>
                <w:szCs w:val="24"/>
              </w:rPr>
              <w:t>%</w:t>
            </w:r>
          </w:p>
        </w:tc>
        <w:tc>
          <w:tcPr>
            <w:tcW w:w="1205" w:type="dxa"/>
            <w:vAlign w:val="center"/>
          </w:tcPr>
          <w:p w:rsidR="005C2D87" w:rsidRPr="002E7F4A" w:rsidRDefault="005C2D87" w:rsidP="00CC48A3">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CC48A3">
              <w:rPr>
                <w:rFonts w:ascii="Calibri" w:hAnsi="Calibri" w:cs="Calibri"/>
                <w:snapToGrid/>
                <w:color w:val="000000"/>
                <w:sz w:val="24"/>
                <w:szCs w:val="24"/>
              </w:rPr>
              <w:t>28</w:t>
            </w:r>
            <w:r>
              <w:rPr>
                <w:rFonts w:ascii="Calibri" w:hAnsi="Calibri" w:cs="Calibri"/>
                <w:snapToGrid/>
                <w:color w:val="000000"/>
                <w:sz w:val="24"/>
                <w:szCs w:val="24"/>
              </w:rPr>
              <w:t>%</w:t>
            </w:r>
          </w:p>
        </w:tc>
      </w:tr>
    </w:tbl>
    <w:p w:rsidR="00EC011A" w:rsidRDefault="00EC011A" w:rsidP="00E70A67">
      <w:pPr>
        <w:jc w:val="both"/>
        <w:rPr>
          <w:rFonts w:ascii="Calibri" w:hAnsi="Calibri" w:cs="Calibri"/>
          <w:sz w:val="24"/>
          <w:szCs w:val="24"/>
        </w:rPr>
      </w:pPr>
    </w:p>
    <w:p w:rsidR="00EC011A" w:rsidRDefault="00EC011A" w:rsidP="00E70A67">
      <w:pPr>
        <w:jc w:val="both"/>
        <w:rPr>
          <w:rFonts w:ascii="Calibri" w:hAnsi="Calibri" w:cs="Calibri"/>
          <w:sz w:val="24"/>
          <w:szCs w:val="24"/>
        </w:rPr>
      </w:pPr>
    </w:p>
    <w:p w:rsidR="00C16DDB" w:rsidRPr="00312424" w:rsidRDefault="002500FC" w:rsidP="00C16DDB">
      <w:pPr>
        <w:jc w:val="both"/>
        <w:rPr>
          <w:rFonts w:ascii="Calibri" w:hAnsi="Calibri" w:cs="Calibri"/>
          <w:b/>
          <w:sz w:val="24"/>
          <w:szCs w:val="24"/>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sidR="00D26FE5">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F10FEB" w:rsidRDefault="00F10FEB" w:rsidP="00C16DDB">
      <w:pPr>
        <w:jc w:val="both"/>
        <w:rPr>
          <w:rFonts w:ascii="Calibri" w:hAnsi="Calibri" w:cs="Calibri"/>
          <w:sz w:val="24"/>
          <w:szCs w:val="24"/>
        </w:rPr>
      </w:pPr>
    </w:p>
    <w:tbl>
      <w:tblPr>
        <w:tblW w:w="9980" w:type="dxa"/>
        <w:tblCellMar>
          <w:left w:w="70" w:type="dxa"/>
          <w:right w:w="70" w:type="dxa"/>
        </w:tblCellMar>
        <w:tblLook w:val="04A0" w:firstRow="1" w:lastRow="0" w:firstColumn="1" w:lastColumn="0" w:noHBand="0" w:noVBand="1"/>
      </w:tblPr>
      <w:tblGrid>
        <w:gridCol w:w="2280"/>
        <w:gridCol w:w="1540"/>
        <w:gridCol w:w="1540"/>
        <w:gridCol w:w="1540"/>
        <w:gridCol w:w="1540"/>
        <w:gridCol w:w="1540"/>
      </w:tblGrid>
      <w:tr w:rsidR="00CC48A3" w:rsidRPr="00CC48A3" w:rsidTr="00CC48A3">
        <w:trPr>
          <w:trHeight w:val="330"/>
        </w:trPr>
        <w:tc>
          <w:tcPr>
            <w:tcW w:w="2280" w:type="dxa"/>
            <w:tcBorders>
              <w:top w:val="nil"/>
              <w:left w:val="nil"/>
              <w:bottom w:val="nil"/>
              <w:right w:val="nil"/>
            </w:tcBorders>
            <w:shd w:val="clear" w:color="auto" w:fill="auto"/>
            <w:noWrap/>
            <w:vAlign w:val="center"/>
            <w:hideMark/>
          </w:tcPr>
          <w:p w:rsidR="00CC48A3" w:rsidRPr="00CC48A3" w:rsidRDefault="00CC48A3" w:rsidP="00CC48A3">
            <w:pPr>
              <w:widowControl/>
              <w:rPr>
                <w:snapToGrid/>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8A3" w:rsidRDefault="00CC48A3" w:rsidP="00CC48A3">
            <w:pPr>
              <w:widowControl/>
              <w:jc w:val="center"/>
              <w:rPr>
                <w:rFonts w:ascii="Calibri" w:hAnsi="Calibri" w:cs="Calibri"/>
                <w:snapToGrid/>
                <w:color w:val="000000"/>
                <w:sz w:val="22"/>
                <w:szCs w:val="22"/>
              </w:rPr>
            </w:pPr>
            <w:r w:rsidRPr="00CC48A3">
              <w:rPr>
                <w:rFonts w:ascii="Calibri" w:hAnsi="Calibri" w:cs="Calibri"/>
                <w:snapToGrid/>
                <w:color w:val="000000"/>
                <w:sz w:val="22"/>
                <w:szCs w:val="22"/>
              </w:rPr>
              <w:t xml:space="preserve"> Saldo Inicial </w:t>
            </w:r>
          </w:p>
          <w:p w:rsidR="00EF7BB5" w:rsidRPr="00CC48A3" w:rsidRDefault="00EF7BB5" w:rsidP="00CC48A3">
            <w:pPr>
              <w:widowControl/>
              <w:jc w:val="center"/>
              <w:rPr>
                <w:rFonts w:ascii="Calibri" w:hAnsi="Calibri" w:cs="Calibri"/>
                <w:snapToGrid/>
                <w:color w:val="000000"/>
                <w:sz w:val="22"/>
                <w:szCs w:val="22"/>
              </w:rPr>
            </w:pPr>
            <w:r>
              <w:rPr>
                <w:rFonts w:ascii="Calibri" w:hAnsi="Calibri" w:cs="Calibri"/>
                <w:snapToGrid/>
                <w:color w:val="000000"/>
                <w:sz w:val="22"/>
                <w:szCs w:val="22"/>
              </w:rPr>
              <w:t>01/01/2020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jc w:val="center"/>
              <w:rPr>
                <w:rFonts w:ascii="Calibri" w:hAnsi="Calibri" w:cs="Calibri"/>
                <w:snapToGrid/>
                <w:color w:val="000000"/>
                <w:sz w:val="22"/>
                <w:szCs w:val="22"/>
              </w:rPr>
            </w:pPr>
            <w:r w:rsidRPr="00CC48A3">
              <w:rPr>
                <w:rFonts w:ascii="Calibri" w:hAnsi="Calibri" w:cs="Calibri"/>
                <w:snapToGrid/>
                <w:color w:val="000000"/>
                <w:sz w:val="22"/>
                <w:szCs w:val="22"/>
              </w:rPr>
              <w:t xml:space="preserve"> Condenações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jc w:val="center"/>
              <w:rPr>
                <w:rFonts w:ascii="Calibri" w:hAnsi="Calibri" w:cs="Calibri"/>
                <w:snapToGrid/>
                <w:color w:val="000000"/>
                <w:sz w:val="22"/>
                <w:szCs w:val="22"/>
              </w:rPr>
            </w:pPr>
            <w:r w:rsidRPr="00CC48A3">
              <w:rPr>
                <w:rFonts w:ascii="Calibri" w:hAnsi="Calibri" w:cs="Calibri"/>
                <w:snapToGrid/>
                <w:color w:val="000000"/>
                <w:sz w:val="22"/>
                <w:szCs w:val="22"/>
              </w:rPr>
              <w:t xml:space="preserve"> Complemento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jc w:val="center"/>
              <w:rPr>
                <w:rFonts w:ascii="Calibri" w:hAnsi="Calibri" w:cs="Calibri"/>
                <w:snapToGrid/>
                <w:color w:val="000000"/>
                <w:sz w:val="22"/>
                <w:szCs w:val="22"/>
              </w:rPr>
            </w:pPr>
            <w:r w:rsidRPr="00CC48A3">
              <w:rPr>
                <w:rFonts w:ascii="Calibri" w:hAnsi="Calibri" w:cs="Calibri"/>
                <w:snapToGrid/>
                <w:color w:val="000000"/>
                <w:sz w:val="22"/>
                <w:szCs w:val="22"/>
              </w:rPr>
              <w:t xml:space="preserve"> Reversão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C48A3" w:rsidRDefault="00CC48A3" w:rsidP="00CC48A3">
            <w:pPr>
              <w:widowControl/>
              <w:jc w:val="center"/>
              <w:rPr>
                <w:rFonts w:ascii="Calibri" w:hAnsi="Calibri" w:cs="Calibri"/>
                <w:snapToGrid/>
                <w:color w:val="000000"/>
                <w:sz w:val="22"/>
                <w:szCs w:val="22"/>
              </w:rPr>
            </w:pPr>
            <w:r w:rsidRPr="00CC48A3">
              <w:rPr>
                <w:rFonts w:ascii="Calibri" w:hAnsi="Calibri" w:cs="Calibri"/>
                <w:snapToGrid/>
                <w:color w:val="000000"/>
                <w:sz w:val="22"/>
                <w:szCs w:val="22"/>
              </w:rPr>
              <w:t xml:space="preserve"> Saldo Final </w:t>
            </w:r>
          </w:p>
          <w:p w:rsidR="00EF7BB5" w:rsidRPr="00CC48A3" w:rsidRDefault="00EF7BB5" w:rsidP="00CC48A3">
            <w:pPr>
              <w:widowControl/>
              <w:jc w:val="center"/>
              <w:rPr>
                <w:rFonts w:ascii="Calibri" w:hAnsi="Calibri" w:cs="Calibri"/>
                <w:snapToGrid/>
                <w:color w:val="000000"/>
                <w:sz w:val="22"/>
                <w:szCs w:val="22"/>
              </w:rPr>
            </w:pPr>
            <w:r>
              <w:rPr>
                <w:rFonts w:ascii="Calibri" w:hAnsi="Calibri" w:cs="Calibri"/>
                <w:snapToGrid/>
                <w:color w:val="000000"/>
                <w:sz w:val="22"/>
                <w:szCs w:val="22"/>
              </w:rPr>
              <w:t>31/12/2020</w:t>
            </w:r>
          </w:p>
        </w:tc>
      </w:tr>
      <w:tr w:rsidR="00CC48A3" w:rsidRPr="00CC48A3" w:rsidTr="00CC48A3">
        <w:trPr>
          <w:trHeight w:val="33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4"/>
                <w:szCs w:val="24"/>
              </w:rPr>
            </w:pPr>
            <w:r w:rsidRPr="00CC48A3">
              <w:rPr>
                <w:rFonts w:ascii="Calibri" w:hAnsi="Calibri" w:cs="Calibri"/>
                <w:snapToGrid/>
                <w:color w:val="000000"/>
                <w:sz w:val="24"/>
                <w:szCs w:val="24"/>
              </w:rPr>
              <w:t xml:space="preserve"> Ações Trabalhistas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246.194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(48.048)</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64.868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(132.667)</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130.347 </w:t>
            </w:r>
          </w:p>
        </w:tc>
      </w:tr>
      <w:tr w:rsidR="00CC48A3" w:rsidRPr="00CC48A3" w:rsidTr="00CC48A3">
        <w:trPr>
          <w:trHeight w:val="33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4"/>
                <w:szCs w:val="24"/>
              </w:rPr>
            </w:pPr>
            <w:r w:rsidRPr="00CC48A3">
              <w:rPr>
                <w:rFonts w:ascii="Calibri" w:hAnsi="Calibri" w:cs="Calibri"/>
                <w:snapToGrid/>
                <w:color w:val="000000"/>
                <w:sz w:val="24"/>
                <w:szCs w:val="24"/>
              </w:rPr>
              <w:t xml:space="preserve"> Ações Cíveis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149.651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(2.981)</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72.289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(67.803)</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151.156 </w:t>
            </w:r>
          </w:p>
        </w:tc>
      </w:tr>
      <w:tr w:rsidR="00CC48A3" w:rsidRPr="00CC48A3" w:rsidTr="00CC48A3">
        <w:trPr>
          <w:trHeight w:val="33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4"/>
                <w:szCs w:val="24"/>
              </w:rPr>
            </w:pPr>
            <w:r w:rsidRPr="00CC48A3">
              <w:rPr>
                <w:rFonts w:ascii="Calibri" w:hAnsi="Calibri" w:cs="Calibri"/>
                <w:snapToGrid/>
                <w:color w:val="000000"/>
                <w:sz w:val="24"/>
                <w:szCs w:val="24"/>
              </w:rPr>
              <w:t xml:space="preserve"> Ações Tributárias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302.974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(5.164)</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144.030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Pr>
                <w:rFonts w:ascii="Calibri" w:hAnsi="Calibri" w:cs="Calibri"/>
                <w:snapToGrid/>
                <w:color w:val="000000"/>
                <w:sz w:val="22"/>
                <w:szCs w:val="22"/>
              </w:rPr>
              <w:t xml:space="preserve"> </w:t>
            </w:r>
            <w:r w:rsidRPr="00CC48A3">
              <w:rPr>
                <w:rFonts w:ascii="Calibri" w:hAnsi="Calibri" w:cs="Calibri"/>
                <w:snapToGrid/>
                <w:color w:val="000000"/>
                <w:sz w:val="22"/>
                <w:szCs w:val="22"/>
              </w:rPr>
              <w:t xml:space="preserve">                         -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441.840 </w:t>
            </w:r>
          </w:p>
        </w:tc>
      </w:tr>
      <w:tr w:rsidR="00CC48A3" w:rsidRPr="00CC48A3" w:rsidTr="00CC48A3">
        <w:trPr>
          <w:trHeight w:val="33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4"/>
                <w:szCs w:val="24"/>
              </w:rPr>
            </w:pPr>
            <w:r w:rsidRPr="00CC48A3">
              <w:rPr>
                <w:rFonts w:ascii="Calibri" w:hAnsi="Calibri" w:cs="Calibri"/>
                <w:snapToGrid/>
                <w:color w:val="000000"/>
                <w:sz w:val="24"/>
                <w:szCs w:val="24"/>
              </w:rPr>
              <w:t xml:space="preserve"> Totais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698.819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(56.193)</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281.187 </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(200.470)</w:t>
            </w:r>
          </w:p>
        </w:tc>
        <w:tc>
          <w:tcPr>
            <w:tcW w:w="1540" w:type="dxa"/>
            <w:tcBorders>
              <w:top w:val="nil"/>
              <w:left w:val="nil"/>
              <w:bottom w:val="single" w:sz="4" w:space="0" w:color="auto"/>
              <w:right w:val="single" w:sz="4" w:space="0" w:color="auto"/>
            </w:tcBorders>
            <w:shd w:val="clear" w:color="auto" w:fill="auto"/>
            <w:noWrap/>
            <w:vAlign w:val="center"/>
            <w:hideMark/>
          </w:tcPr>
          <w:p w:rsidR="00CC48A3" w:rsidRPr="00CC48A3" w:rsidRDefault="00CC48A3" w:rsidP="00CC48A3">
            <w:pPr>
              <w:widowControl/>
              <w:rPr>
                <w:rFonts w:ascii="Calibri" w:hAnsi="Calibri" w:cs="Calibri"/>
                <w:snapToGrid/>
                <w:color w:val="000000"/>
                <w:sz w:val="22"/>
                <w:szCs w:val="22"/>
              </w:rPr>
            </w:pPr>
            <w:r w:rsidRPr="00CC48A3">
              <w:rPr>
                <w:rFonts w:ascii="Calibri" w:hAnsi="Calibri" w:cs="Calibri"/>
                <w:snapToGrid/>
                <w:color w:val="000000"/>
                <w:sz w:val="22"/>
                <w:szCs w:val="22"/>
              </w:rPr>
              <w:t xml:space="preserve">             723.343 </w:t>
            </w:r>
          </w:p>
        </w:tc>
      </w:tr>
    </w:tbl>
    <w:p w:rsidR="00CC48A3" w:rsidRDefault="00CC48A3" w:rsidP="00C16DDB">
      <w:pPr>
        <w:jc w:val="both"/>
        <w:rPr>
          <w:rFonts w:ascii="Calibri" w:hAnsi="Calibri" w:cs="Calibri"/>
          <w:sz w:val="24"/>
          <w:szCs w:val="24"/>
        </w:rPr>
      </w:pPr>
    </w:p>
    <w:p w:rsidR="00FE514C" w:rsidRDefault="00A60029" w:rsidP="00C16DDB">
      <w:pPr>
        <w:jc w:val="both"/>
        <w:rPr>
          <w:rFonts w:ascii="Calibri" w:hAnsi="Calibri" w:cs="Calibri"/>
          <w:sz w:val="24"/>
          <w:szCs w:val="24"/>
        </w:rPr>
      </w:pPr>
      <w:r>
        <w:rPr>
          <w:rFonts w:ascii="Calibri" w:hAnsi="Calibri" w:cs="Calibri"/>
          <w:sz w:val="24"/>
          <w:szCs w:val="24"/>
        </w:rPr>
        <w:t>Segundo informações da Superintendência Jurídica da CDRJ, a</w:t>
      </w:r>
      <w:r w:rsidR="00C16DDB" w:rsidRPr="00312424">
        <w:rPr>
          <w:rFonts w:ascii="Calibri" w:hAnsi="Calibri" w:cs="Calibri"/>
          <w:sz w:val="24"/>
          <w:szCs w:val="24"/>
        </w:rPr>
        <w:t>s Provisões são reconhecidas tendo como base as opiniões dos advogados sobre o valor a</w:t>
      </w:r>
      <w:r>
        <w:rPr>
          <w:rFonts w:ascii="Calibri" w:hAnsi="Calibri" w:cs="Calibri"/>
          <w:sz w:val="24"/>
          <w:szCs w:val="24"/>
        </w:rPr>
        <w:t xml:space="preserve"> ser desembolsado em cada ação, considerando a fase processual em que se encontram, levando em consideração os valores depositados, levantamentos e cálculos homologados. </w:t>
      </w:r>
    </w:p>
    <w:p w:rsidR="00FE514C" w:rsidRDefault="00FE514C" w:rsidP="00C16DDB">
      <w:pPr>
        <w:jc w:val="both"/>
        <w:rPr>
          <w:rFonts w:ascii="Calibri" w:hAnsi="Calibri" w:cs="Calibri"/>
          <w:sz w:val="24"/>
          <w:szCs w:val="24"/>
        </w:rPr>
      </w:pPr>
    </w:p>
    <w:p w:rsidR="00A60029" w:rsidRDefault="00A60029" w:rsidP="00C16DDB">
      <w:pPr>
        <w:jc w:val="both"/>
        <w:rPr>
          <w:rFonts w:ascii="Calibri" w:hAnsi="Calibri" w:cs="Calibri"/>
          <w:sz w:val="24"/>
          <w:szCs w:val="24"/>
        </w:rPr>
      </w:pPr>
      <w:r>
        <w:rPr>
          <w:rFonts w:ascii="Calibri" w:hAnsi="Calibri" w:cs="Calibri"/>
          <w:sz w:val="24"/>
          <w:szCs w:val="24"/>
        </w:rPr>
        <w:t>Os valores foram atualizados pelos índices dos respectivos tribunais em que tramitam as ações, acrescidos de juros de mora, conforme legislação vigente. Os processos classificados como perda remota foram calculados com base nos pedidos apresentados na inicial. Aqueles considerados como perda possível tiveram seus valores definidos com base em decisões na primeira instância. Os processos classificados como perdas prováveis foram calculados com base na decisão em segunda instância.</w:t>
      </w:r>
    </w:p>
    <w:p w:rsidR="00055920" w:rsidRDefault="00055920" w:rsidP="00AD1802">
      <w:pPr>
        <w:jc w:val="both"/>
        <w:rPr>
          <w:rFonts w:ascii="Calibri" w:hAnsi="Calibri" w:cs="Calibri"/>
          <w:sz w:val="24"/>
          <w:szCs w:val="24"/>
        </w:rPr>
      </w:pPr>
    </w:p>
    <w:p w:rsidR="00055920" w:rsidRDefault="00055920" w:rsidP="00AD1802">
      <w:pPr>
        <w:jc w:val="both"/>
        <w:rPr>
          <w:rFonts w:ascii="Calibri" w:hAnsi="Calibri" w:cs="Calibri"/>
          <w:sz w:val="24"/>
          <w:szCs w:val="24"/>
        </w:rPr>
      </w:pPr>
      <w:r>
        <w:rPr>
          <w:rFonts w:ascii="Calibri" w:hAnsi="Calibri" w:cs="Calibri"/>
          <w:sz w:val="24"/>
          <w:szCs w:val="24"/>
        </w:rPr>
        <w:t>As ações trabalhistas foram objeto de perícia, resultando na revisão de valores e nos métodos de constituição das provisões, ocasionando redução nos valores provisionados. Quanto aos processos tributários, houve atualizações importantes nas execuções fiscais movidas pelo Município do Rio de Janeiro.</w:t>
      </w:r>
    </w:p>
    <w:p w:rsidR="00055920" w:rsidRDefault="00055920" w:rsidP="00AD1802">
      <w:pPr>
        <w:jc w:val="both"/>
        <w:rPr>
          <w:rFonts w:ascii="Calibri" w:hAnsi="Calibri" w:cs="Calibri"/>
          <w:sz w:val="24"/>
          <w:szCs w:val="24"/>
        </w:rPr>
      </w:pPr>
    </w:p>
    <w:p w:rsidR="00AD1802" w:rsidRDefault="00AD1802" w:rsidP="00AD1802">
      <w:pPr>
        <w:jc w:val="both"/>
        <w:rPr>
          <w:rFonts w:ascii="Calibri" w:hAnsi="Calibri" w:cs="Calibri"/>
          <w:sz w:val="24"/>
          <w:szCs w:val="24"/>
        </w:rPr>
      </w:pPr>
      <w:r>
        <w:rPr>
          <w:rFonts w:ascii="Calibri" w:hAnsi="Calibri" w:cs="Calibri"/>
          <w:sz w:val="24"/>
          <w:szCs w:val="24"/>
        </w:rPr>
        <w:t>Destacam-se as seguintes ações classificadas, pela Superintendência Jurídica, com perda</w:t>
      </w:r>
      <w:r w:rsidR="00A60029">
        <w:rPr>
          <w:rFonts w:ascii="Calibri" w:hAnsi="Calibri" w:cs="Calibri"/>
          <w:sz w:val="24"/>
          <w:szCs w:val="24"/>
        </w:rPr>
        <w:t>s</w:t>
      </w:r>
      <w:r>
        <w:rPr>
          <w:rFonts w:ascii="Calibri" w:hAnsi="Calibri" w:cs="Calibri"/>
          <w:sz w:val="24"/>
          <w:szCs w:val="24"/>
        </w:rPr>
        <w:t xml:space="preserve"> prováveis:</w:t>
      </w:r>
    </w:p>
    <w:p w:rsidR="00BA545E" w:rsidRDefault="00BA545E" w:rsidP="00AD1802">
      <w:pPr>
        <w:jc w:val="both"/>
        <w:rPr>
          <w:rFonts w:ascii="Calibri" w:hAnsi="Calibri" w:cs="Calibri"/>
          <w:sz w:val="24"/>
          <w:szCs w:val="24"/>
        </w:rPr>
      </w:pPr>
    </w:p>
    <w:p w:rsidR="00BA545E" w:rsidRPr="00FE514C" w:rsidRDefault="00BA545E" w:rsidP="00BA545E">
      <w:pPr>
        <w:jc w:val="both"/>
        <w:rPr>
          <w:rFonts w:ascii="Calibri" w:hAnsi="Calibri" w:cs="Calibri"/>
          <w:b/>
          <w:sz w:val="24"/>
          <w:szCs w:val="24"/>
        </w:rPr>
      </w:pPr>
      <w:r w:rsidRPr="00FE514C">
        <w:rPr>
          <w:rFonts w:ascii="Calibri" w:hAnsi="Calibri" w:cs="Calibri"/>
          <w:b/>
          <w:sz w:val="24"/>
          <w:szCs w:val="24"/>
        </w:rPr>
        <w:t>Ações Trabalhistas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39"/>
        <w:gridCol w:w="3140"/>
        <w:gridCol w:w="1043"/>
      </w:tblGrid>
      <w:tr w:rsidR="00A67118" w:rsidRPr="00FC72C3" w:rsidTr="00055920">
        <w:tc>
          <w:tcPr>
            <w:tcW w:w="2647" w:type="dxa"/>
          </w:tcPr>
          <w:p w:rsidR="00BA545E" w:rsidRPr="00FC72C3" w:rsidRDefault="00BA545E" w:rsidP="001B45CF">
            <w:pPr>
              <w:jc w:val="center"/>
              <w:rPr>
                <w:rFonts w:ascii="Calibri" w:hAnsi="Calibri" w:cs="Calibri"/>
                <w:sz w:val="22"/>
                <w:szCs w:val="22"/>
              </w:rPr>
            </w:pPr>
            <w:r w:rsidRPr="00FC72C3">
              <w:rPr>
                <w:rFonts w:ascii="Calibri" w:hAnsi="Calibri" w:cs="Calibri"/>
                <w:sz w:val="22"/>
                <w:szCs w:val="22"/>
              </w:rPr>
              <w:t>Processo</w:t>
            </w:r>
          </w:p>
        </w:tc>
        <w:tc>
          <w:tcPr>
            <w:tcW w:w="3139" w:type="dxa"/>
          </w:tcPr>
          <w:p w:rsidR="00BA545E" w:rsidRPr="00FC72C3" w:rsidRDefault="00BA545E" w:rsidP="001B45CF">
            <w:pPr>
              <w:jc w:val="center"/>
              <w:rPr>
                <w:rFonts w:ascii="Calibri" w:hAnsi="Calibri" w:cs="Calibri"/>
                <w:sz w:val="22"/>
                <w:szCs w:val="22"/>
              </w:rPr>
            </w:pPr>
            <w:r w:rsidRPr="00FC72C3">
              <w:rPr>
                <w:rFonts w:ascii="Calibri" w:hAnsi="Calibri" w:cs="Calibri"/>
                <w:sz w:val="22"/>
                <w:szCs w:val="22"/>
              </w:rPr>
              <w:t>Parte</w:t>
            </w:r>
          </w:p>
        </w:tc>
        <w:tc>
          <w:tcPr>
            <w:tcW w:w="3140" w:type="dxa"/>
          </w:tcPr>
          <w:p w:rsidR="00BA545E" w:rsidRPr="00FC72C3" w:rsidRDefault="00BA545E" w:rsidP="001B45CF">
            <w:pPr>
              <w:jc w:val="center"/>
              <w:rPr>
                <w:rFonts w:ascii="Calibri" w:hAnsi="Calibri" w:cs="Calibri"/>
                <w:sz w:val="22"/>
                <w:szCs w:val="22"/>
              </w:rPr>
            </w:pPr>
            <w:r w:rsidRPr="00FC72C3">
              <w:rPr>
                <w:rFonts w:ascii="Calibri" w:hAnsi="Calibri" w:cs="Calibri"/>
                <w:sz w:val="22"/>
                <w:szCs w:val="22"/>
              </w:rPr>
              <w:t>Tipo</w:t>
            </w:r>
          </w:p>
        </w:tc>
        <w:tc>
          <w:tcPr>
            <w:tcW w:w="1043" w:type="dxa"/>
          </w:tcPr>
          <w:p w:rsidR="00BA545E" w:rsidRPr="00FC72C3" w:rsidRDefault="00BA545E" w:rsidP="001B45CF">
            <w:pPr>
              <w:jc w:val="center"/>
              <w:rPr>
                <w:rFonts w:ascii="Calibri" w:hAnsi="Calibri" w:cs="Calibri"/>
                <w:sz w:val="22"/>
                <w:szCs w:val="22"/>
              </w:rPr>
            </w:pPr>
            <w:r w:rsidRPr="00FC72C3">
              <w:rPr>
                <w:rFonts w:ascii="Calibri" w:hAnsi="Calibri" w:cs="Calibri"/>
                <w:sz w:val="22"/>
                <w:szCs w:val="22"/>
              </w:rPr>
              <w:t>Valor</w:t>
            </w:r>
          </w:p>
        </w:tc>
      </w:tr>
      <w:tr w:rsidR="006C3A21" w:rsidRPr="00682BB4" w:rsidTr="00055920">
        <w:tc>
          <w:tcPr>
            <w:tcW w:w="2647" w:type="dxa"/>
            <w:shd w:val="clear" w:color="000000" w:fill="FFFFFF"/>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00006655620115</w:t>
            </w:r>
            <w:r w:rsidR="00682BB4" w:rsidRPr="00682BB4">
              <w:rPr>
                <w:rFonts w:ascii="Calibri" w:hAnsi="Calibri" w:cs="Calibri"/>
                <w:snapToGrid/>
                <w:sz w:val="22"/>
                <w:szCs w:val="22"/>
              </w:rPr>
              <w:t>01</w:t>
            </w:r>
            <w:r w:rsidRPr="00682BB4">
              <w:rPr>
                <w:rFonts w:ascii="Calibri" w:hAnsi="Calibri" w:cs="Calibri"/>
                <w:snapToGrid/>
                <w:sz w:val="22"/>
                <w:szCs w:val="22"/>
              </w:rPr>
              <w:t>0461</w:t>
            </w:r>
          </w:p>
        </w:tc>
        <w:tc>
          <w:tcPr>
            <w:tcW w:w="3139" w:type="dxa"/>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Vários autores</w:t>
            </w:r>
          </w:p>
        </w:tc>
        <w:tc>
          <w:tcPr>
            <w:tcW w:w="3140" w:type="dxa"/>
            <w:vAlign w:val="center"/>
          </w:tcPr>
          <w:p w:rsidR="006C3A21" w:rsidRPr="00682BB4" w:rsidRDefault="0076494B" w:rsidP="00682BB4">
            <w:pPr>
              <w:widowControl/>
              <w:rPr>
                <w:rFonts w:ascii="Calibri" w:hAnsi="Calibri" w:cs="Calibri"/>
                <w:snapToGrid/>
                <w:sz w:val="22"/>
                <w:szCs w:val="22"/>
              </w:rPr>
            </w:pPr>
            <w:r>
              <w:rPr>
                <w:rFonts w:ascii="Calibri" w:hAnsi="Calibri" w:cs="Calibri"/>
                <w:snapToGrid/>
                <w:sz w:val="22"/>
                <w:szCs w:val="22"/>
              </w:rPr>
              <w:t>Enquadramento</w:t>
            </w:r>
          </w:p>
        </w:tc>
        <w:tc>
          <w:tcPr>
            <w:tcW w:w="1043" w:type="dxa"/>
            <w:vAlign w:val="center"/>
          </w:tcPr>
          <w:p w:rsidR="006C3A21" w:rsidRPr="00682BB4" w:rsidRDefault="006C3A21" w:rsidP="00682BB4">
            <w:pPr>
              <w:widowControl/>
              <w:jc w:val="right"/>
              <w:rPr>
                <w:rFonts w:ascii="Calibri" w:hAnsi="Calibri" w:cs="Calibri"/>
                <w:snapToGrid/>
                <w:sz w:val="22"/>
                <w:szCs w:val="22"/>
              </w:rPr>
            </w:pPr>
            <w:r w:rsidRPr="00682BB4">
              <w:rPr>
                <w:rFonts w:ascii="Calibri" w:hAnsi="Calibri" w:cs="Calibri"/>
                <w:snapToGrid/>
                <w:sz w:val="22"/>
                <w:szCs w:val="22"/>
              </w:rPr>
              <w:t>4.522</w:t>
            </w:r>
          </w:p>
        </w:tc>
      </w:tr>
      <w:tr w:rsidR="006C3A21" w:rsidRPr="00682BB4" w:rsidTr="00055920">
        <w:tc>
          <w:tcPr>
            <w:tcW w:w="2647" w:type="dxa"/>
            <w:shd w:val="clear" w:color="000000" w:fill="FFFFFF"/>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00116936220155</w:t>
            </w:r>
            <w:r w:rsidR="00682BB4" w:rsidRPr="00682BB4">
              <w:rPr>
                <w:rFonts w:ascii="Calibri" w:hAnsi="Calibri" w:cs="Calibri"/>
                <w:snapToGrid/>
                <w:sz w:val="22"/>
                <w:szCs w:val="22"/>
              </w:rPr>
              <w:t>01</w:t>
            </w:r>
            <w:r w:rsidRPr="00682BB4">
              <w:rPr>
                <w:rFonts w:ascii="Calibri" w:hAnsi="Calibri" w:cs="Calibri"/>
                <w:snapToGrid/>
                <w:sz w:val="22"/>
                <w:szCs w:val="22"/>
              </w:rPr>
              <w:t>0014</w:t>
            </w:r>
          </w:p>
        </w:tc>
        <w:tc>
          <w:tcPr>
            <w:tcW w:w="3139" w:type="dxa"/>
            <w:vAlign w:val="center"/>
          </w:tcPr>
          <w:p w:rsidR="006C3A21" w:rsidRPr="00682BB4" w:rsidRDefault="006C3A21" w:rsidP="006C3A21">
            <w:pPr>
              <w:widowControl/>
              <w:rPr>
                <w:rFonts w:ascii="Calibri" w:hAnsi="Calibri" w:cs="Calibri"/>
                <w:snapToGrid/>
                <w:sz w:val="22"/>
                <w:szCs w:val="22"/>
              </w:rPr>
            </w:pPr>
            <w:r w:rsidRPr="00682BB4">
              <w:rPr>
                <w:rFonts w:ascii="Calibri" w:hAnsi="Calibri" w:cs="Calibri"/>
                <w:snapToGrid/>
                <w:sz w:val="22"/>
                <w:szCs w:val="22"/>
              </w:rPr>
              <w:t>Vários autores</w:t>
            </w:r>
          </w:p>
        </w:tc>
        <w:tc>
          <w:tcPr>
            <w:tcW w:w="3140" w:type="dxa"/>
            <w:vAlign w:val="center"/>
          </w:tcPr>
          <w:p w:rsidR="006C3A21" w:rsidRPr="00682BB4" w:rsidRDefault="0076494B" w:rsidP="00682BB4">
            <w:pPr>
              <w:widowControl/>
              <w:rPr>
                <w:rFonts w:ascii="Calibri" w:hAnsi="Calibri" w:cs="Calibri"/>
                <w:snapToGrid/>
                <w:sz w:val="22"/>
                <w:szCs w:val="22"/>
              </w:rPr>
            </w:pPr>
            <w:r>
              <w:rPr>
                <w:rFonts w:ascii="Calibri" w:hAnsi="Calibri" w:cs="Calibri"/>
                <w:snapToGrid/>
                <w:sz w:val="22"/>
                <w:szCs w:val="22"/>
              </w:rPr>
              <w:t>Equiparação salarial</w:t>
            </w:r>
          </w:p>
        </w:tc>
        <w:tc>
          <w:tcPr>
            <w:tcW w:w="1043" w:type="dxa"/>
            <w:vAlign w:val="center"/>
          </w:tcPr>
          <w:p w:rsidR="006C3A21" w:rsidRPr="00682BB4" w:rsidRDefault="006C3A21" w:rsidP="00682BB4">
            <w:pPr>
              <w:widowControl/>
              <w:jc w:val="right"/>
              <w:rPr>
                <w:rFonts w:ascii="Calibri" w:hAnsi="Calibri" w:cs="Calibri"/>
                <w:snapToGrid/>
                <w:sz w:val="22"/>
                <w:szCs w:val="22"/>
              </w:rPr>
            </w:pPr>
            <w:r w:rsidRPr="00682BB4">
              <w:rPr>
                <w:rFonts w:ascii="Calibri" w:hAnsi="Calibri" w:cs="Calibri"/>
                <w:snapToGrid/>
                <w:sz w:val="22"/>
                <w:szCs w:val="22"/>
              </w:rPr>
              <w:t>2.668</w:t>
            </w:r>
          </w:p>
        </w:tc>
      </w:tr>
      <w:tr w:rsidR="006C3A21" w:rsidRPr="00682BB4" w:rsidTr="00055920">
        <w:tc>
          <w:tcPr>
            <w:tcW w:w="2647" w:type="dxa"/>
            <w:shd w:val="clear" w:color="000000" w:fill="FFFFFF"/>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01001378320165</w:t>
            </w:r>
            <w:r w:rsidR="00682BB4" w:rsidRPr="00682BB4">
              <w:rPr>
                <w:rFonts w:ascii="Calibri" w:hAnsi="Calibri" w:cs="Calibri"/>
                <w:snapToGrid/>
                <w:sz w:val="22"/>
                <w:szCs w:val="22"/>
              </w:rPr>
              <w:t>01</w:t>
            </w:r>
            <w:r w:rsidRPr="00682BB4">
              <w:rPr>
                <w:rFonts w:ascii="Calibri" w:hAnsi="Calibri" w:cs="Calibri"/>
                <w:snapToGrid/>
                <w:sz w:val="22"/>
                <w:szCs w:val="22"/>
              </w:rPr>
              <w:t>0031</w:t>
            </w:r>
          </w:p>
        </w:tc>
        <w:tc>
          <w:tcPr>
            <w:tcW w:w="3139" w:type="dxa"/>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Haroldo Moura dos Santos</w:t>
            </w:r>
          </w:p>
        </w:tc>
        <w:tc>
          <w:tcPr>
            <w:tcW w:w="3140" w:type="dxa"/>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Equiparação salarial e outros</w:t>
            </w:r>
          </w:p>
        </w:tc>
        <w:tc>
          <w:tcPr>
            <w:tcW w:w="1043" w:type="dxa"/>
            <w:vAlign w:val="center"/>
          </w:tcPr>
          <w:p w:rsidR="006C3A21" w:rsidRPr="00682BB4" w:rsidRDefault="006C3A21" w:rsidP="00682BB4">
            <w:pPr>
              <w:widowControl/>
              <w:jc w:val="right"/>
              <w:rPr>
                <w:rFonts w:ascii="Calibri" w:hAnsi="Calibri" w:cs="Calibri"/>
                <w:snapToGrid/>
                <w:sz w:val="22"/>
                <w:szCs w:val="22"/>
              </w:rPr>
            </w:pPr>
            <w:r w:rsidRPr="00682BB4">
              <w:rPr>
                <w:rFonts w:ascii="Calibri" w:hAnsi="Calibri" w:cs="Calibri"/>
                <w:snapToGrid/>
                <w:sz w:val="22"/>
                <w:szCs w:val="22"/>
              </w:rPr>
              <w:t>2.589</w:t>
            </w:r>
          </w:p>
        </w:tc>
      </w:tr>
      <w:tr w:rsidR="006C3A21" w:rsidRPr="00682BB4" w:rsidTr="00055920">
        <w:tc>
          <w:tcPr>
            <w:tcW w:w="2647" w:type="dxa"/>
            <w:shd w:val="clear" w:color="000000" w:fill="FFFFFF"/>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00127006420075010016</w:t>
            </w:r>
          </w:p>
        </w:tc>
        <w:tc>
          <w:tcPr>
            <w:tcW w:w="3139" w:type="dxa"/>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Edilson Cardoso Pedra</w:t>
            </w:r>
          </w:p>
        </w:tc>
        <w:tc>
          <w:tcPr>
            <w:tcW w:w="3140" w:type="dxa"/>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Diferenças salariais</w:t>
            </w:r>
          </w:p>
        </w:tc>
        <w:tc>
          <w:tcPr>
            <w:tcW w:w="1043" w:type="dxa"/>
            <w:vAlign w:val="center"/>
          </w:tcPr>
          <w:p w:rsidR="006C3A21" w:rsidRPr="00682BB4" w:rsidRDefault="006C3A21" w:rsidP="00682BB4">
            <w:pPr>
              <w:widowControl/>
              <w:jc w:val="right"/>
              <w:rPr>
                <w:rFonts w:ascii="Calibri" w:hAnsi="Calibri" w:cs="Calibri"/>
                <w:snapToGrid/>
                <w:sz w:val="22"/>
                <w:szCs w:val="22"/>
              </w:rPr>
            </w:pPr>
            <w:r w:rsidRPr="00682BB4">
              <w:rPr>
                <w:rFonts w:ascii="Calibri" w:hAnsi="Calibri" w:cs="Calibri"/>
                <w:snapToGrid/>
                <w:sz w:val="22"/>
                <w:szCs w:val="22"/>
              </w:rPr>
              <w:t>1.946</w:t>
            </w:r>
          </w:p>
        </w:tc>
      </w:tr>
      <w:tr w:rsidR="006C3A21" w:rsidRPr="00682BB4" w:rsidTr="00055920">
        <w:tc>
          <w:tcPr>
            <w:tcW w:w="2647" w:type="dxa"/>
            <w:shd w:val="clear" w:color="000000" w:fill="FFFFFF"/>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00163004119985010006</w:t>
            </w:r>
          </w:p>
        </w:tc>
        <w:tc>
          <w:tcPr>
            <w:tcW w:w="3139" w:type="dxa"/>
            <w:vAlign w:val="center"/>
          </w:tcPr>
          <w:p w:rsidR="006C3A21" w:rsidRPr="00682BB4" w:rsidRDefault="006C3A21" w:rsidP="00682BB4">
            <w:pPr>
              <w:widowControl/>
              <w:rPr>
                <w:rFonts w:ascii="Calibri" w:hAnsi="Calibri" w:cs="Calibri"/>
                <w:snapToGrid/>
                <w:sz w:val="22"/>
                <w:szCs w:val="22"/>
              </w:rPr>
            </w:pPr>
            <w:r w:rsidRPr="00682BB4">
              <w:rPr>
                <w:rFonts w:ascii="Calibri" w:hAnsi="Calibri" w:cs="Calibri"/>
                <w:snapToGrid/>
                <w:sz w:val="22"/>
                <w:szCs w:val="22"/>
              </w:rPr>
              <w:t>Antônio Santos da Costa</w:t>
            </w:r>
          </w:p>
        </w:tc>
        <w:tc>
          <w:tcPr>
            <w:tcW w:w="3140" w:type="dxa"/>
            <w:vAlign w:val="center"/>
          </w:tcPr>
          <w:p w:rsidR="006C3A21" w:rsidRPr="00682BB4" w:rsidRDefault="0076494B" w:rsidP="00682BB4">
            <w:pPr>
              <w:widowControl/>
              <w:rPr>
                <w:rFonts w:ascii="Calibri" w:hAnsi="Calibri" w:cs="Calibri"/>
                <w:snapToGrid/>
                <w:sz w:val="22"/>
                <w:szCs w:val="22"/>
              </w:rPr>
            </w:pPr>
            <w:r>
              <w:rPr>
                <w:rFonts w:ascii="Calibri" w:hAnsi="Calibri" w:cs="Calibri"/>
                <w:snapToGrid/>
                <w:sz w:val="22"/>
                <w:szCs w:val="22"/>
              </w:rPr>
              <w:t>Horas extras e outros</w:t>
            </w:r>
          </w:p>
        </w:tc>
        <w:tc>
          <w:tcPr>
            <w:tcW w:w="1043" w:type="dxa"/>
            <w:vAlign w:val="center"/>
          </w:tcPr>
          <w:p w:rsidR="006C3A21" w:rsidRPr="00682BB4" w:rsidRDefault="006C3A21" w:rsidP="00682BB4">
            <w:pPr>
              <w:widowControl/>
              <w:jc w:val="right"/>
              <w:rPr>
                <w:rFonts w:ascii="Calibri" w:hAnsi="Calibri" w:cs="Calibri"/>
                <w:snapToGrid/>
                <w:sz w:val="22"/>
                <w:szCs w:val="22"/>
              </w:rPr>
            </w:pPr>
            <w:r w:rsidRPr="00682BB4">
              <w:rPr>
                <w:rFonts w:ascii="Calibri" w:hAnsi="Calibri" w:cs="Calibri"/>
                <w:snapToGrid/>
                <w:sz w:val="22"/>
                <w:szCs w:val="22"/>
              </w:rPr>
              <w:t>1.831</w:t>
            </w:r>
          </w:p>
        </w:tc>
      </w:tr>
    </w:tbl>
    <w:p w:rsidR="00AD1802" w:rsidRDefault="00AD1802" w:rsidP="00AD1802">
      <w:pPr>
        <w:jc w:val="both"/>
        <w:rPr>
          <w:rFonts w:ascii="Calibri" w:hAnsi="Calibri" w:cs="Calibri"/>
          <w:sz w:val="24"/>
          <w:szCs w:val="24"/>
        </w:rPr>
      </w:pPr>
    </w:p>
    <w:p w:rsidR="00055920" w:rsidRDefault="00055920" w:rsidP="00AD1802">
      <w:pPr>
        <w:jc w:val="both"/>
        <w:rPr>
          <w:rFonts w:ascii="Calibri" w:hAnsi="Calibri" w:cs="Calibri"/>
          <w:sz w:val="24"/>
          <w:szCs w:val="24"/>
        </w:rPr>
      </w:pPr>
    </w:p>
    <w:p w:rsidR="00AD1802" w:rsidRDefault="00AD1802" w:rsidP="00AD1802">
      <w:pPr>
        <w:jc w:val="both"/>
        <w:rPr>
          <w:rFonts w:ascii="Calibri" w:hAnsi="Calibri" w:cs="Calibri"/>
          <w:b/>
          <w:sz w:val="24"/>
          <w:szCs w:val="24"/>
        </w:rPr>
      </w:pPr>
      <w:r w:rsidRPr="00FE514C">
        <w:rPr>
          <w:rFonts w:ascii="Calibri" w:hAnsi="Calibri" w:cs="Calibri"/>
          <w:b/>
          <w:sz w:val="24"/>
          <w:szCs w:val="24"/>
        </w:rPr>
        <w:lastRenderedPageBreak/>
        <w:t>Ações Cíveis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39"/>
        <w:gridCol w:w="3140"/>
        <w:gridCol w:w="1043"/>
      </w:tblGrid>
      <w:tr w:rsidR="00A67118" w:rsidRPr="00FC72C3" w:rsidTr="00055920">
        <w:tc>
          <w:tcPr>
            <w:tcW w:w="2647" w:type="dxa"/>
          </w:tcPr>
          <w:p w:rsidR="00A67118" w:rsidRPr="00FC72C3" w:rsidRDefault="00A67118" w:rsidP="001B45CF">
            <w:pPr>
              <w:jc w:val="center"/>
              <w:rPr>
                <w:rFonts w:ascii="Calibri" w:hAnsi="Calibri" w:cs="Calibri"/>
                <w:sz w:val="22"/>
                <w:szCs w:val="22"/>
              </w:rPr>
            </w:pPr>
            <w:r w:rsidRPr="00FC72C3">
              <w:rPr>
                <w:rFonts w:ascii="Calibri" w:hAnsi="Calibri" w:cs="Calibri"/>
                <w:sz w:val="22"/>
                <w:szCs w:val="22"/>
              </w:rPr>
              <w:t>Processo</w:t>
            </w:r>
          </w:p>
        </w:tc>
        <w:tc>
          <w:tcPr>
            <w:tcW w:w="3139" w:type="dxa"/>
          </w:tcPr>
          <w:p w:rsidR="00A67118" w:rsidRPr="00FC72C3" w:rsidRDefault="00A67118" w:rsidP="001B45CF">
            <w:pPr>
              <w:jc w:val="center"/>
              <w:rPr>
                <w:rFonts w:ascii="Calibri" w:hAnsi="Calibri" w:cs="Calibri"/>
                <w:sz w:val="22"/>
                <w:szCs w:val="22"/>
              </w:rPr>
            </w:pPr>
            <w:r w:rsidRPr="00FC72C3">
              <w:rPr>
                <w:rFonts w:ascii="Calibri" w:hAnsi="Calibri" w:cs="Calibri"/>
                <w:sz w:val="22"/>
                <w:szCs w:val="22"/>
              </w:rPr>
              <w:t>Parte</w:t>
            </w:r>
          </w:p>
        </w:tc>
        <w:tc>
          <w:tcPr>
            <w:tcW w:w="3140" w:type="dxa"/>
          </w:tcPr>
          <w:p w:rsidR="00A67118" w:rsidRPr="00FC72C3" w:rsidRDefault="00A67118" w:rsidP="001B45CF">
            <w:pPr>
              <w:jc w:val="center"/>
              <w:rPr>
                <w:rFonts w:ascii="Calibri" w:hAnsi="Calibri" w:cs="Calibri"/>
                <w:sz w:val="22"/>
                <w:szCs w:val="22"/>
              </w:rPr>
            </w:pPr>
            <w:r w:rsidRPr="00FC72C3">
              <w:rPr>
                <w:rFonts w:ascii="Calibri" w:hAnsi="Calibri" w:cs="Calibri"/>
                <w:sz w:val="22"/>
                <w:szCs w:val="22"/>
              </w:rPr>
              <w:t>Tipo</w:t>
            </w:r>
          </w:p>
        </w:tc>
        <w:tc>
          <w:tcPr>
            <w:tcW w:w="1043" w:type="dxa"/>
          </w:tcPr>
          <w:p w:rsidR="00A67118" w:rsidRPr="00FC72C3" w:rsidRDefault="00A67118" w:rsidP="001B45CF">
            <w:pPr>
              <w:jc w:val="center"/>
              <w:rPr>
                <w:rFonts w:ascii="Calibri" w:hAnsi="Calibri" w:cs="Calibri"/>
                <w:sz w:val="22"/>
                <w:szCs w:val="22"/>
              </w:rPr>
            </w:pPr>
            <w:r w:rsidRPr="00FC72C3">
              <w:rPr>
                <w:rFonts w:ascii="Calibri" w:hAnsi="Calibri" w:cs="Calibri"/>
                <w:sz w:val="22"/>
                <w:szCs w:val="22"/>
              </w:rPr>
              <w:t>Valor</w:t>
            </w:r>
          </w:p>
        </w:tc>
      </w:tr>
      <w:tr w:rsidR="00682BB4" w:rsidRPr="00BA545E" w:rsidTr="00055920">
        <w:tc>
          <w:tcPr>
            <w:tcW w:w="2647" w:type="dxa"/>
            <w:shd w:val="clear" w:color="000000" w:fill="FFFFFF"/>
            <w:vAlign w:val="center"/>
          </w:tcPr>
          <w:p w:rsidR="00682BB4" w:rsidRDefault="00682BB4" w:rsidP="00682BB4">
            <w:pPr>
              <w:widowControl/>
              <w:rPr>
                <w:rFonts w:ascii="Calibri" w:hAnsi="Calibri" w:cs="Calibri"/>
                <w:snapToGrid/>
                <w:sz w:val="22"/>
                <w:szCs w:val="22"/>
              </w:rPr>
            </w:pPr>
            <w:r>
              <w:rPr>
                <w:rFonts w:ascii="Calibri" w:hAnsi="Calibri" w:cs="Calibri"/>
                <w:sz w:val="22"/>
                <w:szCs w:val="22"/>
              </w:rPr>
              <w:t>01055945920048190001</w:t>
            </w:r>
          </w:p>
        </w:tc>
        <w:tc>
          <w:tcPr>
            <w:tcW w:w="3139" w:type="dxa"/>
            <w:vAlign w:val="center"/>
          </w:tcPr>
          <w:p w:rsidR="00682BB4" w:rsidRPr="00BA545E" w:rsidRDefault="00682BB4" w:rsidP="00682BB4">
            <w:pPr>
              <w:rPr>
                <w:rFonts w:asciiTheme="minorHAnsi" w:hAnsiTheme="minorHAnsi" w:cstheme="minorHAnsi"/>
                <w:sz w:val="22"/>
                <w:szCs w:val="22"/>
              </w:rPr>
            </w:pPr>
            <w:proofErr w:type="spellStart"/>
            <w:r>
              <w:rPr>
                <w:rFonts w:asciiTheme="minorHAnsi" w:hAnsiTheme="minorHAnsi" w:cstheme="minorHAnsi"/>
                <w:sz w:val="22"/>
                <w:szCs w:val="22"/>
              </w:rPr>
              <w:t>Portus</w:t>
            </w:r>
            <w:proofErr w:type="spellEnd"/>
            <w:r>
              <w:rPr>
                <w:rFonts w:asciiTheme="minorHAnsi" w:hAnsiTheme="minorHAnsi" w:cstheme="minorHAnsi"/>
                <w:sz w:val="22"/>
                <w:szCs w:val="22"/>
              </w:rPr>
              <w:t xml:space="preserve"> Instituto de Seguridade</w:t>
            </w:r>
          </w:p>
        </w:tc>
        <w:tc>
          <w:tcPr>
            <w:tcW w:w="3140" w:type="dxa"/>
            <w:vAlign w:val="center"/>
          </w:tcPr>
          <w:p w:rsidR="00682BB4" w:rsidRPr="00BA545E" w:rsidRDefault="00682BB4" w:rsidP="00682BB4">
            <w:pPr>
              <w:rPr>
                <w:rFonts w:asciiTheme="minorHAnsi" w:hAnsiTheme="minorHAnsi" w:cstheme="minorHAnsi"/>
                <w:sz w:val="22"/>
                <w:szCs w:val="22"/>
              </w:rPr>
            </w:pPr>
            <w:r>
              <w:rPr>
                <w:rFonts w:asciiTheme="minorHAnsi" w:hAnsiTheme="minorHAnsi" w:cstheme="minorHAnsi"/>
                <w:sz w:val="22"/>
                <w:szCs w:val="22"/>
              </w:rPr>
              <w:t>Cobrança</w:t>
            </w:r>
          </w:p>
        </w:tc>
        <w:tc>
          <w:tcPr>
            <w:tcW w:w="1043" w:type="dxa"/>
            <w:vAlign w:val="center"/>
          </w:tcPr>
          <w:p w:rsidR="00682BB4" w:rsidRPr="00BA545E" w:rsidRDefault="00682BB4" w:rsidP="00682BB4">
            <w:pPr>
              <w:jc w:val="right"/>
              <w:rPr>
                <w:rFonts w:asciiTheme="minorHAnsi" w:hAnsiTheme="minorHAnsi" w:cstheme="minorHAnsi"/>
                <w:sz w:val="22"/>
                <w:szCs w:val="22"/>
              </w:rPr>
            </w:pPr>
            <w:r>
              <w:rPr>
                <w:rFonts w:asciiTheme="minorHAnsi" w:hAnsiTheme="minorHAnsi" w:cstheme="minorHAnsi"/>
                <w:sz w:val="22"/>
                <w:szCs w:val="22"/>
              </w:rPr>
              <w:t>72.103</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00059858319974025101</w:t>
            </w:r>
          </w:p>
        </w:tc>
        <w:tc>
          <w:tcPr>
            <w:tcW w:w="3139" w:type="dxa"/>
            <w:vAlign w:val="center"/>
          </w:tcPr>
          <w:p w:rsidR="00682BB4" w:rsidRPr="00FC72C3" w:rsidRDefault="00682BB4" w:rsidP="00682BB4">
            <w:pPr>
              <w:widowControl/>
              <w:rPr>
                <w:rFonts w:asciiTheme="minorHAnsi" w:hAnsiTheme="minorHAnsi" w:cstheme="minorHAnsi"/>
                <w:snapToGrid/>
                <w:sz w:val="22"/>
                <w:szCs w:val="22"/>
              </w:rPr>
            </w:pPr>
            <w:r>
              <w:rPr>
                <w:rFonts w:asciiTheme="minorHAnsi" w:hAnsiTheme="minorHAnsi" w:cstheme="minorHAnsi"/>
                <w:snapToGrid/>
                <w:sz w:val="22"/>
                <w:szCs w:val="22"/>
              </w:rPr>
              <w:t>Banco JP Morgan S/A</w:t>
            </w:r>
          </w:p>
        </w:tc>
        <w:tc>
          <w:tcPr>
            <w:tcW w:w="3140" w:type="dxa"/>
            <w:vAlign w:val="center"/>
          </w:tcPr>
          <w:p w:rsidR="00682BB4" w:rsidRPr="00FC72C3" w:rsidRDefault="00682BB4" w:rsidP="00682BB4">
            <w:pPr>
              <w:rPr>
                <w:rFonts w:asciiTheme="minorHAnsi" w:hAnsiTheme="minorHAnsi" w:cstheme="minorHAnsi"/>
                <w:sz w:val="22"/>
                <w:szCs w:val="22"/>
              </w:rPr>
            </w:pPr>
            <w:r>
              <w:rPr>
                <w:rFonts w:asciiTheme="minorHAnsi" w:hAnsiTheme="minorHAnsi" w:cstheme="minorHAnsi"/>
                <w:sz w:val="22"/>
                <w:szCs w:val="22"/>
              </w:rPr>
              <w:t>Execução de título extrajudicial</w:t>
            </w:r>
          </w:p>
        </w:tc>
        <w:tc>
          <w:tcPr>
            <w:tcW w:w="1043" w:type="dxa"/>
            <w:vAlign w:val="center"/>
          </w:tcPr>
          <w:p w:rsidR="00682BB4" w:rsidRPr="00FC72C3" w:rsidRDefault="00682BB4" w:rsidP="00682BB4">
            <w:pPr>
              <w:jc w:val="right"/>
              <w:rPr>
                <w:rFonts w:asciiTheme="minorHAnsi" w:hAnsiTheme="minorHAnsi" w:cstheme="minorHAnsi"/>
                <w:sz w:val="22"/>
                <w:szCs w:val="22"/>
              </w:rPr>
            </w:pPr>
            <w:r>
              <w:rPr>
                <w:rFonts w:asciiTheme="minorHAnsi" w:hAnsiTheme="minorHAnsi" w:cstheme="minorHAnsi"/>
                <w:sz w:val="22"/>
                <w:szCs w:val="22"/>
              </w:rPr>
              <w:t>37.646</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00224729519978190001</w:t>
            </w:r>
          </w:p>
        </w:tc>
        <w:tc>
          <w:tcPr>
            <w:tcW w:w="3139" w:type="dxa"/>
            <w:vAlign w:val="center"/>
          </w:tcPr>
          <w:p w:rsidR="00682BB4" w:rsidRPr="00BA545E" w:rsidRDefault="00682BB4" w:rsidP="00682BB4">
            <w:pPr>
              <w:rPr>
                <w:rFonts w:asciiTheme="minorHAnsi" w:hAnsiTheme="minorHAnsi" w:cstheme="minorHAnsi"/>
                <w:sz w:val="22"/>
                <w:szCs w:val="22"/>
              </w:rPr>
            </w:pPr>
            <w:proofErr w:type="spellStart"/>
            <w:r>
              <w:rPr>
                <w:rFonts w:asciiTheme="minorHAnsi" w:hAnsiTheme="minorHAnsi" w:cstheme="minorHAnsi"/>
                <w:sz w:val="22"/>
                <w:szCs w:val="22"/>
              </w:rPr>
              <w:t>Portus</w:t>
            </w:r>
            <w:proofErr w:type="spellEnd"/>
            <w:r>
              <w:rPr>
                <w:rFonts w:asciiTheme="minorHAnsi" w:hAnsiTheme="minorHAnsi" w:cstheme="minorHAnsi"/>
                <w:sz w:val="22"/>
                <w:szCs w:val="22"/>
              </w:rPr>
              <w:t xml:space="preserve"> Instituto de Seguridade</w:t>
            </w:r>
          </w:p>
        </w:tc>
        <w:tc>
          <w:tcPr>
            <w:tcW w:w="3140" w:type="dxa"/>
            <w:vAlign w:val="center"/>
          </w:tcPr>
          <w:p w:rsidR="00682BB4" w:rsidRPr="00FC72C3" w:rsidRDefault="00682BB4" w:rsidP="00682BB4">
            <w:pPr>
              <w:rPr>
                <w:rFonts w:asciiTheme="minorHAnsi" w:hAnsiTheme="minorHAnsi" w:cstheme="minorHAnsi"/>
                <w:sz w:val="22"/>
                <w:szCs w:val="22"/>
              </w:rPr>
            </w:pPr>
            <w:r>
              <w:rPr>
                <w:rFonts w:asciiTheme="minorHAnsi" w:hAnsiTheme="minorHAnsi" w:cstheme="minorHAnsi"/>
                <w:sz w:val="22"/>
                <w:szCs w:val="22"/>
              </w:rPr>
              <w:t>Execução de título extrajudicial</w:t>
            </w:r>
          </w:p>
        </w:tc>
        <w:tc>
          <w:tcPr>
            <w:tcW w:w="1043" w:type="dxa"/>
            <w:vAlign w:val="center"/>
          </w:tcPr>
          <w:p w:rsidR="00682BB4" w:rsidRPr="00FC72C3" w:rsidRDefault="00682BB4" w:rsidP="00682BB4">
            <w:pPr>
              <w:jc w:val="right"/>
              <w:rPr>
                <w:rFonts w:asciiTheme="minorHAnsi" w:hAnsiTheme="minorHAnsi" w:cstheme="minorHAnsi"/>
                <w:sz w:val="22"/>
                <w:szCs w:val="22"/>
              </w:rPr>
            </w:pPr>
            <w:r>
              <w:rPr>
                <w:rFonts w:asciiTheme="minorHAnsi" w:hAnsiTheme="minorHAnsi" w:cstheme="minorHAnsi"/>
                <w:sz w:val="22"/>
                <w:szCs w:val="22"/>
              </w:rPr>
              <w:t>20.455</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00446082719944025101</w:t>
            </w:r>
          </w:p>
        </w:tc>
        <w:tc>
          <w:tcPr>
            <w:tcW w:w="3139" w:type="dxa"/>
            <w:vAlign w:val="center"/>
          </w:tcPr>
          <w:p w:rsidR="00682BB4" w:rsidRPr="00FC72C3" w:rsidRDefault="00682BB4" w:rsidP="00682BB4">
            <w:pPr>
              <w:rPr>
                <w:rFonts w:asciiTheme="minorHAnsi" w:hAnsiTheme="minorHAnsi" w:cstheme="minorHAnsi"/>
                <w:sz w:val="22"/>
                <w:szCs w:val="22"/>
              </w:rPr>
            </w:pPr>
            <w:proofErr w:type="spellStart"/>
            <w:r>
              <w:rPr>
                <w:rFonts w:asciiTheme="minorHAnsi" w:hAnsiTheme="minorHAnsi" w:cstheme="minorHAnsi"/>
                <w:sz w:val="22"/>
                <w:szCs w:val="22"/>
              </w:rPr>
              <w:t>Dibens</w:t>
            </w:r>
            <w:proofErr w:type="spellEnd"/>
            <w:r>
              <w:rPr>
                <w:rFonts w:asciiTheme="minorHAnsi" w:hAnsiTheme="minorHAnsi" w:cstheme="minorHAnsi"/>
                <w:sz w:val="22"/>
                <w:szCs w:val="22"/>
              </w:rPr>
              <w:t xml:space="preserve"> Leasing</w:t>
            </w:r>
          </w:p>
        </w:tc>
        <w:tc>
          <w:tcPr>
            <w:tcW w:w="3140" w:type="dxa"/>
            <w:vAlign w:val="center"/>
          </w:tcPr>
          <w:p w:rsidR="00682BB4" w:rsidRPr="00FC72C3" w:rsidRDefault="00682BB4" w:rsidP="00682BB4">
            <w:pPr>
              <w:rPr>
                <w:rFonts w:asciiTheme="minorHAnsi" w:hAnsiTheme="minorHAnsi" w:cstheme="minorHAnsi"/>
                <w:sz w:val="22"/>
                <w:szCs w:val="22"/>
              </w:rPr>
            </w:pPr>
            <w:r>
              <w:rPr>
                <w:rFonts w:asciiTheme="minorHAnsi" w:hAnsiTheme="minorHAnsi" w:cstheme="minorHAnsi"/>
                <w:sz w:val="22"/>
                <w:szCs w:val="22"/>
              </w:rPr>
              <w:t>Execução de título extrajudicial</w:t>
            </w:r>
          </w:p>
        </w:tc>
        <w:tc>
          <w:tcPr>
            <w:tcW w:w="1043" w:type="dxa"/>
            <w:vAlign w:val="center"/>
          </w:tcPr>
          <w:p w:rsidR="00682BB4" w:rsidRPr="00FC72C3" w:rsidRDefault="00682BB4" w:rsidP="00682BB4">
            <w:pPr>
              <w:jc w:val="right"/>
              <w:rPr>
                <w:rFonts w:asciiTheme="minorHAnsi" w:hAnsiTheme="minorHAnsi" w:cstheme="minorHAnsi"/>
                <w:sz w:val="22"/>
                <w:szCs w:val="22"/>
              </w:rPr>
            </w:pPr>
            <w:r>
              <w:rPr>
                <w:rFonts w:asciiTheme="minorHAnsi" w:hAnsiTheme="minorHAnsi" w:cstheme="minorHAnsi"/>
                <w:sz w:val="22"/>
                <w:szCs w:val="22"/>
              </w:rPr>
              <w:t>9.475</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00793175420148190001</w:t>
            </w:r>
          </w:p>
        </w:tc>
        <w:tc>
          <w:tcPr>
            <w:tcW w:w="3139" w:type="dxa"/>
            <w:vAlign w:val="center"/>
          </w:tcPr>
          <w:p w:rsidR="00682BB4" w:rsidRPr="00BA545E" w:rsidRDefault="00682BB4" w:rsidP="00682BB4">
            <w:pPr>
              <w:rPr>
                <w:rFonts w:asciiTheme="minorHAnsi" w:hAnsiTheme="minorHAnsi" w:cstheme="minorHAnsi"/>
                <w:sz w:val="22"/>
                <w:szCs w:val="22"/>
              </w:rPr>
            </w:pPr>
            <w:proofErr w:type="spellStart"/>
            <w:r>
              <w:rPr>
                <w:rFonts w:asciiTheme="minorHAnsi" w:hAnsiTheme="minorHAnsi" w:cstheme="minorHAnsi"/>
                <w:sz w:val="22"/>
                <w:szCs w:val="22"/>
              </w:rPr>
              <w:t>Portus</w:t>
            </w:r>
            <w:proofErr w:type="spellEnd"/>
            <w:r>
              <w:rPr>
                <w:rFonts w:asciiTheme="minorHAnsi" w:hAnsiTheme="minorHAnsi" w:cstheme="minorHAnsi"/>
                <w:sz w:val="22"/>
                <w:szCs w:val="22"/>
              </w:rPr>
              <w:t xml:space="preserve"> Instituto de Seguridade</w:t>
            </w:r>
          </w:p>
        </w:tc>
        <w:tc>
          <w:tcPr>
            <w:tcW w:w="3140" w:type="dxa"/>
            <w:vAlign w:val="center"/>
          </w:tcPr>
          <w:p w:rsidR="00682BB4" w:rsidRDefault="00682BB4" w:rsidP="00682BB4">
            <w:pPr>
              <w:rPr>
                <w:rFonts w:asciiTheme="minorHAnsi" w:hAnsiTheme="minorHAnsi" w:cstheme="minorHAnsi"/>
                <w:sz w:val="22"/>
                <w:szCs w:val="22"/>
              </w:rPr>
            </w:pPr>
            <w:r>
              <w:rPr>
                <w:rFonts w:asciiTheme="minorHAnsi" w:hAnsiTheme="minorHAnsi" w:cstheme="minorHAnsi"/>
                <w:sz w:val="22"/>
                <w:szCs w:val="22"/>
              </w:rPr>
              <w:t>Impugnação</w:t>
            </w:r>
          </w:p>
        </w:tc>
        <w:tc>
          <w:tcPr>
            <w:tcW w:w="1043" w:type="dxa"/>
            <w:vAlign w:val="center"/>
          </w:tcPr>
          <w:p w:rsidR="00682BB4" w:rsidRDefault="00682BB4" w:rsidP="00682BB4">
            <w:pPr>
              <w:jc w:val="right"/>
              <w:rPr>
                <w:rFonts w:asciiTheme="minorHAnsi" w:hAnsiTheme="minorHAnsi" w:cstheme="minorHAnsi"/>
                <w:sz w:val="22"/>
                <w:szCs w:val="22"/>
              </w:rPr>
            </w:pPr>
            <w:r>
              <w:rPr>
                <w:rFonts w:asciiTheme="minorHAnsi" w:hAnsiTheme="minorHAnsi" w:cstheme="minorHAnsi"/>
                <w:sz w:val="22"/>
                <w:szCs w:val="22"/>
              </w:rPr>
              <w:t>6.598</w:t>
            </w:r>
          </w:p>
        </w:tc>
      </w:tr>
    </w:tbl>
    <w:p w:rsidR="00A67118" w:rsidRDefault="00A67118" w:rsidP="00AD1802">
      <w:pPr>
        <w:jc w:val="both"/>
        <w:rPr>
          <w:rFonts w:ascii="Calibri" w:hAnsi="Calibri" w:cs="Calibri"/>
          <w:b/>
          <w:sz w:val="24"/>
          <w:szCs w:val="24"/>
        </w:rPr>
      </w:pPr>
    </w:p>
    <w:p w:rsidR="00AD1802" w:rsidRDefault="00AD1802" w:rsidP="00AD1802">
      <w:pPr>
        <w:jc w:val="both"/>
        <w:rPr>
          <w:rFonts w:ascii="Calibri" w:hAnsi="Calibri" w:cs="Calibri"/>
          <w:b/>
          <w:sz w:val="24"/>
          <w:szCs w:val="24"/>
        </w:rPr>
      </w:pPr>
      <w:r w:rsidRPr="00FE514C">
        <w:rPr>
          <w:rFonts w:ascii="Calibri" w:hAnsi="Calibri" w:cs="Calibri"/>
          <w:b/>
          <w:sz w:val="24"/>
          <w:szCs w:val="24"/>
        </w:rPr>
        <w:t>Ações Tributárias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39"/>
        <w:gridCol w:w="3140"/>
        <w:gridCol w:w="1043"/>
      </w:tblGrid>
      <w:tr w:rsidR="00682BB4" w:rsidRPr="00FC72C3" w:rsidTr="00055920">
        <w:tc>
          <w:tcPr>
            <w:tcW w:w="2647" w:type="dxa"/>
          </w:tcPr>
          <w:p w:rsidR="00682BB4" w:rsidRPr="00FC72C3" w:rsidRDefault="00682BB4" w:rsidP="00F15963">
            <w:pPr>
              <w:jc w:val="center"/>
              <w:rPr>
                <w:rFonts w:ascii="Calibri" w:hAnsi="Calibri" w:cs="Calibri"/>
                <w:sz w:val="22"/>
                <w:szCs w:val="22"/>
              </w:rPr>
            </w:pPr>
            <w:r w:rsidRPr="00FC72C3">
              <w:rPr>
                <w:rFonts w:ascii="Calibri" w:hAnsi="Calibri" w:cs="Calibri"/>
                <w:sz w:val="22"/>
                <w:szCs w:val="22"/>
              </w:rPr>
              <w:t>Processo</w:t>
            </w:r>
          </w:p>
        </w:tc>
        <w:tc>
          <w:tcPr>
            <w:tcW w:w="3139" w:type="dxa"/>
          </w:tcPr>
          <w:p w:rsidR="00682BB4" w:rsidRPr="00FC72C3" w:rsidRDefault="00682BB4" w:rsidP="00F15963">
            <w:pPr>
              <w:jc w:val="center"/>
              <w:rPr>
                <w:rFonts w:ascii="Calibri" w:hAnsi="Calibri" w:cs="Calibri"/>
                <w:sz w:val="22"/>
                <w:szCs w:val="22"/>
              </w:rPr>
            </w:pPr>
            <w:r w:rsidRPr="00FC72C3">
              <w:rPr>
                <w:rFonts w:ascii="Calibri" w:hAnsi="Calibri" w:cs="Calibri"/>
                <w:sz w:val="22"/>
                <w:szCs w:val="22"/>
              </w:rPr>
              <w:t>Parte</w:t>
            </w:r>
          </w:p>
        </w:tc>
        <w:tc>
          <w:tcPr>
            <w:tcW w:w="3140" w:type="dxa"/>
          </w:tcPr>
          <w:p w:rsidR="00682BB4" w:rsidRPr="00FC72C3" w:rsidRDefault="00682BB4" w:rsidP="00F15963">
            <w:pPr>
              <w:jc w:val="center"/>
              <w:rPr>
                <w:rFonts w:ascii="Calibri" w:hAnsi="Calibri" w:cs="Calibri"/>
                <w:sz w:val="22"/>
                <w:szCs w:val="22"/>
              </w:rPr>
            </w:pPr>
            <w:r w:rsidRPr="00FC72C3">
              <w:rPr>
                <w:rFonts w:ascii="Calibri" w:hAnsi="Calibri" w:cs="Calibri"/>
                <w:sz w:val="22"/>
                <w:szCs w:val="22"/>
              </w:rPr>
              <w:t>Tipo</w:t>
            </w:r>
          </w:p>
        </w:tc>
        <w:tc>
          <w:tcPr>
            <w:tcW w:w="1043" w:type="dxa"/>
          </w:tcPr>
          <w:p w:rsidR="00682BB4" w:rsidRPr="00FC72C3" w:rsidRDefault="00682BB4" w:rsidP="00F15963">
            <w:pPr>
              <w:jc w:val="center"/>
              <w:rPr>
                <w:rFonts w:ascii="Calibri" w:hAnsi="Calibri" w:cs="Calibri"/>
                <w:sz w:val="22"/>
                <w:szCs w:val="22"/>
              </w:rPr>
            </w:pPr>
            <w:r w:rsidRPr="00FC72C3">
              <w:rPr>
                <w:rFonts w:ascii="Calibri" w:hAnsi="Calibri" w:cs="Calibri"/>
                <w:sz w:val="22"/>
                <w:szCs w:val="22"/>
              </w:rPr>
              <w:t>Valor</w:t>
            </w:r>
          </w:p>
        </w:tc>
      </w:tr>
      <w:tr w:rsidR="00682BB4" w:rsidRPr="00BA545E" w:rsidTr="00055920">
        <w:tc>
          <w:tcPr>
            <w:tcW w:w="2647" w:type="dxa"/>
            <w:shd w:val="clear" w:color="000000" w:fill="FFFFFF"/>
            <w:vAlign w:val="center"/>
          </w:tcPr>
          <w:p w:rsidR="00682BB4" w:rsidRDefault="00682BB4" w:rsidP="00682BB4">
            <w:pPr>
              <w:widowControl/>
              <w:rPr>
                <w:rFonts w:ascii="Calibri" w:hAnsi="Calibri" w:cs="Calibri"/>
                <w:snapToGrid/>
                <w:sz w:val="22"/>
                <w:szCs w:val="22"/>
              </w:rPr>
            </w:pPr>
            <w:r>
              <w:rPr>
                <w:rFonts w:ascii="Calibri" w:hAnsi="Calibri" w:cs="Calibri"/>
                <w:sz w:val="22"/>
                <w:szCs w:val="22"/>
              </w:rPr>
              <w:t>01627345620018190001</w:t>
            </w:r>
          </w:p>
        </w:tc>
        <w:tc>
          <w:tcPr>
            <w:tcW w:w="3139" w:type="dxa"/>
            <w:vAlign w:val="center"/>
          </w:tcPr>
          <w:p w:rsidR="00682BB4" w:rsidRPr="00BA545E" w:rsidRDefault="00682BB4" w:rsidP="00682BB4">
            <w:pPr>
              <w:rPr>
                <w:rFonts w:asciiTheme="minorHAnsi" w:hAnsiTheme="minorHAnsi" w:cstheme="minorHAnsi"/>
                <w:sz w:val="22"/>
                <w:szCs w:val="22"/>
              </w:rPr>
            </w:pPr>
            <w:r>
              <w:rPr>
                <w:rFonts w:asciiTheme="minorHAnsi" w:hAnsiTheme="minorHAnsi" w:cstheme="minorHAnsi"/>
                <w:sz w:val="22"/>
                <w:szCs w:val="22"/>
              </w:rPr>
              <w:t>Município do Rio de Janeiro</w:t>
            </w:r>
          </w:p>
        </w:tc>
        <w:tc>
          <w:tcPr>
            <w:tcW w:w="3140" w:type="dxa"/>
            <w:vAlign w:val="center"/>
          </w:tcPr>
          <w:p w:rsidR="00682BB4" w:rsidRPr="00BA545E" w:rsidRDefault="00682BB4" w:rsidP="00682BB4">
            <w:pPr>
              <w:rPr>
                <w:rFonts w:asciiTheme="minorHAnsi" w:hAnsiTheme="minorHAnsi" w:cstheme="minorHAnsi"/>
                <w:sz w:val="22"/>
                <w:szCs w:val="22"/>
              </w:rPr>
            </w:pPr>
            <w:r>
              <w:rPr>
                <w:rFonts w:asciiTheme="minorHAnsi" w:hAnsiTheme="minorHAnsi" w:cstheme="minorHAnsi"/>
                <w:sz w:val="22"/>
                <w:szCs w:val="22"/>
              </w:rPr>
              <w:t>Execução fiscal</w:t>
            </w:r>
          </w:p>
        </w:tc>
        <w:tc>
          <w:tcPr>
            <w:tcW w:w="1043" w:type="dxa"/>
            <w:vAlign w:val="center"/>
          </w:tcPr>
          <w:p w:rsidR="00682BB4" w:rsidRPr="00BA545E" w:rsidRDefault="00682BB4" w:rsidP="00682BB4">
            <w:pPr>
              <w:jc w:val="right"/>
              <w:rPr>
                <w:rFonts w:asciiTheme="minorHAnsi" w:hAnsiTheme="minorHAnsi" w:cstheme="minorHAnsi"/>
                <w:sz w:val="22"/>
                <w:szCs w:val="22"/>
              </w:rPr>
            </w:pPr>
            <w:r>
              <w:rPr>
                <w:rFonts w:asciiTheme="minorHAnsi" w:hAnsiTheme="minorHAnsi" w:cstheme="minorHAnsi"/>
                <w:sz w:val="22"/>
                <w:szCs w:val="22"/>
              </w:rPr>
              <w:t>256.039</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01648780320018190001</w:t>
            </w:r>
          </w:p>
        </w:tc>
        <w:tc>
          <w:tcPr>
            <w:tcW w:w="3139" w:type="dxa"/>
          </w:tcPr>
          <w:p w:rsidR="00682BB4" w:rsidRDefault="00682BB4" w:rsidP="00682BB4">
            <w:r w:rsidRPr="00E70DAB">
              <w:rPr>
                <w:rFonts w:asciiTheme="minorHAnsi" w:hAnsiTheme="minorHAnsi" w:cstheme="minorHAnsi"/>
                <w:sz w:val="22"/>
                <w:szCs w:val="22"/>
              </w:rPr>
              <w:t>Município do Rio de Janeiro</w:t>
            </w:r>
          </w:p>
        </w:tc>
        <w:tc>
          <w:tcPr>
            <w:tcW w:w="3140" w:type="dxa"/>
            <w:vAlign w:val="center"/>
          </w:tcPr>
          <w:p w:rsidR="00682BB4" w:rsidRPr="00FC72C3" w:rsidRDefault="00682BB4" w:rsidP="00682BB4">
            <w:pPr>
              <w:rPr>
                <w:rFonts w:asciiTheme="minorHAnsi" w:hAnsiTheme="minorHAnsi" w:cstheme="minorHAnsi"/>
                <w:sz w:val="22"/>
                <w:szCs w:val="22"/>
              </w:rPr>
            </w:pPr>
            <w:r>
              <w:rPr>
                <w:rFonts w:asciiTheme="minorHAnsi" w:hAnsiTheme="minorHAnsi" w:cstheme="minorHAnsi"/>
                <w:sz w:val="22"/>
                <w:szCs w:val="22"/>
              </w:rPr>
              <w:t>Execução fiscal</w:t>
            </w:r>
          </w:p>
        </w:tc>
        <w:tc>
          <w:tcPr>
            <w:tcW w:w="1043" w:type="dxa"/>
            <w:vAlign w:val="center"/>
          </w:tcPr>
          <w:p w:rsidR="00682BB4" w:rsidRPr="00FC72C3" w:rsidRDefault="00682BB4" w:rsidP="00682BB4">
            <w:pPr>
              <w:jc w:val="right"/>
              <w:rPr>
                <w:rFonts w:asciiTheme="minorHAnsi" w:hAnsiTheme="minorHAnsi" w:cstheme="minorHAnsi"/>
                <w:sz w:val="22"/>
                <w:szCs w:val="22"/>
              </w:rPr>
            </w:pPr>
            <w:r>
              <w:rPr>
                <w:rFonts w:asciiTheme="minorHAnsi" w:hAnsiTheme="minorHAnsi" w:cstheme="minorHAnsi"/>
                <w:sz w:val="22"/>
                <w:szCs w:val="22"/>
              </w:rPr>
              <w:t>93.067</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02683699419998190001</w:t>
            </w:r>
          </w:p>
        </w:tc>
        <w:tc>
          <w:tcPr>
            <w:tcW w:w="3139" w:type="dxa"/>
          </w:tcPr>
          <w:p w:rsidR="00682BB4" w:rsidRDefault="00682BB4" w:rsidP="00682BB4">
            <w:r w:rsidRPr="00E70DAB">
              <w:rPr>
                <w:rFonts w:asciiTheme="minorHAnsi" w:hAnsiTheme="minorHAnsi" w:cstheme="minorHAnsi"/>
                <w:sz w:val="22"/>
                <w:szCs w:val="22"/>
              </w:rPr>
              <w:t>Município do Rio de Janeiro</w:t>
            </w:r>
          </w:p>
        </w:tc>
        <w:tc>
          <w:tcPr>
            <w:tcW w:w="3140" w:type="dxa"/>
            <w:vAlign w:val="center"/>
          </w:tcPr>
          <w:p w:rsidR="00682BB4" w:rsidRPr="00FC72C3" w:rsidRDefault="00682BB4" w:rsidP="00682BB4">
            <w:pPr>
              <w:rPr>
                <w:rFonts w:asciiTheme="minorHAnsi" w:hAnsiTheme="minorHAnsi" w:cstheme="minorHAnsi"/>
                <w:sz w:val="22"/>
                <w:szCs w:val="22"/>
              </w:rPr>
            </w:pPr>
            <w:r>
              <w:rPr>
                <w:rFonts w:asciiTheme="minorHAnsi" w:hAnsiTheme="minorHAnsi" w:cstheme="minorHAnsi"/>
                <w:sz w:val="22"/>
                <w:szCs w:val="22"/>
              </w:rPr>
              <w:t>Execução fiscal</w:t>
            </w:r>
          </w:p>
        </w:tc>
        <w:tc>
          <w:tcPr>
            <w:tcW w:w="1043" w:type="dxa"/>
            <w:vAlign w:val="center"/>
          </w:tcPr>
          <w:p w:rsidR="00682BB4" w:rsidRPr="00FC72C3" w:rsidRDefault="00682BB4" w:rsidP="00682BB4">
            <w:pPr>
              <w:jc w:val="right"/>
              <w:rPr>
                <w:rFonts w:asciiTheme="minorHAnsi" w:hAnsiTheme="minorHAnsi" w:cstheme="minorHAnsi"/>
                <w:sz w:val="22"/>
                <w:szCs w:val="22"/>
              </w:rPr>
            </w:pPr>
            <w:r>
              <w:rPr>
                <w:rFonts w:asciiTheme="minorHAnsi" w:hAnsiTheme="minorHAnsi" w:cstheme="minorHAnsi"/>
                <w:sz w:val="22"/>
                <w:szCs w:val="22"/>
              </w:rPr>
              <w:t>34.293</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00035728820028190001</w:t>
            </w:r>
          </w:p>
        </w:tc>
        <w:tc>
          <w:tcPr>
            <w:tcW w:w="3139" w:type="dxa"/>
          </w:tcPr>
          <w:p w:rsidR="00682BB4" w:rsidRDefault="00682BB4" w:rsidP="00682BB4">
            <w:r w:rsidRPr="00E70DAB">
              <w:rPr>
                <w:rFonts w:asciiTheme="minorHAnsi" w:hAnsiTheme="minorHAnsi" w:cstheme="minorHAnsi"/>
                <w:sz w:val="22"/>
                <w:szCs w:val="22"/>
              </w:rPr>
              <w:t>Município do Rio de Janeiro</w:t>
            </w:r>
          </w:p>
        </w:tc>
        <w:tc>
          <w:tcPr>
            <w:tcW w:w="3140" w:type="dxa"/>
            <w:vAlign w:val="center"/>
          </w:tcPr>
          <w:p w:rsidR="00682BB4" w:rsidRPr="00FC72C3" w:rsidRDefault="00682BB4" w:rsidP="00682BB4">
            <w:pPr>
              <w:rPr>
                <w:rFonts w:asciiTheme="minorHAnsi" w:hAnsiTheme="minorHAnsi" w:cstheme="minorHAnsi"/>
                <w:sz w:val="22"/>
                <w:szCs w:val="22"/>
              </w:rPr>
            </w:pPr>
            <w:r>
              <w:rPr>
                <w:rFonts w:asciiTheme="minorHAnsi" w:hAnsiTheme="minorHAnsi" w:cstheme="minorHAnsi"/>
                <w:sz w:val="22"/>
                <w:szCs w:val="22"/>
              </w:rPr>
              <w:t>Embargos à execução</w:t>
            </w:r>
          </w:p>
        </w:tc>
        <w:tc>
          <w:tcPr>
            <w:tcW w:w="1043" w:type="dxa"/>
            <w:vAlign w:val="center"/>
          </w:tcPr>
          <w:p w:rsidR="00682BB4" w:rsidRPr="00FC72C3" w:rsidRDefault="00682BB4" w:rsidP="00682BB4">
            <w:pPr>
              <w:jc w:val="right"/>
              <w:rPr>
                <w:rFonts w:asciiTheme="minorHAnsi" w:hAnsiTheme="minorHAnsi" w:cstheme="minorHAnsi"/>
                <w:sz w:val="22"/>
                <w:szCs w:val="22"/>
              </w:rPr>
            </w:pPr>
            <w:r>
              <w:rPr>
                <w:rFonts w:asciiTheme="minorHAnsi" w:hAnsiTheme="minorHAnsi" w:cstheme="minorHAnsi"/>
                <w:sz w:val="22"/>
                <w:szCs w:val="22"/>
              </w:rPr>
              <w:t>10.974</w:t>
            </w:r>
          </w:p>
        </w:tc>
      </w:tr>
      <w:tr w:rsidR="00682BB4" w:rsidRPr="00FC72C3" w:rsidTr="00055920">
        <w:tc>
          <w:tcPr>
            <w:tcW w:w="2647" w:type="dxa"/>
            <w:shd w:val="clear" w:color="000000" w:fill="FFFFFF"/>
            <w:vAlign w:val="center"/>
          </w:tcPr>
          <w:p w:rsidR="00682BB4" w:rsidRDefault="00682BB4" w:rsidP="00682BB4">
            <w:pPr>
              <w:rPr>
                <w:rFonts w:ascii="Calibri" w:hAnsi="Calibri" w:cs="Calibri"/>
                <w:sz w:val="22"/>
                <w:szCs w:val="22"/>
              </w:rPr>
            </w:pPr>
            <w:r>
              <w:rPr>
                <w:rFonts w:ascii="Calibri" w:hAnsi="Calibri" w:cs="Calibri"/>
                <w:sz w:val="22"/>
                <w:szCs w:val="22"/>
              </w:rPr>
              <w:t>03430243719998190001</w:t>
            </w:r>
          </w:p>
        </w:tc>
        <w:tc>
          <w:tcPr>
            <w:tcW w:w="3139" w:type="dxa"/>
          </w:tcPr>
          <w:p w:rsidR="00682BB4" w:rsidRDefault="00682BB4" w:rsidP="00682BB4">
            <w:r w:rsidRPr="00E70DAB">
              <w:rPr>
                <w:rFonts w:asciiTheme="minorHAnsi" w:hAnsiTheme="minorHAnsi" w:cstheme="minorHAnsi"/>
                <w:sz w:val="22"/>
                <w:szCs w:val="22"/>
              </w:rPr>
              <w:t>Município do Rio de Janeiro</w:t>
            </w:r>
          </w:p>
        </w:tc>
        <w:tc>
          <w:tcPr>
            <w:tcW w:w="3140" w:type="dxa"/>
            <w:vAlign w:val="center"/>
          </w:tcPr>
          <w:p w:rsidR="00682BB4" w:rsidRDefault="00682BB4" w:rsidP="00682BB4">
            <w:pPr>
              <w:rPr>
                <w:rFonts w:asciiTheme="minorHAnsi" w:hAnsiTheme="minorHAnsi" w:cstheme="minorHAnsi"/>
                <w:sz w:val="22"/>
                <w:szCs w:val="22"/>
              </w:rPr>
            </w:pPr>
            <w:r>
              <w:rPr>
                <w:rFonts w:asciiTheme="minorHAnsi" w:hAnsiTheme="minorHAnsi" w:cstheme="minorHAnsi"/>
                <w:sz w:val="22"/>
                <w:szCs w:val="22"/>
              </w:rPr>
              <w:t>Execução fiscal</w:t>
            </w:r>
          </w:p>
        </w:tc>
        <w:tc>
          <w:tcPr>
            <w:tcW w:w="1043" w:type="dxa"/>
            <w:vAlign w:val="center"/>
          </w:tcPr>
          <w:p w:rsidR="00682BB4" w:rsidRDefault="00682BB4" w:rsidP="00682BB4">
            <w:pPr>
              <w:jc w:val="right"/>
              <w:rPr>
                <w:rFonts w:asciiTheme="minorHAnsi" w:hAnsiTheme="minorHAnsi" w:cstheme="minorHAnsi"/>
                <w:sz w:val="22"/>
                <w:szCs w:val="22"/>
              </w:rPr>
            </w:pPr>
            <w:r>
              <w:rPr>
                <w:rFonts w:asciiTheme="minorHAnsi" w:hAnsiTheme="minorHAnsi" w:cstheme="minorHAnsi"/>
                <w:sz w:val="22"/>
                <w:szCs w:val="22"/>
              </w:rPr>
              <w:t>9.119</w:t>
            </w:r>
          </w:p>
        </w:tc>
      </w:tr>
    </w:tbl>
    <w:p w:rsidR="00924807" w:rsidRDefault="00924807" w:rsidP="00C16DDB">
      <w:pPr>
        <w:jc w:val="both"/>
        <w:rPr>
          <w:rFonts w:ascii="Calibri" w:hAnsi="Calibri" w:cs="Calibri"/>
          <w:sz w:val="24"/>
          <w:szCs w:val="24"/>
        </w:rPr>
      </w:pPr>
    </w:p>
    <w:p w:rsidR="004B7AFD" w:rsidRPr="00FE514C" w:rsidRDefault="004B7AFD" w:rsidP="002500FC">
      <w:pPr>
        <w:pStyle w:val="Recuodecorpodetexto"/>
        <w:widowControl/>
        <w:numPr>
          <w:ilvl w:val="1"/>
          <w:numId w:val="19"/>
        </w:numPr>
        <w:autoSpaceDE w:val="0"/>
        <w:autoSpaceDN w:val="0"/>
        <w:rPr>
          <w:rFonts w:ascii="Calibri" w:hAnsi="Calibri" w:cs="Calibri"/>
          <w:b/>
          <w:szCs w:val="24"/>
        </w:rPr>
      </w:pPr>
      <w:r>
        <w:rPr>
          <w:rFonts w:ascii="Calibri" w:hAnsi="Calibri" w:cs="Calibri"/>
          <w:b/>
          <w:szCs w:val="24"/>
          <w:lang w:val="pt-BR"/>
        </w:rPr>
        <w:t xml:space="preserve"> Perdas Possíveis Não Provisionadas no Balanço</w:t>
      </w:r>
    </w:p>
    <w:p w:rsidR="00FE514C" w:rsidRDefault="00FE514C" w:rsidP="00FE514C">
      <w:pPr>
        <w:pStyle w:val="Recuodecorpodetexto"/>
        <w:widowControl/>
        <w:autoSpaceDE w:val="0"/>
        <w:autoSpaceDN w:val="0"/>
        <w:ind w:left="420"/>
        <w:rPr>
          <w:rFonts w:ascii="Calibri" w:hAnsi="Calibri" w:cs="Calibri"/>
          <w:b/>
          <w:szCs w:val="24"/>
          <w:lang w:val="pt-BR"/>
        </w:rPr>
      </w:pP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xml:space="preserve">A Companhia possui outras contingências nas quais as probabilidades de perdas são remotas ou até possíveis. Contudo, há contingências que, devido ao valor das ações, podem propiciar perdas relevantes à CDRJ em R$ </w:t>
      </w:r>
      <w:r w:rsidR="006C3A21">
        <w:rPr>
          <w:rFonts w:ascii="Calibri" w:hAnsi="Calibri" w:cs="Calibri"/>
          <w:sz w:val="24"/>
          <w:szCs w:val="24"/>
        </w:rPr>
        <w:t>716</w:t>
      </w:r>
      <w:r>
        <w:rPr>
          <w:rFonts w:ascii="Calibri" w:hAnsi="Calibri" w:cs="Calibri"/>
          <w:sz w:val="24"/>
          <w:szCs w:val="24"/>
        </w:rPr>
        <w:t>.</w:t>
      </w:r>
      <w:r w:rsidR="006C3A21">
        <w:rPr>
          <w:rFonts w:ascii="Calibri" w:hAnsi="Calibri" w:cs="Calibri"/>
          <w:sz w:val="24"/>
          <w:szCs w:val="24"/>
        </w:rPr>
        <w:t>692</w:t>
      </w:r>
      <w:r>
        <w:rPr>
          <w:rFonts w:ascii="Calibri" w:hAnsi="Calibri" w:cs="Calibri"/>
          <w:sz w:val="24"/>
          <w:szCs w:val="24"/>
        </w:rPr>
        <w:t xml:space="preserve"> mil (R$ </w:t>
      </w:r>
      <w:r w:rsidR="006C3A21">
        <w:rPr>
          <w:rFonts w:ascii="Calibri" w:hAnsi="Calibri" w:cs="Calibri"/>
          <w:sz w:val="24"/>
          <w:szCs w:val="24"/>
        </w:rPr>
        <w:t>858.263</w:t>
      </w:r>
      <w:r>
        <w:rPr>
          <w:rFonts w:ascii="Calibri" w:hAnsi="Calibri" w:cs="Calibri"/>
          <w:sz w:val="24"/>
          <w:szCs w:val="24"/>
        </w:rPr>
        <w:t xml:space="preserve"> mil em 201</w:t>
      </w:r>
      <w:r w:rsidR="006C3A21">
        <w:rPr>
          <w:rFonts w:ascii="Calibri" w:hAnsi="Calibri" w:cs="Calibri"/>
          <w:sz w:val="24"/>
          <w:szCs w:val="24"/>
        </w:rPr>
        <w:t>9</w:t>
      </w:r>
      <w:r>
        <w:rPr>
          <w:rFonts w:ascii="Calibri" w:hAnsi="Calibri" w:cs="Calibri"/>
          <w:sz w:val="24"/>
          <w:szCs w:val="24"/>
        </w:rPr>
        <w:t>), sendo</w:t>
      </w:r>
      <w:r w:rsidR="00B92B67">
        <w:rPr>
          <w:rFonts w:ascii="Calibri" w:hAnsi="Calibri" w:cs="Calibri"/>
          <w:sz w:val="24"/>
          <w:szCs w:val="24"/>
        </w:rPr>
        <w:t xml:space="preserve"> R$ 35.961 mil de ações trabalhistas, R$ 676.751 mil de ações cíveis e R$ 3.980 mil de ações tributárias.</w:t>
      </w:r>
    </w:p>
    <w:p w:rsidR="00B92B67" w:rsidRDefault="00B92B67" w:rsidP="00E1507D">
      <w:pPr>
        <w:ind w:left="851"/>
        <w:jc w:val="both"/>
        <w:rPr>
          <w:rFonts w:ascii="Calibri" w:hAnsi="Calibri" w:cs="Calibri"/>
          <w:sz w:val="24"/>
          <w:szCs w:val="24"/>
        </w:rPr>
      </w:pPr>
    </w:p>
    <w:p w:rsidR="00FE514C" w:rsidRDefault="00FE514C" w:rsidP="00E1507D">
      <w:pPr>
        <w:ind w:left="851"/>
        <w:jc w:val="both"/>
        <w:rPr>
          <w:rFonts w:ascii="Calibri" w:hAnsi="Calibri" w:cs="Calibri"/>
          <w:sz w:val="24"/>
          <w:szCs w:val="24"/>
        </w:rPr>
      </w:pPr>
      <w:r>
        <w:rPr>
          <w:rFonts w:ascii="Calibri" w:hAnsi="Calibri" w:cs="Calibri"/>
          <w:sz w:val="24"/>
          <w:szCs w:val="24"/>
        </w:rPr>
        <w:t>Destacam-se as seguintes ações classificadas com</w:t>
      </w:r>
      <w:r w:rsidR="001C4695">
        <w:rPr>
          <w:rFonts w:ascii="Calibri" w:hAnsi="Calibri" w:cs="Calibri"/>
          <w:sz w:val="24"/>
          <w:szCs w:val="24"/>
        </w:rPr>
        <w:t>o</w:t>
      </w:r>
      <w:r>
        <w:rPr>
          <w:rFonts w:ascii="Calibri" w:hAnsi="Calibri" w:cs="Calibri"/>
          <w:sz w:val="24"/>
          <w:szCs w:val="24"/>
        </w:rPr>
        <w:t xml:space="preserve"> perdas possíveis:</w:t>
      </w:r>
    </w:p>
    <w:p w:rsidR="006C3A21" w:rsidRDefault="006C3A21" w:rsidP="006C3A21">
      <w:pPr>
        <w:jc w:val="both"/>
        <w:rPr>
          <w:rFonts w:ascii="Calibri" w:hAnsi="Calibri" w:cs="Calibri"/>
          <w:sz w:val="24"/>
          <w:szCs w:val="24"/>
        </w:rPr>
      </w:pPr>
    </w:p>
    <w:p w:rsidR="006C3A21" w:rsidRPr="00FE514C" w:rsidRDefault="006C3A21" w:rsidP="006C3A21">
      <w:pPr>
        <w:jc w:val="both"/>
        <w:rPr>
          <w:rFonts w:ascii="Calibri" w:hAnsi="Calibri" w:cs="Calibri"/>
          <w:b/>
          <w:sz w:val="24"/>
          <w:szCs w:val="24"/>
        </w:rPr>
      </w:pPr>
      <w:r w:rsidRPr="00FE514C">
        <w:rPr>
          <w:rFonts w:ascii="Calibri" w:hAnsi="Calibri" w:cs="Calibri"/>
          <w:b/>
          <w:sz w:val="24"/>
          <w:szCs w:val="24"/>
        </w:rPr>
        <w:t>Ações Trabalhistas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39"/>
        <w:gridCol w:w="3140"/>
        <w:gridCol w:w="1043"/>
      </w:tblGrid>
      <w:tr w:rsidR="006C3A21" w:rsidRPr="00FC72C3" w:rsidTr="00055920">
        <w:tc>
          <w:tcPr>
            <w:tcW w:w="2647"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Processo</w:t>
            </w:r>
          </w:p>
        </w:tc>
        <w:tc>
          <w:tcPr>
            <w:tcW w:w="3139"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Parte</w:t>
            </w:r>
          </w:p>
        </w:tc>
        <w:tc>
          <w:tcPr>
            <w:tcW w:w="3140"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Tipo</w:t>
            </w:r>
          </w:p>
        </w:tc>
        <w:tc>
          <w:tcPr>
            <w:tcW w:w="1043"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Valor</w:t>
            </w:r>
          </w:p>
        </w:tc>
      </w:tr>
      <w:tr w:rsidR="006C3A21" w:rsidRPr="00BA545E" w:rsidTr="00055920">
        <w:tc>
          <w:tcPr>
            <w:tcW w:w="2647" w:type="dxa"/>
            <w:vAlign w:val="center"/>
          </w:tcPr>
          <w:p w:rsidR="006C3A21" w:rsidRPr="00BA545E" w:rsidRDefault="006C3A21" w:rsidP="00F15963">
            <w:pPr>
              <w:jc w:val="center"/>
              <w:rPr>
                <w:rFonts w:asciiTheme="minorHAnsi" w:hAnsiTheme="minorHAnsi" w:cstheme="minorHAnsi"/>
                <w:sz w:val="22"/>
                <w:szCs w:val="22"/>
              </w:rPr>
            </w:pPr>
            <w:r w:rsidRPr="00BA545E">
              <w:rPr>
                <w:rFonts w:asciiTheme="minorHAnsi" w:hAnsiTheme="minorHAnsi" w:cstheme="minorHAnsi"/>
                <w:sz w:val="22"/>
                <w:szCs w:val="22"/>
              </w:rPr>
              <w:t>00015673420125010021</w:t>
            </w:r>
          </w:p>
        </w:tc>
        <w:tc>
          <w:tcPr>
            <w:tcW w:w="3139" w:type="dxa"/>
            <w:vAlign w:val="center"/>
          </w:tcPr>
          <w:p w:rsidR="006C3A21" w:rsidRPr="00BA545E" w:rsidRDefault="006C3A21" w:rsidP="00F15963">
            <w:pPr>
              <w:rPr>
                <w:rFonts w:asciiTheme="minorHAnsi" w:hAnsiTheme="minorHAnsi" w:cstheme="minorHAnsi"/>
                <w:sz w:val="22"/>
                <w:szCs w:val="22"/>
              </w:rPr>
            </w:pPr>
            <w:r w:rsidRPr="00BA545E">
              <w:rPr>
                <w:rFonts w:asciiTheme="minorHAnsi" w:hAnsiTheme="minorHAnsi" w:cstheme="minorHAnsi"/>
                <w:sz w:val="22"/>
                <w:szCs w:val="22"/>
              </w:rPr>
              <w:t>Paulo Francisco Pimentel Couto</w:t>
            </w:r>
          </w:p>
        </w:tc>
        <w:tc>
          <w:tcPr>
            <w:tcW w:w="3140" w:type="dxa"/>
            <w:vAlign w:val="center"/>
          </w:tcPr>
          <w:p w:rsidR="006C3A21" w:rsidRPr="00BA545E" w:rsidRDefault="006C3A21" w:rsidP="00F15963">
            <w:pPr>
              <w:rPr>
                <w:rFonts w:asciiTheme="minorHAnsi" w:hAnsiTheme="minorHAnsi" w:cstheme="minorHAnsi"/>
                <w:sz w:val="22"/>
                <w:szCs w:val="22"/>
              </w:rPr>
            </w:pPr>
            <w:r w:rsidRPr="00BA545E">
              <w:rPr>
                <w:rFonts w:asciiTheme="minorHAnsi" w:hAnsiTheme="minorHAnsi" w:cstheme="minorHAnsi"/>
                <w:sz w:val="22"/>
                <w:szCs w:val="22"/>
              </w:rPr>
              <w:t>Enquadramento e outros</w:t>
            </w:r>
          </w:p>
        </w:tc>
        <w:tc>
          <w:tcPr>
            <w:tcW w:w="1043" w:type="dxa"/>
            <w:vAlign w:val="center"/>
          </w:tcPr>
          <w:p w:rsidR="006C3A21" w:rsidRPr="00BA545E" w:rsidRDefault="006C3A21" w:rsidP="00F15963">
            <w:pPr>
              <w:jc w:val="right"/>
              <w:rPr>
                <w:rFonts w:asciiTheme="minorHAnsi" w:hAnsiTheme="minorHAnsi" w:cstheme="minorHAnsi"/>
                <w:sz w:val="22"/>
                <w:szCs w:val="22"/>
              </w:rPr>
            </w:pPr>
            <w:r w:rsidRPr="00BA545E">
              <w:rPr>
                <w:rFonts w:asciiTheme="minorHAnsi" w:hAnsiTheme="minorHAnsi" w:cstheme="minorHAnsi"/>
                <w:sz w:val="22"/>
                <w:szCs w:val="22"/>
              </w:rPr>
              <w:t>2.050</w:t>
            </w:r>
          </w:p>
        </w:tc>
      </w:tr>
      <w:tr w:rsidR="006C3A21" w:rsidRPr="00FC72C3" w:rsidTr="00055920">
        <w:tc>
          <w:tcPr>
            <w:tcW w:w="2647" w:type="dxa"/>
            <w:vAlign w:val="center"/>
          </w:tcPr>
          <w:p w:rsidR="006C3A21" w:rsidRPr="00CD010C" w:rsidRDefault="006C3A21" w:rsidP="00F15963">
            <w:pPr>
              <w:jc w:val="center"/>
              <w:rPr>
                <w:rFonts w:asciiTheme="minorHAnsi" w:hAnsiTheme="minorHAnsi" w:cstheme="minorHAnsi"/>
                <w:sz w:val="22"/>
                <w:szCs w:val="22"/>
              </w:rPr>
            </w:pPr>
            <w:r w:rsidRPr="00BA545E">
              <w:rPr>
                <w:rFonts w:asciiTheme="minorHAnsi" w:hAnsiTheme="minorHAnsi" w:cstheme="minorHAnsi"/>
                <w:sz w:val="22"/>
                <w:szCs w:val="22"/>
              </w:rPr>
              <w:t>00104360620155010045</w:t>
            </w:r>
          </w:p>
        </w:tc>
        <w:tc>
          <w:tcPr>
            <w:tcW w:w="3139" w:type="dxa"/>
            <w:vAlign w:val="center"/>
          </w:tcPr>
          <w:p w:rsidR="006C3A21" w:rsidRPr="00FC72C3" w:rsidRDefault="006C3A21" w:rsidP="00F15963">
            <w:pPr>
              <w:widowControl/>
              <w:rPr>
                <w:rFonts w:asciiTheme="minorHAnsi" w:hAnsiTheme="minorHAnsi" w:cstheme="minorHAnsi"/>
                <w:snapToGrid/>
                <w:sz w:val="22"/>
                <w:szCs w:val="22"/>
              </w:rPr>
            </w:pPr>
            <w:r>
              <w:rPr>
                <w:rFonts w:asciiTheme="minorHAnsi" w:hAnsiTheme="minorHAnsi" w:cstheme="minorHAnsi"/>
                <w:snapToGrid/>
                <w:sz w:val="22"/>
                <w:szCs w:val="22"/>
              </w:rPr>
              <w:t>Eduardo Moreira Pessoa</w:t>
            </w:r>
          </w:p>
        </w:tc>
        <w:tc>
          <w:tcPr>
            <w:tcW w:w="3140" w:type="dxa"/>
            <w:vAlign w:val="center"/>
          </w:tcPr>
          <w:p w:rsidR="006C3A21" w:rsidRPr="00FC72C3" w:rsidRDefault="0076494B" w:rsidP="00F15963">
            <w:pPr>
              <w:rPr>
                <w:rFonts w:asciiTheme="minorHAnsi" w:hAnsiTheme="minorHAnsi" w:cstheme="minorHAnsi"/>
                <w:sz w:val="22"/>
                <w:szCs w:val="22"/>
              </w:rPr>
            </w:pPr>
            <w:r>
              <w:rPr>
                <w:rFonts w:asciiTheme="minorHAnsi" w:hAnsiTheme="minorHAnsi" w:cstheme="minorHAnsi"/>
                <w:sz w:val="22"/>
                <w:szCs w:val="22"/>
              </w:rPr>
              <w:t>Equiparação salarial</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1.634</w:t>
            </w:r>
          </w:p>
        </w:tc>
      </w:tr>
      <w:tr w:rsidR="006C3A21" w:rsidRPr="00FC72C3" w:rsidTr="00055920">
        <w:tc>
          <w:tcPr>
            <w:tcW w:w="2647" w:type="dxa"/>
            <w:vAlign w:val="center"/>
          </w:tcPr>
          <w:p w:rsidR="006C3A21" w:rsidRPr="00CD010C" w:rsidRDefault="006C3A21" w:rsidP="00F15963">
            <w:pPr>
              <w:jc w:val="center"/>
              <w:rPr>
                <w:rFonts w:asciiTheme="minorHAnsi" w:hAnsiTheme="minorHAnsi" w:cstheme="minorHAnsi"/>
                <w:sz w:val="22"/>
                <w:szCs w:val="22"/>
              </w:rPr>
            </w:pPr>
            <w:r w:rsidRPr="00BA545E">
              <w:rPr>
                <w:rFonts w:asciiTheme="minorHAnsi" w:hAnsiTheme="minorHAnsi" w:cstheme="minorHAnsi"/>
                <w:sz w:val="22"/>
                <w:szCs w:val="22"/>
              </w:rPr>
              <w:t>01708007520065010009</w:t>
            </w:r>
          </w:p>
        </w:tc>
        <w:tc>
          <w:tcPr>
            <w:tcW w:w="3139"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Manoel Aguiar Filho</w:t>
            </w:r>
          </w:p>
        </w:tc>
        <w:tc>
          <w:tcPr>
            <w:tcW w:w="3140" w:type="dxa"/>
            <w:vAlign w:val="center"/>
          </w:tcPr>
          <w:p w:rsidR="006C3A21" w:rsidRPr="00FC72C3" w:rsidRDefault="0076494B" w:rsidP="00F15963">
            <w:pPr>
              <w:rPr>
                <w:rFonts w:asciiTheme="minorHAnsi" w:hAnsiTheme="minorHAnsi" w:cstheme="minorHAnsi"/>
                <w:sz w:val="22"/>
                <w:szCs w:val="22"/>
              </w:rPr>
            </w:pPr>
            <w:r>
              <w:rPr>
                <w:rFonts w:asciiTheme="minorHAnsi" w:hAnsiTheme="minorHAnsi" w:cstheme="minorHAnsi"/>
                <w:sz w:val="22"/>
                <w:szCs w:val="22"/>
              </w:rPr>
              <w:t>Diferenças salariais</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1.630</w:t>
            </w:r>
          </w:p>
        </w:tc>
      </w:tr>
      <w:tr w:rsidR="006C3A21" w:rsidRPr="00FC72C3" w:rsidTr="00055920">
        <w:tc>
          <w:tcPr>
            <w:tcW w:w="2647" w:type="dxa"/>
            <w:vAlign w:val="center"/>
          </w:tcPr>
          <w:p w:rsidR="006C3A21" w:rsidRPr="00CD010C" w:rsidRDefault="006C3A21" w:rsidP="00F15963">
            <w:pPr>
              <w:jc w:val="center"/>
              <w:rPr>
                <w:rFonts w:asciiTheme="minorHAnsi" w:hAnsiTheme="minorHAnsi" w:cstheme="minorHAnsi"/>
                <w:sz w:val="22"/>
                <w:szCs w:val="22"/>
              </w:rPr>
            </w:pPr>
            <w:r w:rsidRPr="00A67118">
              <w:rPr>
                <w:rFonts w:asciiTheme="minorHAnsi" w:hAnsiTheme="minorHAnsi" w:cstheme="minorHAnsi"/>
                <w:sz w:val="22"/>
                <w:szCs w:val="22"/>
              </w:rPr>
              <w:t>01001283720165010059</w:t>
            </w:r>
          </w:p>
        </w:tc>
        <w:tc>
          <w:tcPr>
            <w:tcW w:w="3139"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Carlos Daniel Mendonça Silva</w:t>
            </w:r>
          </w:p>
        </w:tc>
        <w:tc>
          <w:tcPr>
            <w:tcW w:w="3140"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Equiparação salarial e outros</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1.149</w:t>
            </w:r>
          </w:p>
        </w:tc>
      </w:tr>
      <w:tr w:rsidR="006C3A21" w:rsidRPr="00FC72C3" w:rsidTr="00055920">
        <w:tc>
          <w:tcPr>
            <w:tcW w:w="2647" w:type="dxa"/>
            <w:vAlign w:val="center"/>
          </w:tcPr>
          <w:p w:rsidR="006C3A21" w:rsidRPr="00CD010C" w:rsidRDefault="006C3A21" w:rsidP="00F15963">
            <w:pPr>
              <w:jc w:val="center"/>
              <w:rPr>
                <w:rFonts w:asciiTheme="minorHAnsi" w:hAnsiTheme="minorHAnsi" w:cstheme="minorHAnsi"/>
                <w:sz w:val="22"/>
                <w:szCs w:val="22"/>
              </w:rPr>
            </w:pPr>
            <w:r w:rsidRPr="00A67118">
              <w:rPr>
                <w:rFonts w:asciiTheme="minorHAnsi" w:hAnsiTheme="minorHAnsi" w:cstheme="minorHAnsi"/>
                <w:sz w:val="22"/>
                <w:szCs w:val="22"/>
              </w:rPr>
              <w:t>01010407320165010046</w:t>
            </w:r>
          </w:p>
        </w:tc>
        <w:tc>
          <w:tcPr>
            <w:tcW w:w="3139" w:type="dxa"/>
            <w:vAlign w:val="center"/>
          </w:tcPr>
          <w:p w:rsidR="006C3A21" w:rsidRDefault="006C3A21" w:rsidP="00F15963">
            <w:pPr>
              <w:rPr>
                <w:rFonts w:asciiTheme="minorHAnsi" w:hAnsiTheme="minorHAnsi" w:cstheme="minorHAnsi"/>
                <w:sz w:val="22"/>
                <w:szCs w:val="22"/>
              </w:rPr>
            </w:pPr>
            <w:r>
              <w:rPr>
                <w:rFonts w:asciiTheme="minorHAnsi" w:hAnsiTheme="minorHAnsi" w:cstheme="minorHAnsi"/>
                <w:sz w:val="22"/>
                <w:szCs w:val="22"/>
              </w:rPr>
              <w:t>Fernando Vasconcellos de Sá</w:t>
            </w:r>
          </w:p>
        </w:tc>
        <w:tc>
          <w:tcPr>
            <w:tcW w:w="3140" w:type="dxa"/>
            <w:vAlign w:val="center"/>
          </w:tcPr>
          <w:p w:rsidR="006C3A21" w:rsidRDefault="0076494B" w:rsidP="00F15963">
            <w:pPr>
              <w:rPr>
                <w:rFonts w:asciiTheme="minorHAnsi" w:hAnsiTheme="minorHAnsi" w:cstheme="minorHAnsi"/>
                <w:sz w:val="22"/>
                <w:szCs w:val="22"/>
              </w:rPr>
            </w:pPr>
            <w:r>
              <w:rPr>
                <w:rFonts w:asciiTheme="minorHAnsi" w:hAnsiTheme="minorHAnsi" w:cstheme="minorHAnsi"/>
                <w:sz w:val="22"/>
                <w:szCs w:val="22"/>
              </w:rPr>
              <w:t>Enquadramento</w:t>
            </w:r>
          </w:p>
        </w:tc>
        <w:tc>
          <w:tcPr>
            <w:tcW w:w="1043" w:type="dxa"/>
            <w:vAlign w:val="center"/>
          </w:tcPr>
          <w:p w:rsidR="006C3A21" w:rsidRDefault="006C3A21" w:rsidP="00F15963">
            <w:pPr>
              <w:jc w:val="right"/>
              <w:rPr>
                <w:rFonts w:asciiTheme="minorHAnsi" w:hAnsiTheme="minorHAnsi" w:cstheme="minorHAnsi"/>
                <w:sz w:val="22"/>
                <w:szCs w:val="22"/>
              </w:rPr>
            </w:pPr>
            <w:r>
              <w:rPr>
                <w:rFonts w:asciiTheme="minorHAnsi" w:hAnsiTheme="minorHAnsi" w:cstheme="minorHAnsi"/>
                <w:sz w:val="22"/>
                <w:szCs w:val="22"/>
              </w:rPr>
              <w:t>1.086</w:t>
            </w:r>
          </w:p>
        </w:tc>
      </w:tr>
    </w:tbl>
    <w:p w:rsidR="00D56ECE" w:rsidRDefault="00D56ECE" w:rsidP="006C3A21">
      <w:pPr>
        <w:jc w:val="both"/>
        <w:rPr>
          <w:rFonts w:ascii="Calibri" w:hAnsi="Calibri" w:cs="Calibri"/>
          <w:b/>
          <w:sz w:val="24"/>
          <w:szCs w:val="24"/>
        </w:rPr>
      </w:pPr>
    </w:p>
    <w:p w:rsidR="006C3A21" w:rsidRDefault="006C3A21" w:rsidP="006C3A21">
      <w:pPr>
        <w:jc w:val="both"/>
        <w:rPr>
          <w:rFonts w:ascii="Calibri" w:hAnsi="Calibri" w:cs="Calibri"/>
          <w:b/>
          <w:sz w:val="24"/>
          <w:szCs w:val="24"/>
        </w:rPr>
      </w:pPr>
      <w:r w:rsidRPr="00FE514C">
        <w:rPr>
          <w:rFonts w:ascii="Calibri" w:hAnsi="Calibri" w:cs="Calibri"/>
          <w:b/>
          <w:sz w:val="24"/>
          <w:szCs w:val="24"/>
        </w:rPr>
        <w:t>Ações Cíveis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39"/>
        <w:gridCol w:w="3140"/>
        <w:gridCol w:w="1043"/>
      </w:tblGrid>
      <w:tr w:rsidR="006C3A21" w:rsidRPr="00FC72C3" w:rsidTr="00055920">
        <w:tc>
          <w:tcPr>
            <w:tcW w:w="2647"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Processo</w:t>
            </w:r>
          </w:p>
        </w:tc>
        <w:tc>
          <w:tcPr>
            <w:tcW w:w="3139"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Parte</w:t>
            </w:r>
          </w:p>
        </w:tc>
        <w:tc>
          <w:tcPr>
            <w:tcW w:w="3140"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Tipo</w:t>
            </w:r>
          </w:p>
        </w:tc>
        <w:tc>
          <w:tcPr>
            <w:tcW w:w="1043"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Valor</w:t>
            </w:r>
          </w:p>
        </w:tc>
      </w:tr>
      <w:tr w:rsidR="006C3A21" w:rsidRPr="00BA545E" w:rsidTr="00055920">
        <w:tc>
          <w:tcPr>
            <w:tcW w:w="2647" w:type="dxa"/>
            <w:shd w:val="clear" w:color="000000" w:fill="FFFFFF"/>
            <w:vAlign w:val="center"/>
          </w:tcPr>
          <w:p w:rsidR="006C3A21" w:rsidRDefault="006C3A21" w:rsidP="00F15963">
            <w:pPr>
              <w:widowControl/>
              <w:rPr>
                <w:rFonts w:ascii="Calibri" w:hAnsi="Calibri" w:cs="Calibri"/>
                <w:snapToGrid/>
                <w:sz w:val="22"/>
                <w:szCs w:val="22"/>
              </w:rPr>
            </w:pPr>
            <w:r>
              <w:rPr>
                <w:rFonts w:ascii="Calibri" w:hAnsi="Calibri" w:cs="Calibri"/>
                <w:sz w:val="22"/>
                <w:szCs w:val="22"/>
              </w:rPr>
              <w:t>00066415420084025101</w:t>
            </w:r>
          </w:p>
        </w:tc>
        <w:tc>
          <w:tcPr>
            <w:tcW w:w="3139" w:type="dxa"/>
            <w:vAlign w:val="center"/>
          </w:tcPr>
          <w:p w:rsidR="006C3A21" w:rsidRPr="00BA545E" w:rsidRDefault="006C3A21" w:rsidP="00F15963">
            <w:pPr>
              <w:rPr>
                <w:rFonts w:asciiTheme="minorHAnsi" w:hAnsiTheme="minorHAnsi" w:cstheme="minorHAnsi"/>
                <w:sz w:val="22"/>
                <w:szCs w:val="22"/>
              </w:rPr>
            </w:pPr>
            <w:r>
              <w:rPr>
                <w:rFonts w:asciiTheme="minorHAnsi" w:hAnsiTheme="minorHAnsi" w:cstheme="minorHAnsi"/>
                <w:sz w:val="22"/>
                <w:szCs w:val="22"/>
              </w:rPr>
              <w:t>DM Construtora de Obras Ltda.</w:t>
            </w:r>
          </w:p>
        </w:tc>
        <w:tc>
          <w:tcPr>
            <w:tcW w:w="3140" w:type="dxa"/>
            <w:vAlign w:val="center"/>
          </w:tcPr>
          <w:p w:rsidR="006C3A21" w:rsidRPr="00BA545E" w:rsidRDefault="006C3A21" w:rsidP="00F15963">
            <w:pPr>
              <w:rPr>
                <w:rFonts w:asciiTheme="minorHAnsi" w:hAnsiTheme="minorHAnsi" w:cstheme="minorHAnsi"/>
                <w:sz w:val="22"/>
                <w:szCs w:val="22"/>
              </w:rPr>
            </w:pPr>
            <w:r>
              <w:rPr>
                <w:rFonts w:asciiTheme="minorHAnsi" w:hAnsiTheme="minorHAnsi" w:cstheme="minorHAnsi"/>
                <w:sz w:val="22"/>
                <w:szCs w:val="22"/>
              </w:rPr>
              <w:t>Contrato</w:t>
            </w:r>
          </w:p>
        </w:tc>
        <w:tc>
          <w:tcPr>
            <w:tcW w:w="1043" w:type="dxa"/>
            <w:vAlign w:val="center"/>
          </w:tcPr>
          <w:p w:rsidR="006C3A21" w:rsidRPr="00BA545E" w:rsidRDefault="006C3A21" w:rsidP="00F15963">
            <w:pPr>
              <w:jc w:val="right"/>
              <w:rPr>
                <w:rFonts w:asciiTheme="minorHAnsi" w:hAnsiTheme="minorHAnsi" w:cstheme="minorHAnsi"/>
                <w:sz w:val="22"/>
                <w:szCs w:val="22"/>
              </w:rPr>
            </w:pPr>
            <w:r>
              <w:rPr>
                <w:rFonts w:asciiTheme="minorHAnsi" w:hAnsiTheme="minorHAnsi" w:cstheme="minorHAnsi"/>
                <w:sz w:val="22"/>
                <w:szCs w:val="22"/>
              </w:rPr>
              <w:t>289.573</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50417730420194025101</w:t>
            </w:r>
          </w:p>
        </w:tc>
        <w:tc>
          <w:tcPr>
            <w:tcW w:w="3139" w:type="dxa"/>
            <w:vAlign w:val="center"/>
          </w:tcPr>
          <w:p w:rsidR="006C3A21" w:rsidRPr="00FC72C3" w:rsidRDefault="006C3A21" w:rsidP="00F15963">
            <w:pPr>
              <w:widowControl/>
              <w:rPr>
                <w:rFonts w:asciiTheme="minorHAnsi" w:hAnsiTheme="minorHAnsi" w:cstheme="minorHAnsi"/>
                <w:snapToGrid/>
                <w:sz w:val="22"/>
                <w:szCs w:val="22"/>
              </w:rPr>
            </w:pPr>
            <w:r>
              <w:rPr>
                <w:rFonts w:asciiTheme="minorHAnsi" w:hAnsiTheme="minorHAnsi" w:cstheme="minorHAnsi"/>
                <w:snapToGrid/>
                <w:sz w:val="22"/>
                <w:szCs w:val="22"/>
              </w:rPr>
              <w:t xml:space="preserve">Blatter &amp; Galvão </w:t>
            </w:r>
            <w:proofErr w:type="spellStart"/>
            <w:r>
              <w:rPr>
                <w:rFonts w:asciiTheme="minorHAnsi" w:hAnsiTheme="minorHAnsi" w:cstheme="minorHAnsi"/>
                <w:snapToGrid/>
                <w:sz w:val="22"/>
                <w:szCs w:val="22"/>
              </w:rPr>
              <w:t>Sidou</w:t>
            </w:r>
            <w:proofErr w:type="spellEnd"/>
          </w:p>
        </w:tc>
        <w:tc>
          <w:tcPr>
            <w:tcW w:w="3140"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Improbidade Administrativa</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87.363</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00023797520158190003</w:t>
            </w:r>
          </w:p>
        </w:tc>
        <w:tc>
          <w:tcPr>
            <w:tcW w:w="3139" w:type="dxa"/>
            <w:vAlign w:val="center"/>
          </w:tcPr>
          <w:p w:rsidR="006C3A21" w:rsidRPr="00FC72C3" w:rsidRDefault="006C3A21" w:rsidP="00F15963">
            <w:pPr>
              <w:rPr>
                <w:rFonts w:asciiTheme="minorHAnsi" w:hAnsiTheme="minorHAnsi" w:cstheme="minorHAnsi"/>
                <w:sz w:val="22"/>
                <w:szCs w:val="22"/>
              </w:rPr>
            </w:pPr>
            <w:proofErr w:type="spellStart"/>
            <w:r>
              <w:rPr>
                <w:rFonts w:asciiTheme="minorHAnsi" w:hAnsiTheme="minorHAnsi" w:cstheme="minorHAnsi"/>
                <w:sz w:val="22"/>
                <w:szCs w:val="22"/>
              </w:rPr>
              <w:t>Ivonia</w:t>
            </w:r>
            <w:proofErr w:type="spellEnd"/>
            <w:r>
              <w:rPr>
                <w:rFonts w:asciiTheme="minorHAnsi" w:hAnsiTheme="minorHAnsi" w:cstheme="minorHAnsi"/>
                <w:sz w:val="22"/>
                <w:szCs w:val="22"/>
              </w:rPr>
              <w:t xml:space="preserve"> Afonso da Paixão</w:t>
            </w:r>
          </w:p>
        </w:tc>
        <w:tc>
          <w:tcPr>
            <w:tcW w:w="3140"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Reintegração de Posse</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72.054</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50376878720194025101</w:t>
            </w:r>
          </w:p>
        </w:tc>
        <w:tc>
          <w:tcPr>
            <w:tcW w:w="3139" w:type="dxa"/>
            <w:vAlign w:val="center"/>
          </w:tcPr>
          <w:p w:rsidR="006C3A21" w:rsidRPr="00FC72C3" w:rsidRDefault="006C3A21" w:rsidP="00F15963">
            <w:pPr>
              <w:rPr>
                <w:rFonts w:asciiTheme="minorHAnsi" w:hAnsiTheme="minorHAnsi" w:cstheme="minorHAnsi"/>
                <w:sz w:val="22"/>
                <w:szCs w:val="22"/>
              </w:rPr>
            </w:pPr>
            <w:proofErr w:type="spellStart"/>
            <w:r>
              <w:rPr>
                <w:rFonts w:asciiTheme="minorHAnsi" w:hAnsiTheme="minorHAnsi" w:cstheme="minorHAnsi"/>
                <w:sz w:val="22"/>
                <w:szCs w:val="22"/>
              </w:rPr>
              <w:t>Multi-Rio</w:t>
            </w:r>
            <w:proofErr w:type="spellEnd"/>
            <w:r>
              <w:rPr>
                <w:rFonts w:asciiTheme="minorHAnsi" w:hAnsiTheme="minorHAnsi" w:cstheme="minorHAnsi"/>
                <w:sz w:val="22"/>
                <w:szCs w:val="22"/>
              </w:rPr>
              <w:t xml:space="preserve"> Operações Portuárias</w:t>
            </w:r>
          </w:p>
        </w:tc>
        <w:tc>
          <w:tcPr>
            <w:tcW w:w="3140" w:type="dxa"/>
            <w:vAlign w:val="center"/>
          </w:tcPr>
          <w:p w:rsidR="006C3A21" w:rsidRPr="00FC72C3" w:rsidRDefault="006C3A21" w:rsidP="00EF7BB5">
            <w:pPr>
              <w:rPr>
                <w:rFonts w:asciiTheme="minorHAnsi" w:hAnsiTheme="minorHAnsi" w:cstheme="minorHAnsi"/>
                <w:sz w:val="22"/>
                <w:szCs w:val="22"/>
              </w:rPr>
            </w:pPr>
            <w:proofErr w:type="spellStart"/>
            <w:r>
              <w:rPr>
                <w:rFonts w:asciiTheme="minorHAnsi" w:hAnsiTheme="minorHAnsi" w:cstheme="minorHAnsi"/>
                <w:sz w:val="22"/>
                <w:szCs w:val="22"/>
              </w:rPr>
              <w:t>Movim</w:t>
            </w:r>
            <w:proofErr w:type="spellEnd"/>
            <w:r w:rsidR="00EF7BB5">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mínima</w:t>
            </w:r>
            <w:proofErr w:type="gramEnd"/>
            <w:r>
              <w:rPr>
                <w:rFonts w:asciiTheme="minorHAnsi" w:hAnsiTheme="minorHAnsi" w:cstheme="minorHAnsi"/>
                <w:sz w:val="22"/>
                <w:szCs w:val="22"/>
              </w:rPr>
              <w:t xml:space="preserve"> contratual</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54.702</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50286711220194025101  </w:t>
            </w:r>
          </w:p>
        </w:tc>
        <w:tc>
          <w:tcPr>
            <w:tcW w:w="3139" w:type="dxa"/>
            <w:vAlign w:val="center"/>
          </w:tcPr>
          <w:p w:rsidR="006C3A21" w:rsidRDefault="006C3A21" w:rsidP="00F15963">
            <w:pPr>
              <w:rPr>
                <w:rFonts w:asciiTheme="minorHAnsi" w:hAnsiTheme="minorHAnsi" w:cstheme="minorHAnsi"/>
                <w:sz w:val="22"/>
                <w:szCs w:val="22"/>
              </w:rPr>
            </w:pPr>
            <w:proofErr w:type="spellStart"/>
            <w:r>
              <w:rPr>
                <w:rFonts w:asciiTheme="minorHAnsi" w:hAnsiTheme="minorHAnsi" w:cstheme="minorHAnsi"/>
                <w:sz w:val="22"/>
                <w:szCs w:val="22"/>
              </w:rPr>
              <w:t>Portus</w:t>
            </w:r>
            <w:proofErr w:type="spellEnd"/>
            <w:r>
              <w:rPr>
                <w:rFonts w:asciiTheme="minorHAnsi" w:hAnsiTheme="minorHAnsi" w:cstheme="minorHAnsi"/>
                <w:sz w:val="22"/>
                <w:szCs w:val="22"/>
              </w:rPr>
              <w:t xml:space="preserve"> Instituto de Seguridade</w:t>
            </w:r>
          </w:p>
        </w:tc>
        <w:tc>
          <w:tcPr>
            <w:tcW w:w="3140" w:type="dxa"/>
            <w:vAlign w:val="center"/>
          </w:tcPr>
          <w:p w:rsidR="006C3A21" w:rsidRDefault="006C3A21" w:rsidP="00F15963">
            <w:pPr>
              <w:rPr>
                <w:rFonts w:asciiTheme="minorHAnsi" w:hAnsiTheme="minorHAnsi" w:cstheme="minorHAnsi"/>
                <w:sz w:val="22"/>
                <w:szCs w:val="22"/>
              </w:rPr>
            </w:pPr>
            <w:r>
              <w:rPr>
                <w:rFonts w:asciiTheme="minorHAnsi" w:hAnsiTheme="minorHAnsi" w:cstheme="minorHAnsi"/>
                <w:sz w:val="22"/>
                <w:szCs w:val="22"/>
              </w:rPr>
              <w:t>Cobrança</w:t>
            </w:r>
          </w:p>
        </w:tc>
        <w:tc>
          <w:tcPr>
            <w:tcW w:w="1043" w:type="dxa"/>
            <w:vAlign w:val="center"/>
          </w:tcPr>
          <w:p w:rsidR="006C3A21" w:rsidRDefault="006C3A21" w:rsidP="00F15963">
            <w:pPr>
              <w:jc w:val="right"/>
              <w:rPr>
                <w:rFonts w:asciiTheme="minorHAnsi" w:hAnsiTheme="minorHAnsi" w:cstheme="minorHAnsi"/>
                <w:sz w:val="22"/>
                <w:szCs w:val="22"/>
              </w:rPr>
            </w:pPr>
            <w:r>
              <w:rPr>
                <w:rFonts w:asciiTheme="minorHAnsi" w:hAnsiTheme="minorHAnsi" w:cstheme="minorHAnsi"/>
                <w:sz w:val="22"/>
                <w:szCs w:val="22"/>
              </w:rPr>
              <w:t>47.746</w:t>
            </w:r>
          </w:p>
        </w:tc>
      </w:tr>
    </w:tbl>
    <w:p w:rsidR="006C3A21" w:rsidRDefault="006C3A21" w:rsidP="006C3A21">
      <w:pPr>
        <w:jc w:val="both"/>
        <w:rPr>
          <w:rFonts w:ascii="Calibri" w:hAnsi="Calibri" w:cs="Calibri"/>
          <w:sz w:val="24"/>
          <w:szCs w:val="24"/>
        </w:rPr>
      </w:pPr>
    </w:p>
    <w:p w:rsidR="006C3A21" w:rsidRDefault="006C3A21" w:rsidP="006C3A21">
      <w:pPr>
        <w:jc w:val="both"/>
        <w:rPr>
          <w:rFonts w:ascii="Calibri" w:hAnsi="Calibri" w:cs="Calibri"/>
          <w:b/>
          <w:sz w:val="24"/>
          <w:szCs w:val="24"/>
        </w:rPr>
      </w:pPr>
      <w:r w:rsidRPr="00FE514C">
        <w:rPr>
          <w:rFonts w:ascii="Calibri" w:hAnsi="Calibri" w:cs="Calibri"/>
          <w:b/>
          <w:sz w:val="24"/>
          <w:szCs w:val="24"/>
        </w:rPr>
        <w:t>Ações Tributárias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39"/>
        <w:gridCol w:w="3140"/>
        <w:gridCol w:w="1043"/>
      </w:tblGrid>
      <w:tr w:rsidR="006C3A21" w:rsidRPr="00FC72C3" w:rsidTr="00055920">
        <w:tc>
          <w:tcPr>
            <w:tcW w:w="2647"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Processo</w:t>
            </w:r>
          </w:p>
        </w:tc>
        <w:tc>
          <w:tcPr>
            <w:tcW w:w="3139"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Parte</w:t>
            </w:r>
          </w:p>
        </w:tc>
        <w:tc>
          <w:tcPr>
            <w:tcW w:w="3140"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Tipo</w:t>
            </w:r>
          </w:p>
        </w:tc>
        <w:tc>
          <w:tcPr>
            <w:tcW w:w="1043" w:type="dxa"/>
          </w:tcPr>
          <w:p w:rsidR="006C3A21" w:rsidRPr="00FC72C3" w:rsidRDefault="006C3A21" w:rsidP="00F15963">
            <w:pPr>
              <w:jc w:val="center"/>
              <w:rPr>
                <w:rFonts w:ascii="Calibri" w:hAnsi="Calibri" w:cs="Calibri"/>
                <w:sz w:val="22"/>
                <w:szCs w:val="22"/>
              </w:rPr>
            </w:pPr>
            <w:r w:rsidRPr="00FC72C3">
              <w:rPr>
                <w:rFonts w:ascii="Calibri" w:hAnsi="Calibri" w:cs="Calibri"/>
                <w:sz w:val="22"/>
                <w:szCs w:val="22"/>
              </w:rPr>
              <w:t>Valor</w:t>
            </w:r>
          </w:p>
        </w:tc>
      </w:tr>
      <w:tr w:rsidR="006C3A21" w:rsidRPr="00BA545E" w:rsidTr="00055920">
        <w:tc>
          <w:tcPr>
            <w:tcW w:w="2647" w:type="dxa"/>
            <w:shd w:val="clear" w:color="000000" w:fill="FFFFFF"/>
            <w:vAlign w:val="center"/>
          </w:tcPr>
          <w:p w:rsidR="006C3A21" w:rsidRDefault="006C3A21" w:rsidP="00F15963">
            <w:pPr>
              <w:widowControl/>
              <w:rPr>
                <w:rFonts w:ascii="Calibri" w:hAnsi="Calibri" w:cs="Calibri"/>
                <w:snapToGrid/>
                <w:sz w:val="22"/>
                <w:szCs w:val="22"/>
              </w:rPr>
            </w:pPr>
            <w:r>
              <w:rPr>
                <w:rFonts w:ascii="Calibri" w:hAnsi="Calibri" w:cs="Calibri"/>
                <w:sz w:val="22"/>
                <w:szCs w:val="22"/>
              </w:rPr>
              <w:t>50985848120194025101</w:t>
            </w:r>
          </w:p>
        </w:tc>
        <w:tc>
          <w:tcPr>
            <w:tcW w:w="3139"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Município de Itaguaí</w:t>
            </w:r>
          </w:p>
        </w:tc>
        <w:tc>
          <w:tcPr>
            <w:tcW w:w="3140" w:type="dxa"/>
            <w:vAlign w:val="center"/>
          </w:tcPr>
          <w:p w:rsidR="006C3A21" w:rsidRPr="00FC72C3" w:rsidRDefault="006C3A21" w:rsidP="00682BB4">
            <w:pPr>
              <w:rPr>
                <w:rFonts w:asciiTheme="minorHAnsi" w:hAnsiTheme="minorHAnsi" w:cstheme="minorHAnsi"/>
                <w:sz w:val="22"/>
                <w:szCs w:val="22"/>
              </w:rPr>
            </w:pPr>
            <w:r>
              <w:rPr>
                <w:rFonts w:asciiTheme="minorHAnsi" w:hAnsiTheme="minorHAnsi" w:cstheme="minorHAnsi"/>
                <w:sz w:val="22"/>
                <w:szCs w:val="22"/>
              </w:rPr>
              <w:t xml:space="preserve">Execução </w:t>
            </w:r>
            <w:r w:rsidR="00682BB4">
              <w:rPr>
                <w:rFonts w:asciiTheme="minorHAnsi" w:hAnsiTheme="minorHAnsi" w:cstheme="minorHAnsi"/>
                <w:sz w:val="22"/>
                <w:szCs w:val="22"/>
              </w:rPr>
              <w:t>f</w:t>
            </w:r>
            <w:r>
              <w:rPr>
                <w:rFonts w:asciiTheme="minorHAnsi" w:hAnsiTheme="minorHAnsi" w:cstheme="minorHAnsi"/>
                <w:sz w:val="22"/>
                <w:szCs w:val="22"/>
              </w:rPr>
              <w:t>iscal</w:t>
            </w:r>
          </w:p>
        </w:tc>
        <w:tc>
          <w:tcPr>
            <w:tcW w:w="1043" w:type="dxa"/>
            <w:vAlign w:val="center"/>
          </w:tcPr>
          <w:p w:rsidR="006C3A21" w:rsidRPr="00BA545E" w:rsidRDefault="006C3A21" w:rsidP="00F15963">
            <w:pPr>
              <w:jc w:val="right"/>
              <w:rPr>
                <w:rFonts w:asciiTheme="minorHAnsi" w:hAnsiTheme="minorHAnsi" w:cstheme="minorHAnsi"/>
                <w:sz w:val="22"/>
                <w:szCs w:val="22"/>
              </w:rPr>
            </w:pPr>
            <w:r>
              <w:rPr>
                <w:rFonts w:asciiTheme="minorHAnsi" w:hAnsiTheme="minorHAnsi" w:cstheme="minorHAnsi"/>
                <w:sz w:val="22"/>
                <w:szCs w:val="22"/>
              </w:rPr>
              <w:t>1.583</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00985942120164025101</w:t>
            </w:r>
          </w:p>
        </w:tc>
        <w:tc>
          <w:tcPr>
            <w:tcW w:w="3139"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ANTAQ</w:t>
            </w:r>
          </w:p>
        </w:tc>
        <w:tc>
          <w:tcPr>
            <w:tcW w:w="3140" w:type="dxa"/>
            <w:vAlign w:val="center"/>
          </w:tcPr>
          <w:p w:rsidR="006C3A21" w:rsidRPr="00FC72C3" w:rsidRDefault="006C3A21" w:rsidP="00682BB4">
            <w:pPr>
              <w:rPr>
                <w:rFonts w:asciiTheme="minorHAnsi" w:hAnsiTheme="minorHAnsi" w:cstheme="minorHAnsi"/>
                <w:sz w:val="22"/>
                <w:szCs w:val="22"/>
              </w:rPr>
            </w:pPr>
            <w:r>
              <w:rPr>
                <w:rFonts w:asciiTheme="minorHAnsi" w:hAnsiTheme="minorHAnsi" w:cstheme="minorHAnsi"/>
                <w:sz w:val="22"/>
                <w:szCs w:val="22"/>
              </w:rPr>
              <w:t xml:space="preserve">Execução </w:t>
            </w:r>
            <w:r w:rsidR="00682BB4">
              <w:rPr>
                <w:rFonts w:asciiTheme="minorHAnsi" w:hAnsiTheme="minorHAnsi" w:cstheme="minorHAnsi"/>
                <w:sz w:val="22"/>
                <w:szCs w:val="22"/>
              </w:rPr>
              <w:t>f</w:t>
            </w:r>
            <w:r>
              <w:rPr>
                <w:rFonts w:asciiTheme="minorHAnsi" w:hAnsiTheme="minorHAnsi" w:cstheme="minorHAnsi"/>
                <w:sz w:val="22"/>
                <w:szCs w:val="22"/>
              </w:rPr>
              <w:t>iscal</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311</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03134059520188190001</w:t>
            </w:r>
          </w:p>
        </w:tc>
        <w:tc>
          <w:tcPr>
            <w:tcW w:w="3139"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Município do Rio de Janeiro</w:t>
            </w:r>
          </w:p>
        </w:tc>
        <w:tc>
          <w:tcPr>
            <w:tcW w:w="3140" w:type="dxa"/>
            <w:vAlign w:val="center"/>
          </w:tcPr>
          <w:p w:rsidR="006C3A21" w:rsidRPr="00FC72C3" w:rsidRDefault="006C3A21" w:rsidP="00682BB4">
            <w:pPr>
              <w:rPr>
                <w:rFonts w:asciiTheme="minorHAnsi" w:hAnsiTheme="minorHAnsi" w:cstheme="minorHAnsi"/>
                <w:sz w:val="22"/>
                <w:szCs w:val="22"/>
              </w:rPr>
            </w:pPr>
            <w:r>
              <w:rPr>
                <w:rFonts w:asciiTheme="minorHAnsi" w:hAnsiTheme="minorHAnsi" w:cstheme="minorHAnsi"/>
                <w:sz w:val="22"/>
                <w:szCs w:val="22"/>
              </w:rPr>
              <w:t xml:space="preserve">Embargos à </w:t>
            </w:r>
            <w:r w:rsidR="00682BB4">
              <w:rPr>
                <w:rFonts w:asciiTheme="minorHAnsi" w:hAnsiTheme="minorHAnsi" w:cstheme="minorHAnsi"/>
                <w:sz w:val="22"/>
                <w:szCs w:val="22"/>
              </w:rPr>
              <w:t>e</w:t>
            </w:r>
            <w:r>
              <w:rPr>
                <w:rFonts w:asciiTheme="minorHAnsi" w:hAnsiTheme="minorHAnsi" w:cstheme="minorHAnsi"/>
                <w:sz w:val="22"/>
                <w:szCs w:val="22"/>
              </w:rPr>
              <w:t>xecução</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308</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50715231720204025101</w:t>
            </w:r>
          </w:p>
        </w:tc>
        <w:tc>
          <w:tcPr>
            <w:tcW w:w="3139" w:type="dxa"/>
            <w:vAlign w:val="center"/>
          </w:tcPr>
          <w:p w:rsidR="006C3A21" w:rsidRPr="00FC72C3" w:rsidRDefault="006C3A21" w:rsidP="00F15963">
            <w:pPr>
              <w:rPr>
                <w:rFonts w:asciiTheme="minorHAnsi" w:hAnsiTheme="minorHAnsi" w:cstheme="minorHAnsi"/>
                <w:sz w:val="22"/>
                <w:szCs w:val="22"/>
              </w:rPr>
            </w:pPr>
            <w:r>
              <w:rPr>
                <w:rFonts w:asciiTheme="minorHAnsi" w:hAnsiTheme="minorHAnsi" w:cstheme="minorHAnsi"/>
                <w:sz w:val="22"/>
                <w:szCs w:val="22"/>
              </w:rPr>
              <w:t>Município de Itaguaí</w:t>
            </w:r>
          </w:p>
        </w:tc>
        <w:tc>
          <w:tcPr>
            <w:tcW w:w="3140" w:type="dxa"/>
            <w:vAlign w:val="center"/>
          </w:tcPr>
          <w:p w:rsidR="006C3A21" w:rsidRPr="00FC72C3" w:rsidRDefault="006C3A21" w:rsidP="00682BB4">
            <w:pPr>
              <w:rPr>
                <w:rFonts w:asciiTheme="minorHAnsi" w:hAnsiTheme="minorHAnsi" w:cstheme="minorHAnsi"/>
                <w:sz w:val="22"/>
                <w:szCs w:val="22"/>
              </w:rPr>
            </w:pPr>
            <w:r>
              <w:rPr>
                <w:rFonts w:asciiTheme="minorHAnsi" w:hAnsiTheme="minorHAnsi" w:cstheme="minorHAnsi"/>
                <w:sz w:val="22"/>
                <w:szCs w:val="22"/>
              </w:rPr>
              <w:t xml:space="preserve">Embargos à </w:t>
            </w:r>
            <w:r w:rsidR="00682BB4">
              <w:rPr>
                <w:rFonts w:asciiTheme="minorHAnsi" w:hAnsiTheme="minorHAnsi" w:cstheme="minorHAnsi"/>
                <w:sz w:val="22"/>
                <w:szCs w:val="22"/>
              </w:rPr>
              <w:t>e</w:t>
            </w:r>
            <w:r>
              <w:rPr>
                <w:rFonts w:asciiTheme="minorHAnsi" w:hAnsiTheme="minorHAnsi" w:cstheme="minorHAnsi"/>
                <w:sz w:val="22"/>
                <w:szCs w:val="22"/>
              </w:rPr>
              <w:t>xecução</w:t>
            </w:r>
          </w:p>
        </w:tc>
        <w:tc>
          <w:tcPr>
            <w:tcW w:w="1043" w:type="dxa"/>
            <w:vAlign w:val="center"/>
          </w:tcPr>
          <w:p w:rsidR="006C3A21" w:rsidRPr="00FC72C3" w:rsidRDefault="006C3A21" w:rsidP="00F15963">
            <w:pPr>
              <w:jc w:val="right"/>
              <w:rPr>
                <w:rFonts w:asciiTheme="minorHAnsi" w:hAnsiTheme="minorHAnsi" w:cstheme="minorHAnsi"/>
                <w:sz w:val="22"/>
                <w:szCs w:val="22"/>
              </w:rPr>
            </w:pPr>
            <w:r>
              <w:rPr>
                <w:rFonts w:asciiTheme="minorHAnsi" w:hAnsiTheme="minorHAnsi" w:cstheme="minorHAnsi"/>
                <w:sz w:val="22"/>
                <w:szCs w:val="22"/>
              </w:rPr>
              <w:t>306</w:t>
            </w:r>
          </w:p>
        </w:tc>
      </w:tr>
      <w:tr w:rsidR="006C3A21" w:rsidRPr="00FC72C3" w:rsidTr="00055920">
        <w:tc>
          <w:tcPr>
            <w:tcW w:w="2647" w:type="dxa"/>
            <w:shd w:val="clear" w:color="000000" w:fill="FFFFFF"/>
            <w:vAlign w:val="center"/>
          </w:tcPr>
          <w:p w:rsidR="006C3A21" w:rsidRDefault="006C3A21" w:rsidP="00F15963">
            <w:pPr>
              <w:rPr>
                <w:rFonts w:ascii="Calibri" w:hAnsi="Calibri" w:cs="Calibri"/>
                <w:sz w:val="22"/>
                <w:szCs w:val="22"/>
              </w:rPr>
            </w:pPr>
            <w:r>
              <w:rPr>
                <w:rFonts w:ascii="Calibri" w:hAnsi="Calibri" w:cs="Calibri"/>
                <w:sz w:val="22"/>
                <w:szCs w:val="22"/>
              </w:rPr>
              <w:t>50715344620204025101</w:t>
            </w:r>
          </w:p>
        </w:tc>
        <w:tc>
          <w:tcPr>
            <w:tcW w:w="3139" w:type="dxa"/>
            <w:vAlign w:val="center"/>
          </w:tcPr>
          <w:p w:rsidR="006C3A21" w:rsidRDefault="006C3A21" w:rsidP="00F15963">
            <w:pPr>
              <w:rPr>
                <w:rFonts w:asciiTheme="minorHAnsi" w:hAnsiTheme="minorHAnsi" w:cstheme="minorHAnsi"/>
                <w:sz w:val="22"/>
                <w:szCs w:val="22"/>
              </w:rPr>
            </w:pPr>
            <w:r>
              <w:rPr>
                <w:rFonts w:asciiTheme="minorHAnsi" w:hAnsiTheme="minorHAnsi" w:cstheme="minorHAnsi"/>
                <w:sz w:val="22"/>
                <w:szCs w:val="22"/>
              </w:rPr>
              <w:t>Município de Itaguaí</w:t>
            </w:r>
          </w:p>
        </w:tc>
        <w:tc>
          <w:tcPr>
            <w:tcW w:w="3140" w:type="dxa"/>
            <w:vAlign w:val="center"/>
          </w:tcPr>
          <w:p w:rsidR="006C3A21" w:rsidRDefault="006C3A21" w:rsidP="00682BB4">
            <w:pPr>
              <w:rPr>
                <w:rFonts w:asciiTheme="minorHAnsi" w:hAnsiTheme="minorHAnsi" w:cstheme="minorHAnsi"/>
                <w:sz w:val="22"/>
                <w:szCs w:val="22"/>
              </w:rPr>
            </w:pPr>
            <w:r>
              <w:rPr>
                <w:rFonts w:asciiTheme="minorHAnsi" w:hAnsiTheme="minorHAnsi" w:cstheme="minorHAnsi"/>
                <w:sz w:val="22"/>
                <w:szCs w:val="22"/>
              </w:rPr>
              <w:t xml:space="preserve">Embargos à </w:t>
            </w:r>
            <w:r w:rsidR="00682BB4">
              <w:rPr>
                <w:rFonts w:asciiTheme="minorHAnsi" w:hAnsiTheme="minorHAnsi" w:cstheme="minorHAnsi"/>
                <w:sz w:val="22"/>
                <w:szCs w:val="22"/>
              </w:rPr>
              <w:t>e</w:t>
            </w:r>
            <w:r>
              <w:rPr>
                <w:rFonts w:asciiTheme="minorHAnsi" w:hAnsiTheme="minorHAnsi" w:cstheme="minorHAnsi"/>
                <w:sz w:val="22"/>
                <w:szCs w:val="22"/>
              </w:rPr>
              <w:t>xecução</w:t>
            </w:r>
          </w:p>
        </w:tc>
        <w:tc>
          <w:tcPr>
            <w:tcW w:w="1043" w:type="dxa"/>
            <w:vAlign w:val="center"/>
          </w:tcPr>
          <w:p w:rsidR="006C3A21" w:rsidRDefault="006C3A21" w:rsidP="00F15963">
            <w:pPr>
              <w:jc w:val="right"/>
              <w:rPr>
                <w:rFonts w:asciiTheme="minorHAnsi" w:hAnsiTheme="minorHAnsi" w:cstheme="minorHAnsi"/>
                <w:sz w:val="22"/>
                <w:szCs w:val="22"/>
              </w:rPr>
            </w:pPr>
            <w:r>
              <w:rPr>
                <w:rFonts w:asciiTheme="minorHAnsi" w:hAnsiTheme="minorHAnsi" w:cstheme="minorHAnsi"/>
                <w:sz w:val="22"/>
                <w:szCs w:val="22"/>
              </w:rPr>
              <w:t>292</w:t>
            </w:r>
          </w:p>
        </w:tc>
      </w:tr>
    </w:tbl>
    <w:p w:rsidR="006C3A21" w:rsidRDefault="006C3A21" w:rsidP="006C3A21">
      <w:pPr>
        <w:jc w:val="both"/>
        <w:rPr>
          <w:rFonts w:ascii="Calibri" w:hAnsi="Calibri" w:cs="Calibri"/>
          <w:sz w:val="24"/>
          <w:szCs w:val="24"/>
        </w:rPr>
      </w:pPr>
    </w:p>
    <w:p w:rsidR="00C16DDB" w:rsidRPr="00312424" w:rsidRDefault="002500FC" w:rsidP="00C16DDB">
      <w:pPr>
        <w:rPr>
          <w:rFonts w:ascii="Calibri" w:hAnsi="Calibri" w:cs="Calibri"/>
          <w:b/>
          <w:sz w:val="24"/>
          <w:szCs w:val="24"/>
          <w:u w:val="single"/>
        </w:rPr>
      </w:pPr>
      <w:r>
        <w:rPr>
          <w:rFonts w:ascii="Calibri" w:hAnsi="Calibri" w:cs="Calibri"/>
          <w:b/>
          <w:sz w:val="24"/>
          <w:szCs w:val="24"/>
        </w:rPr>
        <w:lastRenderedPageBreak/>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C16DDB"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.O grupo possui a</w:t>
      </w:r>
      <w:r w:rsidR="00A05CB8">
        <w:rPr>
          <w:rFonts w:ascii="Calibri" w:hAnsi="Calibri" w:cs="Calibri"/>
          <w:sz w:val="24"/>
          <w:szCs w:val="24"/>
        </w:rPr>
        <w:t xml:space="preserve"> seguinte composição:</w:t>
      </w:r>
    </w:p>
    <w:p w:rsidR="006A2FE3" w:rsidRPr="00312424" w:rsidRDefault="006A2FE3"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197D3F" w:rsidRPr="00197D3F" w:rsidTr="00697525">
        <w:trPr>
          <w:trHeight w:val="284"/>
          <w:jc w:val="center"/>
        </w:trPr>
        <w:tc>
          <w:tcPr>
            <w:tcW w:w="3980" w:type="dxa"/>
            <w:tcBorders>
              <w:top w:val="nil"/>
              <w:left w:val="nil"/>
              <w:bottom w:val="single" w:sz="4" w:space="0" w:color="auto"/>
              <w:right w:val="single" w:sz="4" w:space="0" w:color="auto"/>
            </w:tcBorders>
            <w:shd w:val="clear" w:color="auto" w:fill="auto"/>
            <w:noWrap/>
            <w:vAlign w:val="bottom"/>
            <w:hideMark/>
          </w:tcPr>
          <w:p w:rsidR="00197D3F" w:rsidRPr="00197D3F" w:rsidRDefault="00197D3F" w:rsidP="00197D3F">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D3F" w:rsidRPr="00197D3F" w:rsidRDefault="00D0760C" w:rsidP="00E0125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E01251">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D3F" w:rsidRPr="00197D3F" w:rsidRDefault="00197D3F" w:rsidP="00E01251">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31/12/201</w:t>
            </w:r>
            <w:r w:rsidR="00E01251">
              <w:rPr>
                <w:rFonts w:ascii="Calibri" w:hAnsi="Calibri" w:cs="Calibri"/>
                <w:b/>
                <w:bCs/>
                <w:snapToGrid/>
                <w:color w:val="000000"/>
                <w:sz w:val="24"/>
                <w:szCs w:val="24"/>
              </w:rPr>
              <w:t>9</w:t>
            </w:r>
          </w:p>
        </w:tc>
      </w:tr>
      <w:tr w:rsidR="00E0125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rPr>
                <w:rFonts w:ascii="Calibri" w:hAnsi="Calibri" w:cs="Calibri"/>
                <w:snapToGrid/>
                <w:color w:val="000000"/>
                <w:sz w:val="24"/>
                <w:szCs w:val="24"/>
              </w:rPr>
            </w:pPr>
            <w:r w:rsidRPr="00197D3F">
              <w:rPr>
                <w:rFonts w:ascii="Calibri" w:hAnsi="Calibri" w:cs="Calibri"/>
                <w:snapToGrid/>
                <w:color w:val="000000"/>
                <w:sz w:val="24"/>
                <w:szCs w:val="24"/>
              </w:rPr>
              <w:t xml:space="preserve">Repasse ao </w:t>
            </w:r>
            <w:proofErr w:type="spellStart"/>
            <w:r w:rsidRPr="00197D3F">
              <w:rPr>
                <w:rFonts w:ascii="Calibri" w:hAnsi="Calibri" w:cs="Calibri"/>
                <w:snapToGrid/>
                <w:color w:val="000000"/>
                <w:sz w:val="24"/>
                <w:szCs w:val="24"/>
              </w:rPr>
              <w:t>Portus</w:t>
            </w:r>
            <w:proofErr w:type="spellEnd"/>
            <w:r>
              <w:rPr>
                <w:rFonts w:ascii="Calibri" w:hAnsi="Calibri" w:cs="Calibri"/>
                <w:snapToGrid/>
                <w:color w:val="000000"/>
                <w:sz w:val="24"/>
                <w:szCs w:val="24"/>
              </w:rPr>
              <w:t xml:space="preserve"> (2013 a 2016)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200.218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194.826</w:t>
            </w:r>
          </w:p>
        </w:tc>
      </w:tr>
      <w:tr w:rsidR="00E0125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r>
      <w:tr w:rsidR="00E0125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10.444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10.158</w:t>
            </w:r>
          </w:p>
        </w:tc>
      </w:tr>
      <w:tr w:rsidR="00E0125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1.233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r>
      <w:tr w:rsidR="00E0125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1.231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jc w:val="right"/>
              <w:rPr>
                <w:rFonts w:ascii="Calibri" w:hAnsi="Calibri" w:cs="Calibri"/>
                <w:snapToGrid/>
                <w:color w:val="000000"/>
                <w:sz w:val="24"/>
                <w:szCs w:val="24"/>
              </w:rPr>
            </w:pPr>
            <w:r>
              <w:rPr>
                <w:rFonts w:ascii="Calibri" w:hAnsi="Calibri" w:cs="Calibri"/>
                <w:snapToGrid/>
                <w:color w:val="000000"/>
                <w:sz w:val="24"/>
                <w:szCs w:val="24"/>
              </w:rPr>
              <w:t>1.198</w:t>
            </w:r>
          </w:p>
        </w:tc>
      </w:tr>
      <w:tr w:rsidR="00E0125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251" w:rsidRPr="00197D3F" w:rsidRDefault="00E01251" w:rsidP="00E0125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213.124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51" w:rsidRPr="00197D3F" w:rsidRDefault="00E01251" w:rsidP="00E0125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207.384</w:t>
            </w:r>
          </w:p>
        </w:tc>
      </w:tr>
    </w:tbl>
    <w:p w:rsidR="00FE514C" w:rsidRDefault="00FE514C" w:rsidP="00C16DDB">
      <w:pPr>
        <w:jc w:val="both"/>
        <w:rPr>
          <w:rFonts w:ascii="Calibri" w:hAnsi="Calibri" w:cs="Calibri"/>
          <w:b/>
          <w:sz w:val="24"/>
          <w:szCs w:val="24"/>
        </w:rPr>
      </w:pPr>
    </w:p>
    <w:p w:rsidR="00FE514C" w:rsidRDefault="00FE514C"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20</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925710" w:rsidRDefault="00925710" w:rsidP="00C16DDB">
      <w:pPr>
        <w:jc w:val="both"/>
        <w:rPr>
          <w:rFonts w:ascii="Calibri" w:hAnsi="Calibri" w:cs="Calibri"/>
          <w:sz w:val="24"/>
          <w:szCs w:val="24"/>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O último aumento de Capital Social da Companhia foi homologado pela Assembleia Geral Extraordinária da Companhia Docas do Rio de Janeiro, no dia 11 de dezembro de 2015.</w:t>
      </w:r>
    </w:p>
    <w:p w:rsidR="00D56ECE" w:rsidRDefault="00D56ECE" w:rsidP="00345CD5">
      <w:pPr>
        <w:jc w:val="both"/>
        <w:rPr>
          <w:rFonts w:ascii="Calibri" w:hAnsi="Calibri" w:cs="Calibri"/>
          <w:b/>
          <w:sz w:val="24"/>
          <w:szCs w:val="24"/>
        </w:rPr>
      </w:pPr>
    </w:p>
    <w:p w:rsidR="006A2FE3" w:rsidRDefault="006A2FE3" w:rsidP="00345CD5">
      <w:pPr>
        <w:jc w:val="both"/>
        <w:rPr>
          <w:rFonts w:ascii="Calibri" w:hAnsi="Calibri" w:cs="Calibri"/>
          <w:b/>
          <w:sz w:val="24"/>
          <w:szCs w:val="24"/>
        </w:rPr>
      </w:pPr>
    </w:p>
    <w:p w:rsidR="00345CD5" w:rsidRPr="00312424" w:rsidRDefault="002500FC" w:rsidP="00345CD5">
      <w:pPr>
        <w:jc w:val="both"/>
        <w:rPr>
          <w:rFonts w:ascii="Calibri" w:hAnsi="Calibri" w:cs="Calibri"/>
          <w:b/>
          <w:sz w:val="24"/>
          <w:szCs w:val="24"/>
          <w:u w:val="single"/>
        </w:rPr>
      </w:pPr>
      <w:r>
        <w:rPr>
          <w:rFonts w:ascii="Calibri" w:hAnsi="Calibri" w:cs="Calibri"/>
          <w:b/>
          <w:sz w:val="24"/>
          <w:szCs w:val="24"/>
        </w:rPr>
        <w:t>21</w:t>
      </w:r>
      <w:r w:rsidR="00345CD5" w:rsidRPr="00312424">
        <w:rPr>
          <w:rFonts w:ascii="Calibri" w:hAnsi="Calibri" w:cs="Calibri"/>
          <w:b/>
          <w:sz w:val="24"/>
          <w:szCs w:val="24"/>
        </w:rPr>
        <w:t xml:space="preserve"> – </w:t>
      </w:r>
      <w:r w:rsidR="00345CD5">
        <w:rPr>
          <w:rFonts w:ascii="Calibri" w:hAnsi="Calibri" w:cs="Calibri"/>
          <w:b/>
          <w:sz w:val="24"/>
          <w:szCs w:val="24"/>
          <w:u w:val="single"/>
        </w:rPr>
        <w:t>RECEITA OPERACIONAL LÍQUIDA</w:t>
      </w:r>
    </w:p>
    <w:p w:rsidR="00345CD5" w:rsidRPr="00312424" w:rsidRDefault="00345CD5" w:rsidP="00345CD5">
      <w:pPr>
        <w:jc w:val="both"/>
        <w:rPr>
          <w:rFonts w:ascii="Calibri" w:hAnsi="Calibri" w:cs="Calibri"/>
          <w:b/>
          <w:sz w:val="24"/>
          <w:szCs w:val="24"/>
          <w:u w:val="single"/>
        </w:rPr>
      </w:pPr>
    </w:p>
    <w:p w:rsidR="00345CD5" w:rsidRDefault="00861708" w:rsidP="00345CD5">
      <w:pPr>
        <w:jc w:val="both"/>
        <w:rPr>
          <w:rFonts w:ascii="Calibri" w:hAnsi="Calibri" w:cs="Calibri"/>
          <w:sz w:val="24"/>
          <w:szCs w:val="24"/>
        </w:rPr>
      </w:pPr>
      <w:r>
        <w:rPr>
          <w:rFonts w:ascii="Calibri" w:hAnsi="Calibri" w:cs="Calibri"/>
          <w:sz w:val="24"/>
          <w:szCs w:val="24"/>
        </w:rPr>
        <w:t>A Receita Operacional Líquida está composta da seguinte maneira:</w:t>
      </w:r>
    </w:p>
    <w:p w:rsidR="00C35D76" w:rsidRDefault="00C35D76" w:rsidP="00C16DDB">
      <w:pPr>
        <w:jc w:val="both"/>
        <w:rPr>
          <w:rFonts w:ascii="Calibri" w:hAnsi="Calibri" w:cs="Calibri"/>
          <w:b/>
          <w:sz w:val="24"/>
          <w:szCs w:val="24"/>
        </w:rPr>
      </w:pPr>
    </w:p>
    <w:p w:rsidR="00C35D76" w:rsidRDefault="00C35D76" w:rsidP="00C16DDB">
      <w:pPr>
        <w:jc w:val="both"/>
        <w:rPr>
          <w:rFonts w:ascii="Calibri" w:hAnsi="Calibri" w:cs="Calibri"/>
          <w:b/>
          <w:sz w:val="24"/>
          <w:szCs w:val="24"/>
        </w:rPr>
      </w:pPr>
      <w:r w:rsidRPr="00C35D76">
        <w:rPr>
          <w:noProof/>
        </w:rPr>
        <w:drawing>
          <wp:inline distT="0" distB="0" distL="0" distR="0">
            <wp:extent cx="6334250" cy="2536166"/>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4688" cy="2548353"/>
                    </a:xfrm>
                    <a:prstGeom prst="rect">
                      <a:avLst/>
                    </a:prstGeom>
                    <a:noFill/>
                    <a:ln>
                      <a:noFill/>
                    </a:ln>
                  </pic:spPr>
                </pic:pic>
              </a:graphicData>
            </a:graphic>
          </wp:inline>
        </w:drawing>
      </w:r>
    </w:p>
    <w:p w:rsidR="00C35D76" w:rsidRPr="00D34E59" w:rsidRDefault="00023842" w:rsidP="00C16DDB">
      <w:pPr>
        <w:jc w:val="both"/>
        <w:rPr>
          <w:rFonts w:ascii="Calibri" w:hAnsi="Calibri" w:cs="Calibri"/>
          <w:sz w:val="24"/>
          <w:szCs w:val="24"/>
        </w:rPr>
      </w:pPr>
      <w:r w:rsidRPr="00023842">
        <w:rPr>
          <w:rFonts w:ascii="Calibri" w:hAnsi="Calibri" w:cs="Calibri"/>
          <w:sz w:val="24"/>
          <w:szCs w:val="24"/>
        </w:rPr>
        <w:lastRenderedPageBreak/>
        <w:t>A C</w:t>
      </w:r>
      <w:r>
        <w:rPr>
          <w:rFonts w:ascii="Calibri" w:hAnsi="Calibri" w:cs="Calibri"/>
          <w:sz w:val="24"/>
          <w:szCs w:val="24"/>
        </w:rPr>
        <w:t xml:space="preserve">DRJ tem movimentação diversificada, operando todas naturezas de carga: geral, granel sólido e granel líquido. </w:t>
      </w:r>
      <w:r w:rsidR="00AC4BFF">
        <w:rPr>
          <w:rFonts w:ascii="Calibri" w:hAnsi="Calibri" w:cs="Calibri"/>
          <w:sz w:val="24"/>
          <w:szCs w:val="24"/>
        </w:rPr>
        <w:t xml:space="preserve">O Porto do Rio </w:t>
      </w:r>
      <w:r w:rsidR="00E372A9">
        <w:rPr>
          <w:rFonts w:ascii="Calibri" w:hAnsi="Calibri" w:cs="Calibri"/>
          <w:sz w:val="24"/>
          <w:szCs w:val="24"/>
        </w:rPr>
        <w:t xml:space="preserve">é o que </w:t>
      </w:r>
      <w:r w:rsidR="00AC4BFF">
        <w:rPr>
          <w:rFonts w:ascii="Calibri" w:hAnsi="Calibri" w:cs="Calibri"/>
          <w:sz w:val="24"/>
          <w:szCs w:val="24"/>
        </w:rPr>
        <w:t>opera</w:t>
      </w:r>
      <w:r w:rsidR="00E372A9">
        <w:rPr>
          <w:rFonts w:ascii="Calibri" w:hAnsi="Calibri" w:cs="Calibri"/>
          <w:sz w:val="24"/>
          <w:szCs w:val="24"/>
        </w:rPr>
        <w:t xml:space="preserve"> com a maior diversidade de cargas, sendo as principais o </w:t>
      </w:r>
      <w:r w:rsidR="00AC4BFF">
        <w:rPr>
          <w:rFonts w:ascii="Calibri" w:hAnsi="Calibri" w:cs="Calibri"/>
          <w:sz w:val="24"/>
          <w:szCs w:val="24"/>
        </w:rPr>
        <w:t xml:space="preserve">petróleo e </w:t>
      </w:r>
      <w:r w:rsidR="00E372A9">
        <w:rPr>
          <w:rFonts w:ascii="Calibri" w:hAnsi="Calibri" w:cs="Calibri"/>
          <w:sz w:val="24"/>
          <w:szCs w:val="24"/>
        </w:rPr>
        <w:t xml:space="preserve">seus </w:t>
      </w:r>
      <w:r w:rsidR="00AC4BFF">
        <w:rPr>
          <w:rFonts w:ascii="Calibri" w:hAnsi="Calibri" w:cs="Calibri"/>
          <w:sz w:val="24"/>
          <w:szCs w:val="24"/>
        </w:rPr>
        <w:t>derivados, trigo, produtos siderúrgicos, sal, gusa, veículos</w:t>
      </w:r>
      <w:r w:rsidR="00E372A9">
        <w:rPr>
          <w:rFonts w:ascii="Calibri" w:hAnsi="Calibri" w:cs="Calibri"/>
          <w:sz w:val="24"/>
          <w:szCs w:val="24"/>
        </w:rPr>
        <w:t xml:space="preserve"> e</w:t>
      </w:r>
      <w:r w:rsidR="00AC4BFF">
        <w:rPr>
          <w:rFonts w:ascii="Calibri" w:hAnsi="Calibri" w:cs="Calibri"/>
          <w:sz w:val="24"/>
          <w:szCs w:val="24"/>
        </w:rPr>
        <w:t xml:space="preserve"> cargas em cont</w:t>
      </w:r>
      <w:r w:rsidR="00E372A9">
        <w:rPr>
          <w:rFonts w:ascii="Calibri" w:hAnsi="Calibri" w:cs="Calibri"/>
          <w:sz w:val="24"/>
          <w:szCs w:val="24"/>
        </w:rPr>
        <w:t>êineres. O Porto possui também um terminal de navios de cruzeiros. O Porto de Itaguaí, um dos maiores da América Latina, destaca-se pela movimentação de granéis sólidos minerais, sendo o minério de ferro o produto mais movimentado, operando também com contêineres, produtos siderúrgicos e carga geral. As operações do Porto de Niterói estão vinculadas à cadeia de petróleo, entretanto, de forma exclusiva. O Porto de Angra dos Reis caracteriza-se pelas operações de apoio marítimo a plataformas e outros empre</w:t>
      </w:r>
      <w:r w:rsidR="00E372A9" w:rsidRPr="00D34E59">
        <w:rPr>
          <w:rFonts w:ascii="Calibri" w:hAnsi="Calibri" w:cs="Calibri"/>
          <w:sz w:val="24"/>
          <w:szCs w:val="24"/>
        </w:rPr>
        <w:t xml:space="preserve">endimentos em alto-mar, conhecidas como operações </w:t>
      </w:r>
      <w:r w:rsidR="00E372A9" w:rsidRPr="00D34E59">
        <w:rPr>
          <w:rFonts w:ascii="Calibri" w:hAnsi="Calibri" w:cs="Calibri"/>
          <w:i/>
          <w:sz w:val="24"/>
          <w:szCs w:val="24"/>
        </w:rPr>
        <w:t>offshore</w:t>
      </w:r>
      <w:r w:rsidR="00E372A9" w:rsidRPr="00D34E59">
        <w:rPr>
          <w:rFonts w:ascii="Calibri" w:hAnsi="Calibri" w:cs="Calibri"/>
          <w:sz w:val="24"/>
          <w:szCs w:val="24"/>
        </w:rPr>
        <w:t>.</w:t>
      </w:r>
    </w:p>
    <w:p w:rsidR="00C35D76" w:rsidRPr="00D34E59" w:rsidRDefault="00C35D76" w:rsidP="00C16DDB">
      <w:pPr>
        <w:jc w:val="both"/>
        <w:rPr>
          <w:rFonts w:ascii="Calibri" w:hAnsi="Calibri" w:cs="Calibri"/>
          <w:sz w:val="24"/>
          <w:szCs w:val="24"/>
        </w:rPr>
      </w:pPr>
    </w:p>
    <w:p w:rsidR="00C35D76" w:rsidRPr="00D34E59" w:rsidRDefault="00D34E59" w:rsidP="00C16DDB">
      <w:pPr>
        <w:jc w:val="both"/>
        <w:rPr>
          <w:rFonts w:ascii="Calibri" w:hAnsi="Calibri" w:cs="Calibri"/>
          <w:sz w:val="24"/>
          <w:szCs w:val="24"/>
        </w:rPr>
      </w:pPr>
      <w:r w:rsidRPr="00D34E59">
        <w:rPr>
          <w:rFonts w:ascii="Calibri" w:hAnsi="Calibri" w:cs="Calibri"/>
          <w:sz w:val="24"/>
          <w:szCs w:val="24"/>
        </w:rPr>
        <w:t xml:space="preserve">A </w:t>
      </w:r>
      <w:r>
        <w:rPr>
          <w:rFonts w:ascii="Calibri" w:hAnsi="Calibri" w:cs="Calibri"/>
          <w:sz w:val="24"/>
          <w:szCs w:val="24"/>
        </w:rPr>
        <w:t xml:space="preserve">Receita Operacional Líquida apresentou crescimento aproximado de 28% (vinte e oito por cento), </w:t>
      </w:r>
      <w:r w:rsidR="00967C96">
        <w:rPr>
          <w:rFonts w:ascii="Calibri" w:hAnsi="Calibri" w:cs="Calibri"/>
          <w:sz w:val="24"/>
          <w:szCs w:val="24"/>
        </w:rPr>
        <w:t xml:space="preserve">ocasionado, </w:t>
      </w:r>
      <w:r>
        <w:rPr>
          <w:rFonts w:ascii="Calibri" w:hAnsi="Calibri" w:cs="Calibri"/>
          <w:sz w:val="24"/>
          <w:szCs w:val="24"/>
        </w:rPr>
        <w:t>principalmente</w:t>
      </w:r>
      <w:r w:rsidR="00967C96">
        <w:rPr>
          <w:rFonts w:ascii="Calibri" w:hAnsi="Calibri" w:cs="Calibri"/>
          <w:sz w:val="24"/>
          <w:szCs w:val="24"/>
        </w:rPr>
        <w:t>,</w:t>
      </w:r>
      <w:r>
        <w:rPr>
          <w:rFonts w:ascii="Calibri" w:hAnsi="Calibri" w:cs="Calibri"/>
          <w:sz w:val="24"/>
          <w:szCs w:val="24"/>
        </w:rPr>
        <w:t xml:space="preserve"> </w:t>
      </w:r>
      <w:r w:rsidR="00967C96">
        <w:rPr>
          <w:rFonts w:ascii="Calibri" w:hAnsi="Calibri" w:cs="Calibri"/>
          <w:sz w:val="24"/>
          <w:szCs w:val="24"/>
        </w:rPr>
        <w:t>no</w:t>
      </w:r>
      <w:r>
        <w:rPr>
          <w:rFonts w:ascii="Calibri" w:hAnsi="Calibri" w:cs="Calibri"/>
          <w:sz w:val="24"/>
          <w:szCs w:val="24"/>
        </w:rPr>
        <w:t xml:space="preserve"> Porto de Itaguaí, pelo aumento do dólar e do preço d</w:t>
      </w:r>
      <w:r w:rsidR="00E33F9F">
        <w:rPr>
          <w:rFonts w:ascii="Calibri" w:hAnsi="Calibri" w:cs="Calibri"/>
          <w:sz w:val="24"/>
          <w:szCs w:val="24"/>
        </w:rPr>
        <w:t>as commodities no</w:t>
      </w:r>
      <w:r>
        <w:rPr>
          <w:rFonts w:ascii="Calibri" w:hAnsi="Calibri" w:cs="Calibri"/>
          <w:sz w:val="24"/>
          <w:szCs w:val="24"/>
        </w:rPr>
        <w:t xml:space="preserve"> </w:t>
      </w:r>
      <w:r w:rsidR="00E33F9F">
        <w:rPr>
          <w:rFonts w:ascii="Calibri" w:hAnsi="Calibri" w:cs="Calibri"/>
          <w:sz w:val="24"/>
          <w:szCs w:val="24"/>
        </w:rPr>
        <w:t>mercado externo.</w:t>
      </w:r>
    </w:p>
    <w:p w:rsidR="00C35D76" w:rsidRDefault="00C35D76" w:rsidP="00C16DDB">
      <w:pPr>
        <w:jc w:val="both"/>
        <w:rPr>
          <w:rFonts w:ascii="Calibri" w:hAnsi="Calibri" w:cs="Calibri"/>
          <w:b/>
          <w:sz w:val="24"/>
          <w:szCs w:val="24"/>
        </w:rPr>
      </w:pPr>
    </w:p>
    <w:p w:rsidR="003B1312" w:rsidRDefault="003B1312"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22</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CUSTOS DA OPERAÇÃO</w:t>
      </w:r>
    </w:p>
    <w:p w:rsidR="00C16DDB" w:rsidRPr="00312424" w:rsidRDefault="00C16DDB" w:rsidP="00C16DDB">
      <w:pPr>
        <w:jc w:val="both"/>
        <w:rPr>
          <w:rFonts w:ascii="Calibri" w:hAnsi="Calibri" w:cs="Calibri"/>
          <w:b/>
          <w:sz w:val="24"/>
          <w:szCs w:val="24"/>
          <w:u w:val="single"/>
        </w:rPr>
      </w:pPr>
    </w:p>
    <w:p w:rsidR="00FD1B30" w:rsidRDefault="00C16DDB" w:rsidP="00C16DDB">
      <w:pPr>
        <w:jc w:val="both"/>
        <w:rPr>
          <w:rFonts w:ascii="Calibri" w:hAnsi="Calibri" w:cs="Calibri"/>
          <w:sz w:val="24"/>
          <w:szCs w:val="24"/>
        </w:rPr>
      </w:pPr>
      <w:r w:rsidRPr="00312424">
        <w:rPr>
          <w:rFonts w:ascii="Calibri" w:hAnsi="Calibri" w:cs="Calibri"/>
          <w:sz w:val="24"/>
          <w:szCs w:val="24"/>
        </w:rPr>
        <w:t>O</w:t>
      </w:r>
      <w:r w:rsidR="00FD1B30">
        <w:rPr>
          <w:rFonts w:ascii="Calibri" w:hAnsi="Calibri" w:cs="Calibri"/>
          <w:sz w:val="24"/>
          <w:szCs w:val="24"/>
        </w:rPr>
        <w:t>s</w:t>
      </w:r>
      <w:r w:rsidRPr="00312424">
        <w:rPr>
          <w:rFonts w:ascii="Calibri" w:hAnsi="Calibri" w:cs="Calibri"/>
          <w:sz w:val="24"/>
          <w:szCs w:val="24"/>
        </w:rPr>
        <w:t xml:space="preserve"> custo</w:t>
      </w:r>
      <w:r w:rsidR="00FD1B30">
        <w:rPr>
          <w:rFonts w:ascii="Calibri" w:hAnsi="Calibri" w:cs="Calibri"/>
          <w:sz w:val="24"/>
          <w:szCs w:val="24"/>
        </w:rPr>
        <w:t>s</w:t>
      </w:r>
      <w:r w:rsidRPr="00312424">
        <w:rPr>
          <w:rFonts w:ascii="Calibri" w:hAnsi="Calibri" w:cs="Calibri"/>
          <w:sz w:val="24"/>
          <w:szCs w:val="24"/>
        </w:rPr>
        <w:t xml:space="preserve"> das operações </w:t>
      </w:r>
      <w:r w:rsidR="00FD1B30">
        <w:rPr>
          <w:rFonts w:ascii="Calibri" w:hAnsi="Calibri" w:cs="Calibri"/>
          <w:sz w:val="24"/>
          <w:szCs w:val="24"/>
        </w:rPr>
        <w:t>possuem a seguinte composição:</w:t>
      </w:r>
    </w:p>
    <w:p w:rsidR="002060DA" w:rsidRDefault="002060DA" w:rsidP="00C16DDB">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E33F9F" w:rsidRPr="002060DA" w:rsidTr="00697525">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E33F9F" w:rsidRPr="002060DA" w:rsidRDefault="00E33F9F" w:rsidP="00E33F9F">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E33F9F"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56.287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E33F9F" w:rsidP="008612F5">
            <w:pPr>
              <w:widowControl/>
              <w:jc w:val="right"/>
              <w:rPr>
                <w:rFonts w:ascii="Calibri" w:hAnsi="Calibri" w:cs="Calibri"/>
                <w:snapToGrid/>
                <w:color w:val="000000"/>
                <w:sz w:val="24"/>
                <w:szCs w:val="24"/>
              </w:rPr>
            </w:pPr>
            <w:r>
              <w:rPr>
                <w:rFonts w:ascii="Calibri" w:hAnsi="Calibri" w:cs="Calibri"/>
                <w:snapToGrid/>
                <w:color w:val="000000"/>
                <w:sz w:val="24"/>
                <w:szCs w:val="24"/>
              </w:rPr>
              <w:t>60.86</w:t>
            </w:r>
            <w:r w:rsidR="008612F5">
              <w:rPr>
                <w:rFonts w:ascii="Calibri" w:hAnsi="Calibri" w:cs="Calibri"/>
                <w:snapToGrid/>
                <w:color w:val="000000"/>
                <w:sz w:val="24"/>
                <w:szCs w:val="24"/>
              </w:rPr>
              <w:t>6</w:t>
            </w:r>
          </w:p>
        </w:tc>
      </w:tr>
      <w:tr w:rsidR="00E33F9F"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15.416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E33F9F"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13.347</w:t>
            </w:r>
          </w:p>
        </w:tc>
      </w:tr>
      <w:tr w:rsidR="00E33F9F"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32.394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24.286</w:t>
            </w:r>
          </w:p>
        </w:tc>
      </w:tr>
      <w:tr w:rsidR="00E33F9F"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5.816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E33F9F"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3.129</w:t>
            </w:r>
          </w:p>
        </w:tc>
      </w:tr>
      <w:tr w:rsidR="00E33F9F"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8612F5" w:rsidP="00E33F9F">
            <w:pPr>
              <w:widowControl/>
              <w:rPr>
                <w:rFonts w:ascii="Calibri" w:hAnsi="Calibri" w:cs="Calibri"/>
                <w:snapToGrid/>
                <w:color w:val="000000"/>
                <w:sz w:val="24"/>
                <w:szCs w:val="24"/>
              </w:rPr>
            </w:pPr>
            <w:r>
              <w:rPr>
                <w:rFonts w:ascii="Calibri" w:hAnsi="Calibri" w:cs="Calibri"/>
                <w:snapToGrid/>
                <w:color w:val="000000"/>
                <w:sz w:val="24"/>
                <w:szCs w:val="24"/>
              </w:rPr>
              <w:t>Outros Custos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18.319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8612F5" w:rsidP="00E33F9F">
            <w:pPr>
              <w:widowControl/>
              <w:jc w:val="right"/>
              <w:rPr>
                <w:rFonts w:ascii="Calibri" w:hAnsi="Calibri" w:cs="Calibri"/>
                <w:snapToGrid/>
                <w:color w:val="000000"/>
                <w:sz w:val="24"/>
                <w:szCs w:val="24"/>
              </w:rPr>
            </w:pPr>
            <w:r>
              <w:rPr>
                <w:rFonts w:ascii="Calibri" w:hAnsi="Calibri" w:cs="Calibri"/>
                <w:snapToGrid/>
                <w:color w:val="000000"/>
                <w:sz w:val="24"/>
                <w:szCs w:val="24"/>
              </w:rPr>
              <w:t>14.310</w:t>
            </w:r>
          </w:p>
        </w:tc>
      </w:tr>
      <w:tr w:rsidR="00E33F9F"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9F" w:rsidRPr="002060DA" w:rsidRDefault="00E33F9F" w:rsidP="00E33F9F">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E33F9F" w:rsidP="00E33F9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128.332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9F" w:rsidRPr="002060DA" w:rsidRDefault="00E33F9F" w:rsidP="00E33F9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115.938</w:t>
            </w:r>
          </w:p>
        </w:tc>
      </w:tr>
    </w:tbl>
    <w:p w:rsidR="00FE514C" w:rsidRDefault="00FE514C" w:rsidP="00C16DDB">
      <w:pPr>
        <w:jc w:val="both"/>
        <w:rPr>
          <w:rFonts w:ascii="Calibri" w:hAnsi="Calibri" w:cs="Calibri"/>
          <w:sz w:val="24"/>
          <w:szCs w:val="24"/>
        </w:rPr>
      </w:pPr>
    </w:p>
    <w:p w:rsidR="00A63A20" w:rsidRDefault="00967C96" w:rsidP="00C16DDB">
      <w:pPr>
        <w:jc w:val="both"/>
        <w:rPr>
          <w:rFonts w:ascii="Calibri" w:hAnsi="Calibri" w:cs="Calibri"/>
          <w:sz w:val="24"/>
          <w:szCs w:val="24"/>
        </w:rPr>
      </w:pPr>
      <w:r>
        <w:rPr>
          <w:rFonts w:ascii="Calibri" w:hAnsi="Calibri" w:cs="Calibri"/>
          <w:sz w:val="24"/>
          <w:szCs w:val="24"/>
        </w:rPr>
        <w:t>A redução dos custos com pessoal e encargos é resultado de 65 (sessenta e cinco) pedidos de desligamento, ligados ao Plano de Desligamento Voluntário – PDV instituído no exercício de 2020, além da redução no pagamento de adicionais de risco e noturno, por conta da redução da força de trabalho no período mais crítico da pandemia da COVID-19 (</w:t>
      </w:r>
      <w:proofErr w:type="spellStart"/>
      <w:r>
        <w:rPr>
          <w:rFonts w:ascii="Calibri" w:hAnsi="Calibri" w:cs="Calibri"/>
          <w:sz w:val="24"/>
          <w:szCs w:val="24"/>
        </w:rPr>
        <w:t>coronavírus</w:t>
      </w:r>
      <w:proofErr w:type="spellEnd"/>
      <w:r>
        <w:rPr>
          <w:rFonts w:ascii="Calibri" w:hAnsi="Calibri" w:cs="Calibri"/>
          <w:sz w:val="24"/>
          <w:szCs w:val="24"/>
        </w:rPr>
        <w:t>).</w:t>
      </w:r>
      <w:r w:rsidR="006A2FE3">
        <w:rPr>
          <w:rFonts w:ascii="Calibri" w:hAnsi="Calibri" w:cs="Calibri"/>
          <w:sz w:val="24"/>
          <w:szCs w:val="24"/>
        </w:rPr>
        <w:t xml:space="preserve"> </w:t>
      </w:r>
      <w:r w:rsidR="00A63A20">
        <w:rPr>
          <w:rFonts w:ascii="Calibri" w:hAnsi="Calibri" w:cs="Calibri"/>
          <w:sz w:val="24"/>
          <w:szCs w:val="24"/>
        </w:rPr>
        <w:t xml:space="preserve">O aumento da depreciação é </w:t>
      </w:r>
      <w:r w:rsidR="00B92B67">
        <w:rPr>
          <w:rFonts w:ascii="Calibri" w:hAnsi="Calibri" w:cs="Calibri"/>
          <w:sz w:val="24"/>
          <w:szCs w:val="24"/>
        </w:rPr>
        <w:t>consequência</w:t>
      </w:r>
      <w:r w:rsidR="00A63A20">
        <w:rPr>
          <w:rFonts w:ascii="Calibri" w:hAnsi="Calibri" w:cs="Calibri"/>
          <w:sz w:val="24"/>
          <w:szCs w:val="24"/>
        </w:rPr>
        <w:t xml:space="preserve"> da revisão de vida útil dos itens classificados no ativo permanente, contratada no final do exercício de 2019, que se refletiu no exercício de 2020.</w:t>
      </w:r>
    </w:p>
    <w:p w:rsidR="00A63A20" w:rsidRDefault="00A63A20"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23</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Pr="00312424" w:rsidRDefault="00C16DDB" w:rsidP="00C16DDB">
      <w:pPr>
        <w:rPr>
          <w:rFonts w:ascii="Calibri" w:hAnsi="Calibri" w:cs="Calibri"/>
          <w:b/>
          <w:sz w:val="24"/>
          <w:szCs w:val="24"/>
          <w:u w:val="single"/>
        </w:rPr>
      </w:pPr>
    </w:p>
    <w:p w:rsidR="006A2FE3" w:rsidRDefault="00C16DDB" w:rsidP="00C16DDB">
      <w:pPr>
        <w:jc w:val="both"/>
        <w:rPr>
          <w:rFonts w:ascii="Calibri" w:hAnsi="Calibri" w:cs="Calibri"/>
          <w:sz w:val="24"/>
          <w:szCs w:val="24"/>
        </w:rPr>
      </w:pPr>
      <w:r w:rsidRPr="00312424">
        <w:rPr>
          <w:rFonts w:ascii="Calibri" w:hAnsi="Calibri" w:cs="Calibri"/>
          <w:sz w:val="24"/>
          <w:szCs w:val="24"/>
        </w:rPr>
        <w:t>O grupo possui a seguinte composição:</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C85F53" w:rsidRPr="00C85F53" w:rsidTr="00697525">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F53" w:rsidRPr="00C85F53" w:rsidRDefault="00D0760C" w:rsidP="001A09B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1A09B5">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F53" w:rsidRPr="00C85F53" w:rsidRDefault="00D0760C" w:rsidP="001A09B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sidR="001A09B5">
              <w:rPr>
                <w:rFonts w:ascii="Calibri" w:hAnsi="Calibri" w:cs="Calibri"/>
                <w:b/>
                <w:bCs/>
                <w:snapToGrid/>
                <w:color w:val="000000"/>
                <w:sz w:val="24"/>
                <w:szCs w:val="24"/>
              </w:rPr>
              <w:t>9</w:t>
            </w:r>
          </w:p>
        </w:tc>
      </w:tr>
      <w:tr w:rsidR="001A09B5"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C85F53" w:rsidRDefault="001A09B5" w:rsidP="001A09B5">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153.947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166.151</w:t>
            </w:r>
          </w:p>
        </w:tc>
      </w:tr>
      <w:tr w:rsidR="001A09B5"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C85F53" w:rsidRDefault="001A09B5" w:rsidP="001A09B5">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14.663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13.653</w:t>
            </w:r>
          </w:p>
        </w:tc>
      </w:tr>
      <w:tr w:rsidR="001A09B5" w:rsidRPr="00C85F53" w:rsidTr="001A09B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C85F53" w:rsidRDefault="001A09B5" w:rsidP="001A09B5">
            <w:pPr>
              <w:widowControl/>
              <w:rPr>
                <w:rFonts w:ascii="Calibri" w:hAnsi="Calibri" w:cs="Calibri"/>
                <w:snapToGrid/>
                <w:color w:val="000000"/>
                <w:sz w:val="24"/>
                <w:szCs w:val="24"/>
              </w:rPr>
            </w:pPr>
            <w:r>
              <w:rPr>
                <w:rFonts w:ascii="Calibri" w:hAnsi="Calibri" w:cs="Calibri"/>
                <w:snapToGrid/>
                <w:color w:val="000000"/>
                <w:sz w:val="24"/>
                <w:szCs w:val="24"/>
              </w:rPr>
              <w:t>Legais, Judiciais e Contratuais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10.963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9.771</w:t>
            </w:r>
          </w:p>
        </w:tc>
      </w:tr>
      <w:tr w:rsidR="001A09B5" w:rsidRPr="00C85F53" w:rsidTr="001A09B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C85F53" w:rsidRDefault="001A09B5" w:rsidP="001A09B5">
            <w:pPr>
              <w:widowControl/>
              <w:rPr>
                <w:rFonts w:ascii="Calibri" w:hAnsi="Calibri" w:cs="Calibri"/>
                <w:snapToGrid/>
                <w:color w:val="000000"/>
                <w:sz w:val="24"/>
                <w:szCs w:val="24"/>
              </w:rPr>
            </w:pPr>
            <w:r>
              <w:rPr>
                <w:rFonts w:ascii="Calibri" w:hAnsi="Calibri" w:cs="Calibri"/>
                <w:snapToGrid/>
                <w:color w:val="000000"/>
                <w:sz w:val="24"/>
                <w:szCs w:val="24"/>
              </w:rPr>
              <w:t>Impostos e Taxas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1.779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14.844</w:t>
            </w:r>
          </w:p>
        </w:tc>
      </w:tr>
      <w:tr w:rsidR="001A09B5" w:rsidRPr="00C85F53" w:rsidTr="001A09B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C85F53" w:rsidRDefault="001A09B5" w:rsidP="001A09B5">
            <w:pPr>
              <w:widowControl/>
              <w:rPr>
                <w:rFonts w:ascii="Calibri" w:hAnsi="Calibri" w:cs="Calibri"/>
                <w:snapToGrid/>
                <w:color w:val="000000"/>
                <w:sz w:val="24"/>
                <w:szCs w:val="24"/>
              </w:rPr>
            </w:pPr>
            <w:r>
              <w:rPr>
                <w:rFonts w:ascii="Calibri" w:hAnsi="Calibri" w:cs="Calibri"/>
                <w:snapToGrid/>
                <w:color w:val="000000"/>
                <w:sz w:val="24"/>
                <w:szCs w:val="24"/>
              </w:rPr>
              <w:t>Outras Despesas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16.449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6C7E20"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4.354</w:t>
            </w:r>
          </w:p>
        </w:tc>
      </w:tr>
      <w:tr w:rsidR="001A09B5"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C85F53" w:rsidRDefault="001A09B5" w:rsidP="001A09B5">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C85F53" w:rsidRDefault="001A09B5" w:rsidP="001A09B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197.802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C85F53" w:rsidRDefault="001A09B5" w:rsidP="001A09B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208.773</w:t>
            </w:r>
          </w:p>
        </w:tc>
      </w:tr>
    </w:tbl>
    <w:p w:rsidR="00955480" w:rsidRPr="001A09B5" w:rsidRDefault="001A09B5" w:rsidP="00C16DDB">
      <w:pPr>
        <w:jc w:val="both"/>
        <w:rPr>
          <w:rFonts w:ascii="Calibri" w:hAnsi="Calibri" w:cs="Calibri"/>
          <w:sz w:val="24"/>
          <w:szCs w:val="24"/>
        </w:rPr>
      </w:pPr>
      <w:r w:rsidRPr="001A09B5">
        <w:rPr>
          <w:rFonts w:ascii="Calibri" w:hAnsi="Calibri" w:cs="Calibri"/>
          <w:sz w:val="24"/>
          <w:szCs w:val="24"/>
        </w:rPr>
        <w:lastRenderedPageBreak/>
        <w:t xml:space="preserve">A </w:t>
      </w:r>
      <w:r>
        <w:rPr>
          <w:rFonts w:ascii="Calibri" w:hAnsi="Calibri" w:cs="Calibri"/>
          <w:sz w:val="24"/>
          <w:szCs w:val="24"/>
        </w:rPr>
        <w:t xml:space="preserve">variação no grupo ocorreu, principalmente, pela redução nos gastos com pessoal, conforme nota explicativa nº 22 – Custos da Operação, pela redução dos impostos e taxas, por conta do não reconhecimento, no exercício de 2020, das taxas de ocupação e de aforamento, cobradas pela Secretaria do Patrimônio da União – SPU, e pelo aumento do grupo Outras Despesas causado pela reclassificação de valores classificados no grupo de imobilizado em andamento. </w:t>
      </w:r>
    </w:p>
    <w:p w:rsidR="001A09B5" w:rsidRDefault="001A09B5" w:rsidP="00C16DDB">
      <w:pPr>
        <w:jc w:val="both"/>
        <w:rPr>
          <w:rFonts w:ascii="Calibri" w:hAnsi="Calibri" w:cs="Calibri"/>
          <w:b/>
          <w:sz w:val="24"/>
          <w:szCs w:val="24"/>
        </w:rPr>
      </w:pPr>
    </w:p>
    <w:p w:rsidR="003B1312" w:rsidRDefault="003B1312"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4</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Pr="00312424" w:rsidRDefault="00C16DDB" w:rsidP="00C16DDB">
      <w:pPr>
        <w:jc w:val="both"/>
        <w:rPr>
          <w:rFonts w:ascii="Calibri" w:hAnsi="Calibri" w:cs="Calibri"/>
          <w:sz w:val="24"/>
          <w:szCs w:val="24"/>
        </w:rPr>
      </w:pPr>
    </w:p>
    <w:p w:rsidR="00CD4CBD" w:rsidRDefault="00CD4CBD" w:rsidP="00C16DDB">
      <w:pPr>
        <w:jc w:val="both"/>
        <w:rPr>
          <w:rFonts w:ascii="Calibri" w:hAnsi="Calibri" w:cs="Calibri"/>
          <w:sz w:val="24"/>
          <w:szCs w:val="24"/>
        </w:rPr>
      </w:pPr>
      <w:r>
        <w:rPr>
          <w:rFonts w:ascii="Calibri" w:hAnsi="Calibri" w:cs="Calibri"/>
          <w:sz w:val="24"/>
          <w:szCs w:val="24"/>
        </w:rPr>
        <w:t>As Provisões estão compostas da seguinte maneira:</w:t>
      </w:r>
    </w:p>
    <w:p w:rsidR="00C16DDB" w:rsidRDefault="00C16DDB" w:rsidP="00C16DDB">
      <w:pPr>
        <w:jc w:val="both"/>
        <w:rPr>
          <w:rFonts w:ascii="Calibri" w:hAnsi="Calibri" w:cs="Calibri"/>
          <w:sz w:val="24"/>
          <w:szCs w:val="24"/>
        </w:rPr>
      </w:pPr>
    </w:p>
    <w:tbl>
      <w:tblPr>
        <w:tblW w:w="9200" w:type="dxa"/>
        <w:jc w:val="center"/>
        <w:tblCellMar>
          <w:left w:w="70" w:type="dxa"/>
          <w:right w:w="70" w:type="dxa"/>
        </w:tblCellMar>
        <w:tblLook w:val="04A0" w:firstRow="1" w:lastRow="0" w:firstColumn="1" w:lastColumn="0" w:noHBand="0" w:noVBand="1"/>
      </w:tblPr>
      <w:tblGrid>
        <w:gridCol w:w="5680"/>
        <w:gridCol w:w="1760"/>
        <w:gridCol w:w="1760"/>
      </w:tblGrid>
      <w:tr w:rsidR="003B4F3A" w:rsidRPr="003B4F3A" w:rsidTr="00697525">
        <w:trPr>
          <w:trHeight w:val="284"/>
          <w:jc w:val="center"/>
        </w:trPr>
        <w:tc>
          <w:tcPr>
            <w:tcW w:w="5680" w:type="dxa"/>
            <w:tcBorders>
              <w:top w:val="nil"/>
              <w:left w:val="nil"/>
              <w:bottom w:val="single" w:sz="4" w:space="0" w:color="auto"/>
              <w:right w:val="single" w:sz="4" w:space="0" w:color="auto"/>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3A" w:rsidRPr="003B4F3A" w:rsidRDefault="001A09B5"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3A" w:rsidRPr="003B4F3A" w:rsidRDefault="00D0760C" w:rsidP="001A09B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sidR="001A09B5">
              <w:rPr>
                <w:rFonts w:ascii="Calibri" w:hAnsi="Calibri" w:cs="Calibri"/>
                <w:b/>
                <w:bCs/>
                <w:snapToGrid/>
                <w:color w:val="000000"/>
                <w:sz w:val="24"/>
                <w:szCs w:val="24"/>
              </w:rPr>
              <w:t>9</w:t>
            </w:r>
          </w:p>
        </w:tc>
      </w:tr>
      <w:tr w:rsidR="001A09B5"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3B4F3A" w:rsidRDefault="001A09B5" w:rsidP="001A09B5">
            <w:pPr>
              <w:widowControl/>
              <w:rPr>
                <w:rFonts w:ascii="Calibri" w:hAnsi="Calibri" w:cs="Calibri"/>
                <w:snapToGrid/>
                <w:color w:val="000000"/>
                <w:sz w:val="24"/>
                <w:szCs w:val="24"/>
              </w:rPr>
            </w:pPr>
            <w:r w:rsidRPr="003B4F3A">
              <w:rPr>
                <w:rFonts w:ascii="Calibri" w:hAnsi="Calibri" w:cs="Calibri"/>
                <w:snapToGrid/>
                <w:color w:val="000000"/>
                <w:sz w:val="24"/>
                <w:szCs w:val="24"/>
              </w:rPr>
              <w:t>Perdas Estimadas com Créditos de Liquidação Duvidosa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(8.260)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(9.912)</w:t>
            </w:r>
          </w:p>
        </w:tc>
      </w:tr>
      <w:tr w:rsidR="001A09B5"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3B4F3A" w:rsidRDefault="001A09B5" w:rsidP="001A09B5">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(6.182)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10.721</w:t>
            </w:r>
          </w:p>
        </w:tc>
      </w:tr>
      <w:tr w:rsidR="001A09B5"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3B4F3A" w:rsidRDefault="001A09B5" w:rsidP="001A09B5">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(5.651)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(6.156)</w:t>
            </w:r>
          </w:p>
        </w:tc>
      </w:tr>
      <w:tr w:rsidR="001A09B5"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3B4F3A" w:rsidRDefault="001A09B5" w:rsidP="001A09B5">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FGTS do 13º Salário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(262)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(524)</w:t>
            </w:r>
          </w:p>
        </w:tc>
      </w:tr>
      <w:tr w:rsidR="001A09B5"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3B4F3A" w:rsidRDefault="001A09B5" w:rsidP="001A09B5">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(78.695)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snapToGrid/>
                <w:color w:val="000000"/>
                <w:sz w:val="24"/>
                <w:szCs w:val="24"/>
              </w:rPr>
            </w:pPr>
            <w:r>
              <w:rPr>
                <w:rFonts w:ascii="Calibri" w:hAnsi="Calibri" w:cs="Calibri"/>
                <w:snapToGrid/>
                <w:color w:val="000000"/>
                <w:sz w:val="24"/>
                <w:szCs w:val="24"/>
              </w:rPr>
              <w:t>1.021.947</w:t>
            </w:r>
          </w:p>
        </w:tc>
      </w:tr>
      <w:tr w:rsidR="001A09B5"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9B5" w:rsidRPr="003B4F3A" w:rsidRDefault="001A09B5" w:rsidP="001A09B5">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(99.050)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9B5" w:rsidRPr="003B4F3A" w:rsidRDefault="001A09B5" w:rsidP="001A09B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1.016.076</w:t>
            </w:r>
          </w:p>
        </w:tc>
      </w:tr>
    </w:tbl>
    <w:p w:rsidR="00516C4E" w:rsidRDefault="00516C4E" w:rsidP="00C16DDB">
      <w:pPr>
        <w:jc w:val="both"/>
        <w:rPr>
          <w:rFonts w:ascii="Calibri" w:hAnsi="Calibri" w:cs="Calibri"/>
          <w:sz w:val="24"/>
          <w:szCs w:val="24"/>
        </w:rPr>
      </w:pPr>
    </w:p>
    <w:p w:rsidR="00B92B67" w:rsidRDefault="00B92B67" w:rsidP="00C16DDB">
      <w:pPr>
        <w:jc w:val="both"/>
        <w:rPr>
          <w:rFonts w:ascii="Calibri" w:hAnsi="Calibri" w:cs="Calibri"/>
          <w:sz w:val="24"/>
          <w:szCs w:val="24"/>
        </w:rPr>
      </w:pPr>
      <w:r>
        <w:rPr>
          <w:rFonts w:ascii="Calibri" w:hAnsi="Calibri" w:cs="Calibri"/>
          <w:sz w:val="24"/>
          <w:szCs w:val="24"/>
        </w:rPr>
        <w:t>As principais variações são a Provisão de Férias, conforme nota explicativa nº 14 – Obrigações Trabalhistas e Assistenciais</w:t>
      </w:r>
      <w:r w:rsidR="00FA4C50">
        <w:rPr>
          <w:rFonts w:ascii="Calibri" w:hAnsi="Calibri" w:cs="Calibri"/>
          <w:sz w:val="24"/>
          <w:szCs w:val="24"/>
        </w:rPr>
        <w:t>,</w:t>
      </w:r>
      <w:r>
        <w:rPr>
          <w:rFonts w:ascii="Calibri" w:hAnsi="Calibri" w:cs="Calibri"/>
          <w:sz w:val="24"/>
          <w:szCs w:val="24"/>
        </w:rPr>
        <w:t xml:space="preserve"> e a Provisão para Contingências, que teve uma reversão extraordinária no exercício de 2019, mas retomou ao patamar habitual em 2020.</w:t>
      </w:r>
    </w:p>
    <w:p w:rsidR="00D414A4" w:rsidRDefault="00D414A4" w:rsidP="00C16DDB">
      <w:pPr>
        <w:jc w:val="both"/>
        <w:rPr>
          <w:rFonts w:ascii="Calibri" w:hAnsi="Calibri" w:cs="Calibri"/>
          <w:b/>
          <w:sz w:val="24"/>
          <w:szCs w:val="24"/>
        </w:rPr>
      </w:pPr>
    </w:p>
    <w:p w:rsidR="00B92B67" w:rsidRDefault="00B92B67"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p w:rsidR="00340FB0" w:rsidRDefault="00340FB0" w:rsidP="00C16DDB">
      <w:pPr>
        <w:jc w:val="both"/>
        <w:rPr>
          <w:rFonts w:ascii="Calibri" w:hAnsi="Calibri" w:cs="Calibri"/>
          <w:sz w:val="24"/>
          <w:szCs w:val="24"/>
        </w:rPr>
      </w:pPr>
      <w:r>
        <w:rPr>
          <w:rFonts w:ascii="Calibri" w:hAnsi="Calibri" w:cs="Calibri"/>
          <w:sz w:val="24"/>
          <w:szCs w:val="24"/>
        </w:rPr>
        <w:t>O grupo possui a seguinte composição:</w:t>
      </w:r>
    </w:p>
    <w:p w:rsidR="0004363C" w:rsidRDefault="0004363C" w:rsidP="00C16DDB">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3D07B8" w:rsidRPr="003D07B8" w:rsidTr="00697525">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7B8" w:rsidRPr="003D07B8" w:rsidRDefault="00D0760C" w:rsidP="00AA3A2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AA3A27">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7B8" w:rsidRPr="003D07B8" w:rsidRDefault="00D0760C" w:rsidP="00AA3A2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sidR="00AA3A27">
              <w:rPr>
                <w:rFonts w:ascii="Calibri" w:hAnsi="Calibri" w:cs="Calibri"/>
                <w:b/>
                <w:bCs/>
                <w:snapToGrid/>
                <w:color w:val="000000"/>
                <w:sz w:val="24"/>
                <w:szCs w:val="24"/>
              </w:rPr>
              <w:t>9</w:t>
            </w:r>
          </w:p>
        </w:tc>
      </w:tr>
      <w:tr w:rsidR="00AA3A27"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27" w:rsidRPr="003D07B8" w:rsidRDefault="00AA3A27" w:rsidP="00AA3A27">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9.837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AA3A27"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11.628</w:t>
            </w:r>
          </w:p>
        </w:tc>
      </w:tr>
      <w:tr w:rsidR="00AA3A27"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27" w:rsidRPr="003D07B8" w:rsidRDefault="00AA3A27" w:rsidP="00AA3A27">
            <w:pPr>
              <w:widowControl/>
              <w:rPr>
                <w:rFonts w:ascii="Calibri" w:hAnsi="Calibri" w:cs="Calibri"/>
                <w:snapToGrid/>
                <w:color w:val="000000"/>
                <w:sz w:val="24"/>
                <w:szCs w:val="24"/>
              </w:rPr>
            </w:pPr>
            <w:r w:rsidRPr="003D07B8">
              <w:rPr>
                <w:rFonts w:ascii="Calibri" w:hAnsi="Calibri" w:cs="Calibri"/>
                <w:snapToGrid/>
                <w:color w:val="000000"/>
                <w:sz w:val="24"/>
                <w:szCs w:val="24"/>
              </w:rPr>
              <w:t>Multas Aplicadas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AA3A27"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11</w:t>
            </w:r>
          </w:p>
        </w:tc>
      </w:tr>
      <w:tr w:rsidR="00AA3A27" w:rsidRPr="003D07B8" w:rsidTr="008430AB">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rPr>
                <w:rFonts w:ascii="Calibri" w:hAnsi="Calibri" w:cs="Calibri"/>
                <w:snapToGrid/>
                <w:color w:val="000000"/>
                <w:sz w:val="24"/>
                <w:szCs w:val="24"/>
              </w:rPr>
            </w:pPr>
            <w:r>
              <w:rPr>
                <w:rFonts w:ascii="Calibri" w:hAnsi="Calibri" w:cs="Calibri"/>
                <w:snapToGrid/>
                <w:color w:val="000000"/>
                <w:sz w:val="24"/>
                <w:szCs w:val="24"/>
              </w:rPr>
              <w:t>Reembolsos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4.963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24</w:t>
            </w:r>
          </w:p>
        </w:tc>
      </w:tr>
      <w:tr w:rsidR="008430A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AA3A27">
            <w:pPr>
              <w:widowControl/>
              <w:rPr>
                <w:rFonts w:ascii="Calibri" w:hAnsi="Calibri" w:cs="Calibri"/>
                <w:snapToGrid/>
                <w:color w:val="000000"/>
                <w:sz w:val="24"/>
                <w:szCs w:val="24"/>
              </w:rPr>
            </w:pPr>
            <w:r>
              <w:rPr>
                <w:rFonts w:ascii="Calibri" w:hAnsi="Calibri" w:cs="Calibri"/>
                <w:snapToGrid/>
                <w:color w:val="000000"/>
                <w:sz w:val="24"/>
                <w:szCs w:val="24"/>
              </w:rPr>
              <w:t>Alienação de Bens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1.262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AA3A27"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27" w:rsidRPr="003D07B8" w:rsidRDefault="00AA3A27" w:rsidP="00AA3A27">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324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8430AB" w:rsidP="00AA3A27">
            <w:pPr>
              <w:widowControl/>
              <w:jc w:val="right"/>
              <w:rPr>
                <w:rFonts w:ascii="Calibri" w:hAnsi="Calibri" w:cs="Calibri"/>
                <w:snapToGrid/>
                <w:color w:val="000000"/>
                <w:sz w:val="24"/>
                <w:szCs w:val="24"/>
              </w:rPr>
            </w:pPr>
            <w:r>
              <w:rPr>
                <w:rFonts w:ascii="Calibri" w:hAnsi="Calibri" w:cs="Calibri"/>
                <w:snapToGrid/>
                <w:color w:val="000000"/>
                <w:sz w:val="24"/>
                <w:szCs w:val="24"/>
              </w:rPr>
              <w:t>740</w:t>
            </w:r>
          </w:p>
        </w:tc>
      </w:tr>
      <w:tr w:rsidR="00AA3A27"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A27" w:rsidRPr="003D07B8" w:rsidRDefault="00AA3A27" w:rsidP="00AA3A27">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AA3A27" w:rsidP="00AA3A2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16.386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27" w:rsidRPr="003D07B8" w:rsidRDefault="00AA3A27" w:rsidP="00AA3A2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12.403</w:t>
            </w:r>
          </w:p>
        </w:tc>
      </w:tr>
    </w:tbl>
    <w:p w:rsidR="00C13D42" w:rsidRPr="00F33F58" w:rsidRDefault="00C13D42" w:rsidP="00C16DDB">
      <w:pPr>
        <w:jc w:val="both"/>
        <w:rPr>
          <w:rFonts w:ascii="Calibri" w:hAnsi="Calibri" w:cs="Calibri"/>
          <w:sz w:val="24"/>
          <w:szCs w:val="24"/>
        </w:rPr>
      </w:pPr>
    </w:p>
    <w:p w:rsidR="0051289F" w:rsidRDefault="00F33F58" w:rsidP="00C16DDB">
      <w:pPr>
        <w:jc w:val="both"/>
        <w:rPr>
          <w:rFonts w:ascii="Calibri" w:hAnsi="Calibri" w:cs="Calibri"/>
          <w:sz w:val="24"/>
          <w:szCs w:val="24"/>
        </w:rPr>
      </w:pPr>
      <w:r>
        <w:rPr>
          <w:rFonts w:ascii="Calibri" w:hAnsi="Calibri" w:cs="Calibri"/>
          <w:sz w:val="24"/>
          <w:szCs w:val="24"/>
        </w:rPr>
        <w:t xml:space="preserve">A CDRJ deixou de emitir, no exercício de 2020, faturas de aluguel para algumas empresas </w:t>
      </w:r>
      <w:r w:rsidR="0051289F">
        <w:rPr>
          <w:rFonts w:ascii="Calibri" w:hAnsi="Calibri" w:cs="Calibri"/>
          <w:sz w:val="24"/>
          <w:szCs w:val="24"/>
        </w:rPr>
        <w:t>após a Deliberação nº 020/2020/CONSAD/CDRJ, a qual recomendou “</w:t>
      </w:r>
      <w:r>
        <w:rPr>
          <w:rFonts w:ascii="Calibri" w:hAnsi="Calibri" w:cs="Calibri"/>
          <w:sz w:val="24"/>
          <w:szCs w:val="24"/>
        </w:rPr>
        <w:t xml:space="preserve">que </w:t>
      </w:r>
      <w:r w:rsidR="0051289F">
        <w:rPr>
          <w:rFonts w:ascii="Calibri" w:hAnsi="Calibri" w:cs="Calibri"/>
          <w:sz w:val="24"/>
          <w:szCs w:val="24"/>
        </w:rPr>
        <w:t>seja avaliada juridicamente a possibilidade de a companhia não emitir fatura nos casos de ocupação irregular de áreas da empresa, quando sabidamente não haverá quitação do valor cobrado.”</w:t>
      </w:r>
    </w:p>
    <w:p w:rsidR="00F33F58" w:rsidRDefault="0051289F" w:rsidP="00C16DDB">
      <w:pPr>
        <w:jc w:val="both"/>
        <w:rPr>
          <w:rFonts w:ascii="Calibri" w:hAnsi="Calibri" w:cs="Calibri"/>
          <w:sz w:val="24"/>
          <w:szCs w:val="24"/>
        </w:rPr>
      </w:pPr>
      <w:r>
        <w:rPr>
          <w:rFonts w:ascii="Calibri" w:hAnsi="Calibri" w:cs="Calibri"/>
          <w:sz w:val="24"/>
          <w:szCs w:val="24"/>
        </w:rPr>
        <w:t xml:space="preserve"> </w:t>
      </w:r>
    </w:p>
    <w:p w:rsidR="00F33F58" w:rsidRPr="00F33F58" w:rsidRDefault="00F33F58" w:rsidP="00C16DDB">
      <w:pPr>
        <w:jc w:val="both"/>
        <w:rPr>
          <w:rFonts w:ascii="Calibri" w:hAnsi="Calibri" w:cs="Calibri"/>
          <w:sz w:val="24"/>
          <w:szCs w:val="24"/>
        </w:rPr>
      </w:pPr>
      <w:r>
        <w:rPr>
          <w:rFonts w:ascii="Calibri" w:hAnsi="Calibri" w:cs="Calibri"/>
          <w:sz w:val="24"/>
          <w:szCs w:val="24"/>
        </w:rPr>
        <w:t>Quanto aos reembolsos, trata-se de emissão de faturas de cobrança de taxas de ocupação e aforamento, a serem ressarcidas pelos arrendatários.</w:t>
      </w:r>
    </w:p>
    <w:p w:rsidR="001F7BAD" w:rsidRDefault="001F7BAD" w:rsidP="00C16DDB">
      <w:pPr>
        <w:jc w:val="both"/>
        <w:rPr>
          <w:rFonts w:ascii="Calibri" w:hAnsi="Calibri" w:cs="Calibri"/>
          <w:sz w:val="24"/>
          <w:szCs w:val="24"/>
        </w:rPr>
      </w:pPr>
    </w:p>
    <w:p w:rsidR="00F33F58" w:rsidRPr="00F33F58" w:rsidRDefault="00F33F58" w:rsidP="00C16DDB">
      <w:pPr>
        <w:jc w:val="both"/>
        <w:rPr>
          <w:rFonts w:ascii="Calibri" w:hAnsi="Calibri" w:cs="Calibri"/>
          <w:sz w:val="24"/>
          <w:szCs w:val="24"/>
        </w:rPr>
      </w:pPr>
    </w:p>
    <w:p w:rsidR="001F7BAD" w:rsidRPr="00F33F58" w:rsidRDefault="001F7BAD" w:rsidP="00C16DDB">
      <w:pPr>
        <w:jc w:val="both"/>
        <w:rPr>
          <w:rFonts w:ascii="Calibri" w:hAnsi="Calibri" w:cs="Calibri"/>
          <w:sz w:val="24"/>
          <w:szCs w:val="24"/>
        </w:rPr>
      </w:pPr>
    </w:p>
    <w:p w:rsidR="00E875D1" w:rsidRPr="00312424" w:rsidRDefault="00E875D1" w:rsidP="00E875D1">
      <w:pPr>
        <w:jc w:val="both"/>
        <w:rPr>
          <w:rFonts w:ascii="Calibri" w:hAnsi="Calibri" w:cs="Calibri"/>
          <w:b/>
          <w:sz w:val="24"/>
          <w:szCs w:val="24"/>
        </w:rPr>
      </w:pPr>
      <w:r>
        <w:rPr>
          <w:rFonts w:ascii="Calibri" w:hAnsi="Calibri" w:cs="Calibri"/>
          <w:b/>
          <w:sz w:val="24"/>
          <w:szCs w:val="24"/>
        </w:rPr>
        <w:lastRenderedPageBreak/>
        <w:t>26</w:t>
      </w:r>
      <w:r w:rsidRPr="00312424">
        <w:rPr>
          <w:rFonts w:ascii="Calibri" w:hAnsi="Calibri" w:cs="Calibri"/>
          <w:b/>
          <w:sz w:val="24"/>
          <w:szCs w:val="24"/>
        </w:rPr>
        <w:t xml:space="preserve"> – </w:t>
      </w:r>
      <w:r w:rsidRPr="00312424">
        <w:rPr>
          <w:rFonts w:ascii="Calibri" w:hAnsi="Calibri" w:cs="Calibri"/>
          <w:b/>
          <w:sz w:val="24"/>
          <w:szCs w:val="24"/>
          <w:u w:val="single"/>
        </w:rPr>
        <w:t xml:space="preserve">OUTRAS </w:t>
      </w:r>
      <w:r>
        <w:rPr>
          <w:rFonts w:ascii="Calibri" w:hAnsi="Calibri" w:cs="Calibri"/>
          <w:b/>
          <w:sz w:val="24"/>
          <w:szCs w:val="24"/>
          <w:u w:val="single"/>
        </w:rPr>
        <w:t>DESPESAS</w:t>
      </w:r>
      <w:r w:rsidRPr="00312424">
        <w:rPr>
          <w:rFonts w:ascii="Calibri" w:hAnsi="Calibri" w:cs="Calibri"/>
          <w:b/>
          <w:sz w:val="24"/>
          <w:szCs w:val="24"/>
          <w:u w:val="single"/>
        </w:rPr>
        <w:t xml:space="preserve"> OPERACIONAIS</w:t>
      </w:r>
    </w:p>
    <w:p w:rsidR="00E875D1" w:rsidRDefault="00E875D1" w:rsidP="00E875D1">
      <w:pPr>
        <w:jc w:val="both"/>
        <w:rPr>
          <w:rFonts w:ascii="Calibri" w:hAnsi="Calibri" w:cs="Calibri"/>
          <w:sz w:val="24"/>
          <w:szCs w:val="24"/>
        </w:rPr>
      </w:pPr>
    </w:p>
    <w:p w:rsidR="00E875D1" w:rsidRDefault="00E875D1" w:rsidP="00E875D1">
      <w:pPr>
        <w:jc w:val="both"/>
        <w:rPr>
          <w:rFonts w:ascii="Calibri" w:hAnsi="Calibri" w:cs="Calibri"/>
          <w:sz w:val="24"/>
          <w:szCs w:val="24"/>
        </w:rPr>
      </w:pPr>
      <w:r>
        <w:rPr>
          <w:rFonts w:ascii="Calibri" w:hAnsi="Calibri" w:cs="Calibri"/>
          <w:sz w:val="24"/>
          <w:szCs w:val="24"/>
        </w:rPr>
        <w:t>O grupo possui a seguinte composição:</w:t>
      </w:r>
    </w:p>
    <w:p w:rsidR="00E875D1" w:rsidRDefault="00E875D1" w:rsidP="00E875D1">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E875D1" w:rsidRPr="003D07B8" w:rsidTr="00E875D1">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E875D1" w:rsidRPr="003D07B8" w:rsidRDefault="00E875D1" w:rsidP="00E875D1">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5D1" w:rsidRPr="003D07B8" w:rsidRDefault="00E875D1" w:rsidP="008430A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8430AB">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5D1" w:rsidRPr="003D07B8" w:rsidRDefault="00E875D1" w:rsidP="008430A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sidR="008430AB">
              <w:rPr>
                <w:rFonts w:ascii="Calibri" w:hAnsi="Calibri" w:cs="Calibri"/>
                <w:b/>
                <w:bCs/>
                <w:snapToGrid/>
                <w:color w:val="000000"/>
                <w:sz w:val="24"/>
                <w:szCs w:val="24"/>
              </w:rPr>
              <w:t>9</w:t>
            </w:r>
          </w:p>
        </w:tc>
      </w:tr>
      <w:tr w:rsidR="008430AB" w:rsidRPr="003D07B8" w:rsidTr="00E875D1">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rPr>
                <w:rFonts w:ascii="Calibri" w:hAnsi="Calibri" w:cs="Calibri"/>
                <w:snapToGrid/>
                <w:color w:val="000000"/>
                <w:sz w:val="24"/>
                <w:szCs w:val="24"/>
              </w:rPr>
            </w:pPr>
            <w:r>
              <w:rPr>
                <w:rFonts w:ascii="Calibri" w:hAnsi="Calibri" w:cs="Calibri"/>
                <w:snapToGrid/>
                <w:color w:val="000000"/>
                <w:sz w:val="24"/>
                <w:szCs w:val="24"/>
              </w:rPr>
              <w:t>Baixa do Ativo Imobilizado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84.947</w:t>
            </w:r>
          </w:p>
        </w:tc>
      </w:tr>
      <w:tr w:rsidR="008430AB" w:rsidRPr="003D07B8" w:rsidTr="00E875D1">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rPr>
                <w:rFonts w:ascii="Calibri" w:hAnsi="Calibri" w:cs="Calibri"/>
                <w:snapToGrid/>
                <w:color w:val="000000"/>
                <w:sz w:val="24"/>
                <w:szCs w:val="24"/>
              </w:rPr>
            </w:pPr>
            <w:r>
              <w:rPr>
                <w:rFonts w:ascii="Calibri" w:hAnsi="Calibri" w:cs="Calibri"/>
                <w:snapToGrid/>
                <w:color w:val="000000"/>
                <w:sz w:val="24"/>
                <w:szCs w:val="24"/>
              </w:rPr>
              <w:t>Ajustes Diversos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76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5</w:t>
            </w:r>
          </w:p>
        </w:tc>
      </w:tr>
      <w:tr w:rsidR="008430AB" w:rsidRPr="003D07B8" w:rsidTr="00E875D1">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0AB" w:rsidRPr="003D07B8" w:rsidRDefault="008430AB" w:rsidP="008430AB">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3D07B8" w:rsidRDefault="008430AB" w:rsidP="008430A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84.952</w:t>
            </w:r>
          </w:p>
        </w:tc>
      </w:tr>
    </w:tbl>
    <w:p w:rsidR="00C1200A" w:rsidRPr="00C1200A" w:rsidRDefault="00C1200A" w:rsidP="00E875D1">
      <w:pPr>
        <w:jc w:val="both"/>
        <w:rPr>
          <w:rFonts w:ascii="Calibri" w:hAnsi="Calibri" w:cs="Calibri"/>
          <w:sz w:val="24"/>
          <w:szCs w:val="24"/>
        </w:rPr>
      </w:pPr>
    </w:p>
    <w:p w:rsidR="00C1200A" w:rsidRDefault="00C1200A" w:rsidP="00E875D1">
      <w:pPr>
        <w:jc w:val="both"/>
        <w:rPr>
          <w:rFonts w:ascii="Calibri" w:hAnsi="Calibri" w:cs="Calibri"/>
          <w:sz w:val="24"/>
          <w:szCs w:val="24"/>
        </w:rPr>
      </w:pPr>
      <w:r w:rsidRPr="00C1200A">
        <w:rPr>
          <w:rFonts w:ascii="Calibri" w:hAnsi="Calibri" w:cs="Calibri"/>
          <w:sz w:val="24"/>
          <w:szCs w:val="24"/>
        </w:rPr>
        <w:t>H</w:t>
      </w:r>
      <w:r>
        <w:rPr>
          <w:rFonts w:ascii="Calibri" w:hAnsi="Calibri" w:cs="Calibri"/>
          <w:sz w:val="24"/>
          <w:szCs w:val="24"/>
        </w:rPr>
        <w:t>ouve, em 2019, baixa de R$ 84.947 mil em bens do Ativo Imobilizado, após consultoria da área de patrimônio e autorização da Diretoria Executiva, em sua 2414ª reunião, de 9 de julho de 2020.</w:t>
      </w:r>
    </w:p>
    <w:p w:rsidR="00C1200A" w:rsidRPr="00C1200A" w:rsidRDefault="00C1200A" w:rsidP="00E875D1">
      <w:pPr>
        <w:jc w:val="both"/>
        <w:rPr>
          <w:rFonts w:ascii="Calibri" w:hAnsi="Calibri" w:cs="Calibri"/>
          <w:sz w:val="24"/>
          <w:szCs w:val="24"/>
        </w:rPr>
      </w:pPr>
    </w:p>
    <w:p w:rsidR="00C1200A" w:rsidRPr="00C1200A" w:rsidRDefault="00C1200A" w:rsidP="00E875D1">
      <w:pPr>
        <w:jc w:val="both"/>
        <w:rPr>
          <w:rFonts w:ascii="Calibri" w:hAnsi="Calibri" w:cs="Calibri"/>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w:t>
      </w:r>
      <w:r w:rsidR="00E875D1">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Pr="00312424" w:rsidRDefault="00C16DDB" w:rsidP="00C16DDB">
      <w:pPr>
        <w:jc w:val="both"/>
        <w:rPr>
          <w:rFonts w:ascii="Calibri" w:hAnsi="Calibri" w:cs="Calibri"/>
          <w:b/>
          <w:sz w:val="24"/>
          <w:szCs w:val="24"/>
          <w:u w:val="single"/>
        </w:rPr>
      </w:pPr>
    </w:p>
    <w:p w:rsidR="00C16DDB" w:rsidRDefault="00340FB0" w:rsidP="00C16DDB">
      <w:pPr>
        <w:ind w:left="1080" w:hanging="1080"/>
        <w:jc w:val="both"/>
        <w:rPr>
          <w:rFonts w:ascii="Calibri" w:hAnsi="Calibri" w:cs="Calibri"/>
          <w:sz w:val="24"/>
          <w:szCs w:val="24"/>
        </w:rPr>
      </w:pPr>
      <w:r w:rsidRPr="00340FB0">
        <w:rPr>
          <w:rFonts w:ascii="Calibri" w:hAnsi="Calibri" w:cs="Calibri"/>
          <w:sz w:val="24"/>
          <w:szCs w:val="24"/>
        </w:rPr>
        <w:t>O g</w:t>
      </w:r>
      <w:r>
        <w:rPr>
          <w:rFonts w:ascii="Calibri" w:hAnsi="Calibri" w:cs="Calibri"/>
          <w:sz w:val="24"/>
          <w:szCs w:val="24"/>
        </w:rPr>
        <w:t>rupo possui a seguinte composição:</w:t>
      </w:r>
    </w:p>
    <w:p w:rsidR="00C16DDB" w:rsidRDefault="00C16DDB" w:rsidP="00C16DDB">
      <w:pPr>
        <w:ind w:left="1080" w:hanging="1080"/>
        <w:jc w:val="both"/>
        <w:rPr>
          <w:rFonts w:ascii="Calibri" w:hAnsi="Calibri" w:cs="Calibri"/>
          <w:b/>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C13D42" w:rsidRPr="00C13D42" w:rsidTr="00697525">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42" w:rsidRPr="00C13D42" w:rsidRDefault="00D0760C" w:rsidP="008430A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w:t>
            </w:r>
            <w:r w:rsidR="008430AB">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42" w:rsidRPr="00C13D42" w:rsidRDefault="00D0760C" w:rsidP="008430A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sidR="008430AB">
              <w:rPr>
                <w:rFonts w:ascii="Calibri" w:hAnsi="Calibri" w:cs="Calibri"/>
                <w:b/>
                <w:bCs/>
                <w:snapToGrid/>
                <w:color w:val="000000"/>
                <w:sz w:val="24"/>
                <w:szCs w:val="24"/>
              </w:rPr>
              <w:t>9</w:t>
            </w:r>
          </w:p>
        </w:tc>
      </w:tr>
      <w:tr w:rsidR="008430A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0AB" w:rsidRPr="00C13D42" w:rsidRDefault="008430AB" w:rsidP="008430AB">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C13D42" w:rsidRDefault="00F15963"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21.992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C13D42" w:rsidRDefault="008430AB"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53.101</w:t>
            </w:r>
          </w:p>
        </w:tc>
      </w:tr>
      <w:tr w:rsidR="008430A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0AB" w:rsidRPr="00C13D42" w:rsidRDefault="008430AB" w:rsidP="008430AB">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C13D42" w:rsidRDefault="00F15963"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(197.279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C13D42" w:rsidRDefault="008430AB" w:rsidP="008430AB">
            <w:pPr>
              <w:widowControl/>
              <w:jc w:val="right"/>
              <w:rPr>
                <w:rFonts w:ascii="Calibri" w:hAnsi="Calibri" w:cs="Calibri"/>
                <w:snapToGrid/>
                <w:color w:val="000000"/>
                <w:sz w:val="24"/>
                <w:szCs w:val="24"/>
              </w:rPr>
            </w:pPr>
            <w:r>
              <w:rPr>
                <w:rFonts w:ascii="Calibri" w:hAnsi="Calibri" w:cs="Calibri"/>
                <w:snapToGrid/>
                <w:color w:val="000000"/>
                <w:sz w:val="24"/>
                <w:szCs w:val="24"/>
              </w:rPr>
              <w:t>(169.191)</w:t>
            </w:r>
          </w:p>
        </w:tc>
      </w:tr>
      <w:tr w:rsidR="008430A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0AB" w:rsidRPr="00C13D42" w:rsidRDefault="008430AB" w:rsidP="008430AB">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C13D42" w:rsidRDefault="00F15963" w:rsidP="008430A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(175.287)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0AB" w:rsidRPr="00C13D42" w:rsidRDefault="008430AB" w:rsidP="008430A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(116.090)</w:t>
            </w:r>
          </w:p>
        </w:tc>
      </w:tr>
    </w:tbl>
    <w:p w:rsidR="00F10FEB" w:rsidRPr="007C0EB1" w:rsidRDefault="00F10FEB" w:rsidP="00C16DDB">
      <w:pPr>
        <w:ind w:left="1080" w:hanging="1080"/>
        <w:jc w:val="both"/>
        <w:rPr>
          <w:rFonts w:ascii="Calibri" w:hAnsi="Calibri" w:cs="Calibri"/>
          <w:sz w:val="24"/>
          <w:szCs w:val="24"/>
        </w:rPr>
      </w:pPr>
    </w:p>
    <w:p w:rsidR="00BE3108" w:rsidRPr="007C0EB1" w:rsidRDefault="007C0EB1" w:rsidP="007C0EB1">
      <w:pPr>
        <w:ind w:left="3" w:hanging="3"/>
        <w:jc w:val="both"/>
        <w:rPr>
          <w:rFonts w:ascii="Calibri" w:hAnsi="Calibri" w:cs="Calibri"/>
          <w:sz w:val="24"/>
          <w:szCs w:val="24"/>
        </w:rPr>
      </w:pPr>
      <w:r w:rsidRPr="007C0EB1">
        <w:rPr>
          <w:rFonts w:ascii="Calibri" w:hAnsi="Calibri" w:cs="Calibri"/>
          <w:sz w:val="24"/>
          <w:szCs w:val="24"/>
        </w:rPr>
        <w:t>No e</w:t>
      </w:r>
      <w:r>
        <w:rPr>
          <w:rFonts w:ascii="Calibri" w:hAnsi="Calibri" w:cs="Calibri"/>
          <w:sz w:val="24"/>
          <w:szCs w:val="24"/>
        </w:rPr>
        <w:t xml:space="preserve">xercício de 2019, houve o registro de, aproximadamente, R$ 39.800 mil em receitas financeiras relativas à atualização de resgates judiciais </w:t>
      </w:r>
      <w:r w:rsidR="0077495B">
        <w:rPr>
          <w:rFonts w:ascii="Calibri" w:hAnsi="Calibri" w:cs="Calibri"/>
          <w:sz w:val="24"/>
          <w:szCs w:val="24"/>
        </w:rPr>
        <w:t xml:space="preserve">das ações movidas pelo </w:t>
      </w:r>
      <w:proofErr w:type="spellStart"/>
      <w:r w:rsidR="0077495B">
        <w:rPr>
          <w:rFonts w:ascii="Calibri" w:hAnsi="Calibri" w:cs="Calibri"/>
          <w:sz w:val="24"/>
          <w:szCs w:val="24"/>
        </w:rPr>
        <w:t>Portus</w:t>
      </w:r>
      <w:proofErr w:type="spellEnd"/>
      <w:r w:rsidR="0077495B">
        <w:rPr>
          <w:rFonts w:ascii="Calibri" w:hAnsi="Calibri" w:cs="Calibri"/>
          <w:sz w:val="24"/>
          <w:szCs w:val="24"/>
        </w:rPr>
        <w:t xml:space="preserve"> Instituto de Seguridade Social. Em 2020, os valores retornaram ao patamar habitual.</w:t>
      </w:r>
      <w:r w:rsidR="00AC75DF">
        <w:rPr>
          <w:rFonts w:ascii="Calibri" w:hAnsi="Calibri" w:cs="Calibri"/>
          <w:sz w:val="24"/>
          <w:szCs w:val="24"/>
        </w:rPr>
        <w:t xml:space="preserve"> Quanto às despesas financeiras, a variação ocorreu, principalmente, por conta da atualização e ajustes nos saldos dos parcelamentos, inclusive do novo acordo firmado em 2020.</w:t>
      </w:r>
    </w:p>
    <w:p w:rsidR="00F33F58" w:rsidRPr="007C0EB1" w:rsidRDefault="00F33F58" w:rsidP="00C16DDB">
      <w:pPr>
        <w:ind w:left="1080" w:hanging="1080"/>
        <w:jc w:val="both"/>
        <w:rPr>
          <w:rFonts w:ascii="Calibri" w:hAnsi="Calibri" w:cs="Calibri"/>
          <w:sz w:val="24"/>
          <w:szCs w:val="24"/>
        </w:rPr>
      </w:pPr>
    </w:p>
    <w:p w:rsidR="00F33F58" w:rsidRPr="007C0EB1" w:rsidRDefault="00F33F58" w:rsidP="00C16DDB">
      <w:pPr>
        <w:ind w:left="1080" w:hanging="1080"/>
        <w:jc w:val="both"/>
        <w:rPr>
          <w:rFonts w:ascii="Calibri" w:hAnsi="Calibri" w:cs="Calibri"/>
          <w:sz w:val="24"/>
          <w:szCs w:val="24"/>
        </w:rPr>
      </w:pPr>
    </w:p>
    <w:p w:rsidR="00D0760C" w:rsidRPr="00312424" w:rsidRDefault="00D0760C" w:rsidP="00D0760C">
      <w:pPr>
        <w:jc w:val="both"/>
        <w:rPr>
          <w:rFonts w:ascii="Calibri" w:hAnsi="Calibri" w:cs="Calibri"/>
          <w:b/>
          <w:sz w:val="24"/>
          <w:szCs w:val="24"/>
          <w:u w:val="single"/>
        </w:rPr>
      </w:pPr>
      <w:r>
        <w:rPr>
          <w:rFonts w:ascii="Calibri" w:hAnsi="Calibri" w:cs="Calibri"/>
          <w:b/>
          <w:sz w:val="24"/>
          <w:szCs w:val="24"/>
        </w:rPr>
        <w:t>2</w:t>
      </w:r>
      <w:r w:rsidR="00F15963">
        <w:rPr>
          <w:rFonts w:ascii="Calibri" w:hAnsi="Calibri" w:cs="Calibri"/>
          <w:b/>
          <w:sz w:val="24"/>
          <w:szCs w:val="24"/>
        </w:rPr>
        <w:t>8</w:t>
      </w:r>
      <w:r w:rsidRPr="00312424">
        <w:rPr>
          <w:rFonts w:ascii="Calibri" w:hAnsi="Calibri" w:cs="Calibri"/>
          <w:b/>
          <w:sz w:val="24"/>
          <w:szCs w:val="24"/>
        </w:rPr>
        <w:t xml:space="preserve"> – </w:t>
      </w:r>
      <w:r>
        <w:rPr>
          <w:rFonts w:ascii="Calibri" w:hAnsi="Calibri" w:cs="Calibri"/>
          <w:b/>
          <w:sz w:val="24"/>
          <w:szCs w:val="24"/>
          <w:u w:val="single"/>
        </w:rPr>
        <w:t>TRANSAÇÕES COM PARTES RELACIONADAS</w:t>
      </w:r>
    </w:p>
    <w:p w:rsidR="00516C4E" w:rsidRDefault="00516C4E" w:rsidP="00C16DDB">
      <w:pPr>
        <w:ind w:left="1080" w:hanging="1080"/>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 CDRJ possui política de transações com partes relacionadas aprovada pelo Conselho de Administração e divulgada em sua página eletrônica. A política estabelece regras e consolida os procedimentos a serem observados pela </w:t>
      </w:r>
      <w:r w:rsidR="003924AB">
        <w:rPr>
          <w:rFonts w:ascii="Calibri" w:hAnsi="Calibri" w:cs="Calibri"/>
          <w:sz w:val="24"/>
          <w:szCs w:val="24"/>
        </w:rPr>
        <w:t>Companhia</w:t>
      </w:r>
      <w:r w:rsidRPr="00CD3174">
        <w:rPr>
          <w:rFonts w:ascii="Calibri" w:hAnsi="Calibri" w:cs="Calibri"/>
          <w:sz w:val="24"/>
          <w:szCs w:val="24"/>
        </w:rPr>
        <w:t xml:space="preserve"> quando da ocorrência de transações entre partes relacionadas, assegurando a competitividade, conformidade, transparência, equidade e comutatividade nas transações. A política se aplica a todos os colaboradores e administradores da CDRJ. As definições de partes relacionadas estão contidas no Pronunciamento Técnico nº 05, do Comitê de Pronunciamentos Contábeis – CPC. Dentre as transações realizadas pela CDRJ com suas partes relacionadas, destacamos:</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Tesouro Nacional</w:t>
      </w:r>
      <w:r>
        <w:rPr>
          <w:rFonts w:ascii="Calibri" w:hAnsi="Calibri" w:cs="Calibri"/>
          <w:b/>
          <w:sz w:val="24"/>
          <w:szCs w:val="24"/>
        </w:rPr>
        <w:t xml:space="preserve">: </w:t>
      </w:r>
      <w:r w:rsidRPr="00CD3174">
        <w:rPr>
          <w:rFonts w:ascii="Calibri" w:hAnsi="Calibri" w:cs="Calibri"/>
          <w:sz w:val="24"/>
          <w:szCs w:val="24"/>
        </w:rPr>
        <w:t>A CDRJ celebrou três contratos de cessão de créditos, com o Tesouro Nacional, nos exercícios de 1998 a 2000, nos quais a CDRJ transferiu à União os direitos de créditos decorrentes de dois contratos de arrendamento: C-DEPJUR Nº 010/98, de 11/03/1998, celebrado entre a CDRJ e o arrendatário Libra Terminal Rio S.A.</w:t>
      </w:r>
      <w:r w:rsidR="0077495B">
        <w:rPr>
          <w:rFonts w:ascii="Calibri" w:hAnsi="Calibri" w:cs="Calibri"/>
          <w:sz w:val="24"/>
          <w:szCs w:val="24"/>
        </w:rPr>
        <w:t>,</w:t>
      </w:r>
      <w:r w:rsidRPr="00CD3174">
        <w:rPr>
          <w:rFonts w:ascii="Calibri" w:hAnsi="Calibri" w:cs="Calibri"/>
          <w:sz w:val="24"/>
          <w:szCs w:val="24"/>
        </w:rPr>
        <w:t xml:space="preserve"> e o contrato C-DEPJUR Nº 069/98, de 23/10/98, celebrado entre a CDRJ e o arrendatário </w:t>
      </w:r>
      <w:proofErr w:type="spellStart"/>
      <w:r w:rsidRPr="00CD3174">
        <w:rPr>
          <w:rFonts w:ascii="Calibri" w:hAnsi="Calibri" w:cs="Calibri"/>
          <w:sz w:val="24"/>
          <w:szCs w:val="24"/>
        </w:rPr>
        <w:t>Sepetiba</w:t>
      </w:r>
      <w:proofErr w:type="spellEnd"/>
      <w:r w:rsidRPr="00CD3174">
        <w:rPr>
          <w:rFonts w:ascii="Calibri" w:hAnsi="Calibri" w:cs="Calibri"/>
          <w:sz w:val="24"/>
          <w:szCs w:val="24"/>
        </w:rPr>
        <w:t xml:space="preserve"> </w:t>
      </w:r>
      <w:proofErr w:type="spellStart"/>
      <w:r w:rsidRPr="00CD3174">
        <w:rPr>
          <w:rFonts w:ascii="Calibri" w:hAnsi="Calibri" w:cs="Calibri"/>
          <w:sz w:val="24"/>
          <w:szCs w:val="24"/>
        </w:rPr>
        <w:t>Tecon</w:t>
      </w:r>
      <w:proofErr w:type="spellEnd"/>
      <w:r w:rsidRPr="00CD3174">
        <w:rPr>
          <w:rFonts w:ascii="Calibri" w:hAnsi="Calibri" w:cs="Calibri"/>
          <w:sz w:val="24"/>
          <w:szCs w:val="24"/>
        </w:rPr>
        <w:t xml:space="preserve"> S.A. </w:t>
      </w:r>
      <w:r>
        <w:rPr>
          <w:rFonts w:ascii="Calibri" w:hAnsi="Calibri" w:cs="Calibri"/>
          <w:sz w:val="24"/>
          <w:szCs w:val="24"/>
        </w:rPr>
        <w:t>Do</w:t>
      </w:r>
      <w:r w:rsidRPr="00CD3174">
        <w:rPr>
          <w:rFonts w:ascii="Calibri" w:hAnsi="Calibri" w:cs="Calibri"/>
          <w:sz w:val="24"/>
          <w:szCs w:val="24"/>
        </w:rPr>
        <w:t>s créditos decorrentes do arrendamento da Libra result</w:t>
      </w:r>
      <w:r>
        <w:rPr>
          <w:rFonts w:ascii="Calibri" w:hAnsi="Calibri" w:cs="Calibri"/>
          <w:sz w:val="24"/>
          <w:szCs w:val="24"/>
        </w:rPr>
        <w:t>aram</w:t>
      </w:r>
      <w:r w:rsidRPr="00CD3174">
        <w:rPr>
          <w:rFonts w:ascii="Calibri" w:hAnsi="Calibri" w:cs="Calibri"/>
          <w:sz w:val="24"/>
          <w:szCs w:val="24"/>
        </w:rPr>
        <w:t xml:space="preserve"> dois contratos de cessão </w:t>
      </w:r>
      <w:r w:rsidR="00AC75DF">
        <w:rPr>
          <w:rFonts w:ascii="Calibri" w:hAnsi="Calibri" w:cs="Calibri"/>
          <w:sz w:val="24"/>
          <w:szCs w:val="24"/>
        </w:rPr>
        <w:t>com encerramento previsto para</w:t>
      </w:r>
      <w:r w:rsidRPr="00CD3174">
        <w:rPr>
          <w:rFonts w:ascii="Calibri" w:hAnsi="Calibri" w:cs="Calibri"/>
          <w:sz w:val="24"/>
          <w:szCs w:val="24"/>
        </w:rPr>
        <w:t xml:space="preserve"> 8 de maio de 2023.</w:t>
      </w:r>
      <w:r>
        <w:rPr>
          <w:rFonts w:ascii="Calibri" w:hAnsi="Calibri" w:cs="Calibri"/>
          <w:sz w:val="24"/>
          <w:szCs w:val="24"/>
        </w:rPr>
        <w:t xml:space="preserve"> </w:t>
      </w:r>
      <w:r w:rsidRPr="00CD3174">
        <w:rPr>
          <w:rFonts w:ascii="Calibri" w:hAnsi="Calibri" w:cs="Calibri"/>
          <w:sz w:val="24"/>
          <w:szCs w:val="24"/>
        </w:rPr>
        <w:t xml:space="preserve">O contrato relativo </w:t>
      </w:r>
      <w:r w:rsidR="00AC75DF">
        <w:rPr>
          <w:rFonts w:ascii="Calibri" w:hAnsi="Calibri" w:cs="Calibri"/>
          <w:sz w:val="24"/>
          <w:szCs w:val="24"/>
        </w:rPr>
        <w:t xml:space="preserve">à </w:t>
      </w:r>
      <w:proofErr w:type="spellStart"/>
      <w:r w:rsidRPr="00CD3174">
        <w:rPr>
          <w:rFonts w:ascii="Calibri" w:hAnsi="Calibri" w:cs="Calibri"/>
          <w:sz w:val="24"/>
          <w:szCs w:val="24"/>
        </w:rPr>
        <w:t>Sepetiba</w:t>
      </w:r>
      <w:proofErr w:type="spellEnd"/>
      <w:r w:rsidRPr="00CD3174">
        <w:rPr>
          <w:rFonts w:ascii="Calibri" w:hAnsi="Calibri" w:cs="Calibri"/>
          <w:sz w:val="24"/>
          <w:szCs w:val="24"/>
        </w:rPr>
        <w:t xml:space="preserve"> </w:t>
      </w:r>
      <w:proofErr w:type="spellStart"/>
      <w:r w:rsidRPr="00CD3174">
        <w:rPr>
          <w:rFonts w:ascii="Calibri" w:hAnsi="Calibri" w:cs="Calibri"/>
          <w:sz w:val="24"/>
          <w:szCs w:val="24"/>
        </w:rPr>
        <w:t>Tecon</w:t>
      </w:r>
      <w:proofErr w:type="spellEnd"/>
      <w:r w:rsidRPr="00CD3174">
        <w:rPr>
          <w:rFonts w:ascii="Calibri" w:hAnsi="Calibri" w:cs="Calibri"/>
          <w:sz w:val="24"/>
          <w:szCs w:val="24"/>
        </w:rPr>
        <w:t xml:space="preserve"> S.A. possui vigência até 1º de outubro de 2025.</w:t>
      </w: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lastRenderedPageBreak/>
        <w:t>Transações com a Petrobrás</w:t>
      </w:r>
      <w:r>
        <w:rPr>
          <w:rFonts w:ascii="Calibri" w:hAnsi="Calibri" w:cs="Calibri"/>
          <w:b/>
          <w:sz w:val="24"/>
          <w:szCs w:val="24"/>
        </w:rPr>
        <w:t xml:space="preserve">: </w:t>
      </w:r>
      <w:r>
        <w:rPr>
          <w:rFonts w:ascii="Calibri" w:hAnsi="Calibri" w:cs="Calibri"/>
          <w:sz w:val="24"/>
          <w:szCs w:val="24"/>
        </w:rPr>
        <w:t xml:space="preserve">A Petrobrás opera com duas de suas filiais no Porto do Rio de Janeiro, em terminal privativo e com utilização do </w:t>
      </w:r>
      <w:proofErr w:type="gramStart"/>
      <w:r>
        <w:rPr>
          <w:rFonts w:ascii="Calibri" w:hAnsi="Calibri" w:cs="Calibri"/>
          <w:sz w:val="24"/>
          <w:szCs w:val="24"/>
        </w:rPr>
        <w:t>cais público</w:t>
      </w:r>
      <w:proofErr w:type="gramEnd"/>
      <w:r>
        <w:rPr>
          <w:rFonts w:ascii="Calibri" w:hAnsi="Calibri" w:cs="Calibri"/>
          <w:sz w:val="24"/>
          <w:szCs w:val="24"/>
        </w:rPr>
        <w:t xml:space="preserve">. Quando opera em área privativa, a empresa efetua pagamento das tarifas portuárias de acesso ao canal e de fundeio. No </w:t>
      </w:r>
      <w:proofErr w:type="gramStart"/>
      <w:r>
        <w:rPr>
          <w:rFonts w:ascii="Calibri" w:hAnsi="Calibri" w:cs="Calibri"/>
          <w:sz w:val="24"/>
          <w:szCs w:val="24"/>
        </w:rPr>
        <w:t>cais público</w:t>
      </w:r>
      <w:proofErr w:type="gramEnd"/>
      <w:r>
        <w:rPr>
          <w:rFonts w:ascii="Calibri" w:hAnsi="Calibri" w:cs="Calibri"/>
          <w:sz w:val="24"/>
          <w:szCs w:val="24"/>
        </w:rPr>
        <w:t>, são cobradas tarifas de atracação, movimentação de cargas e serviços diversos. No exercício de 20</w:t>
      </w:r>
      <w:r w:rsidR="00F15963">
        <w:rPr>
          <w:rFonts w:ascii="Calibri" w:hAnsi="Calibri" w:cs="Calibri"/>
          <w:sz w:val="24"/>
          <w:szCs w:val="24"/>
        </w:rPr>
        <w:t>20</w:t>
      </w:r>
      <w:r>
        <w:rPr>
          <w:rFonts w:ascii="Calibri" w:hAnsi="Calibri" w:cs="Calibri"/>
          <w:sz w:val="24"/>
          <w:szCs w:val="24"/>
        </w:rPr>
        <w:t>, o valor total faturado foi de R$ 3</w:t>
      </w:r>
      <w:r w:rsidR="00AC75DF">
        <w:rPr>
          <w:rFonts w:ascii="Calibri" w:hAnsi="Calibri" w:cs="Calibri"/>
          <w:sz w:val="24"/>
          <w:szCs w:val="24"/>
        </w:rPr>
        <w:t>2</w:t>
      </w:r>
      <w:r>
        <w:rPr>
          <w:rFonts w:ascii="Calibri" w:hAnsi="Calibri" w:cs="Calibri"/>
          <w:sz w:val="24"/>
          <w:szCs w:val="24"/>
        </w:rPr>
        <w:t>.</w:t>
      </w:r>
      <w:r w:rsidR="00AC75DF">
        <w:rPr>
          <w:rFonts w:ascii="Calibri" w:hAnsi="Calibri" w:cs="Calibri"/>
          <w:sz w:val="24"/>
          <w:szCs w:val="24"/>
        </w:rPr>
        <w:t>161</w:t>
      </w:r>
      <w:r>
        <w:rPr>
          <w:rFonts w:ascii="Calibri" w:hAnsi="Calibri" w:cs="Calibri"/>
          <w:sz w:val="24"/>
          <w:szCs w:val="24"/>
        </w:rPr>
        <w:t xml:space="preserve"> mil (R$ 3</w:t>
      </w:r>
      <w:r w:rsidR="00F15963">
        <w:rPr>
          <w:rFonts w:ascii="Calibri" w:hAnsi="Calibri" w:cs="Calibri"/>
          <w:sz w:val="24"/>
          <w:szCs w:val="24"/>
        </w:rPr>
        <w:t>4</w:t>
      </w:r>
      <w:r>
        <w:rPr>
          <w:rFonts w:ascii="Calibri" w:hAnsi="Calibri" w:cs="Calibri"/>
          <w:sz w:val="24"/>
          <w:szCs w:val="24"/>
        </w:rPr>
        <w:t>.</w:t>
      </w:r>
      <w:r w:rsidR="00F15963">
        <w:rPr>
          <w:rFonts w:ascii="Calibri" w:hAnsi="Calibri" w:cs="Calibri"/>
          <w:sz w:val="24"/>
          <w:szCs w:val="24"/>
        </w:rPr>
        <w:t>966</w:t>
      </w:r>
      <w:r>
        <w:rPr>
          <w:rFonts w:ascii="Calibri" w:hAnsi="Calibri" w:cs="Calibri"/>
          <w:sz w:val="24"/>
          <w:szCs w:val="24"/>
        </w:rPr>
        <w:t xml:space="preserve"> em 201</w:t>
      </w:r>
      <w:r w:rsidR="00F15963">
        <w:rPr>
          <w:rFonts w:ascii="Calibri" w:hAnsi="Calibri" w:cs="Calibri"/>
          <w:sz w:val="24"/>
          <w:szCs w:val="24"/>
        </w:rPr>
        <w:t>9</w:t>
      </w:r>
      <w:r>
        <w:rPr>
          <w:rFonts w:ascii="Calibri" w:hAnsi="Calibri" w:cs="Calibri"/>
          <w:sz w:val="24"/>
          <w:szCs w:val="24"/>
        </w:rPr>
        <w:t>).</w:t>
      </w:r>
    </w:p>
    <w:p w:rsidR="001C4695" w:rsidRPr="00CD3174" w:rsidRDefault="001C4695"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Cessionários</w:t>
      </w:r>
      <w:r>
        <w:rPr>
          <w:rFonts w:ascii="Calibri" w:hAnsi="Calibri" w:cs="Calibri"/>
          <w:b/>
          <w:sz w:val="24"/>
          <w:szCs w:val="24"/>
        </w:rPr>
        <w:t xml:space="preserve">: </w:t>
      </w:r>
      <w:r w:rsidRPr="00CD3174">
        <w:rPr>
          <w:rFonts w:ascii="Calibri" w:hAnsi="Calibri" w:cs="Calibri"/>
          <w:sz w:val="24"/>
          <w:szCs w:val="24"/>
        </w:rPr>
        <w:t xml:space="preserve">A CDRJ cede mão de obra para </w:t>
      </w:r>
      <w:r w:rsidR="00AC75DF">
        <w:rPr>
          <w:rFonts w:ascii="Calibri" w:hAnsi="Calibri" w:cs="Calibri"/>
          <w:sz w:val="24"/>
          <w:szCs w:val="24"/>
        </w:rPr>
        <w:t xml:space="preserve">os seguintes entes: </w:t>
      </w:r>
      <w:r w:rsidRPr="00CD3174">
        <w:rPr>
          <w:rFonts w:ascii="Calibri" w:hAnsi="Calibri" w:cs="Calibri"/>
          <w:sz w:val="24"/>
          <w:szCs w:val="24"/>
        </w:rPr>
        <w:t xml:space="preserve">Advocacia-Geral da União </w:t>
      </w:r>
      <w:r w:rsidR="00AC75DF">
        <w:rPr>
          <w:rFonts w:ascii="Calibri" w:hAnsi="Calibri" w:cs="Calibri"/>
          <w:sz w:val="24"/>
          <w:szCs w:val="24"/>
        </w:rPr>
        <w:t>–</w:t>
      </w:r>
      <w:r w:rsidRPr="00CD3174">
        <w:rPr>
          <w:rFonts w:ascii="Calibri" w:hAnsi="Calibri" w:cs="Calibri"/>
          <w:sz w:val="24"/>
          <w:szCs w:val="24"/>
        </w:rPr>
        <w:t xml:space="preserve"> AGU</w:t>
      </w:r>
      <w:r w:rsidR="00AC75DF">
        <w:rPr>
          <w:rFonts w:ascii="Calibri" w:hAnsi="Calibri" w:cs="Calibri"/>
          <w:sz w:val="24"/>
          <w:szCs w:val="24"/>
        </w:rPr>
        <w:t xml:space="preserve">, </w:t>
      </w:r>
      <w:r w:rsidRPr="00CD3174">
        <w:rPr>
          <w:rFonts w:ascii="Calibri" w:hAnsi="Calibri" w:cs="Calibri"/>
          <w:sz w:val="24"/>
          <w:szCs w:val="24"/>
        </w:rPr>
        <w:t xml:space="preserve">Agência Nacional de Transportes </w:t>
      </w:r>
      <w:proofErr w:type="spellStart"/>
      <w:r w:rsidRPr="00CD3174">
        <w:rPr>
          <w:rFonts w:ascii="Calibri" w:hAnsi="Calibri" w:cs="Calibri"/>
          <w:sz w:val="24"/>
          <w:szCs w:val="24"/>
        </w:rPr>
        <w:t>Aquaviários</w:t>
      </w:r>
      <w:proofErr w:type="spellEnd"/>
      <w:r w:rsidRPr="00CD3174">
        <w:rPr>
          <w:rFonts w:ascii="Calibri" w:hAnsi="Calibri" w:cs="Calibri"/>
          <w:sz w:val="24"/>
          <w:szCs w:val="24"/>
        </w:rPr>
        <w:t xml:space="preserve"> – ANTAQ</w:t>
      </w:r>
      <w:r w:rsidR="00AC75DF">
        <w:rPr>
          <w:rFonts w:ascii="Calibri" w:hAnsi="Calibri" w:cs="Calibri"/>
          <w:sz w:val="24"/>
          <w:szCs w:val="24"/>
        </w:rPr>
        <w:t xml:space="preserve">, </w:t>
      </w:r>
      <w:r w:rsidRPr="00CD3174">
        <w:rPr>
          <w:rFonts w:ascii="Calibri" w:hAnsi="Calibri" w:cs="Calibri"/>
          <w:sz w:val="24"/>
          <w:szCs w:val="24"/>
        </w:rPr>
        <w:t>Agência Nacional de Transportes Terrestres – ANTT</w:t>
      </w:r>
      <w:r w:rsidR="00AC75DF">
        <w:rPr>
          <w:rFonts w:ascii="Calibri" w:hAnsi="Calibri" w:cs="Calibri"/>
          <w:sz w:val="24"/>
          <w:szCs w:val="24"/>
        </w:rPr>
        <w:t xml:space="preserve">, </w:t>
      </w:r>
      <w:r w:rsidRPr="00CD3174">
        <w:rPr>
          <w:rFonts w:ascii="Calibri" w:hAnsi="Calibri" w:cs="Calibri"/>
          <w:sz w:val="24"/>
          <w:szCs w:val="24"/>
        </w:rPr>
        <w:t>Departamento Nacional de Infra</w:t>
      </w:r>
      <w:r w:rsidR="00AC75DF">
        <w:rPr>
          <w:rFonts w:ascii="Calibri" w:hAnsi="Calibri" w:cs="Calibri"/>
          <w:sz w:val="24"/>
          <w:szCs w:val="24"/>
        </w:rPr>
        <w:t xml:space="preserve">estrutura de Transportes – DNIT, </w:t>
      </w:r>
      <w:r w:rsidRPr="00CD3174">
        <w:rPr>
          <w:rFonts w:ascii="Calibri" w:hAnsi="Calibri" w:cs="Calibri"/>
          <w:sz w:val="24"/>
          <w:szCs w:val="24"/>
        </w:rPr>
        <w:t>Empresa de Planejamento e Logística S.A. – EPL</w:t>
      </w:r>
      <w:r w:rsidR="00AC75DF">
        <w:rPr>
          <w:rFonts w:ascii="Calibri" w:hAnsi="Calibri" w:cs="Calibri"/>
          <w:sz w:val="24"/>
          <w:szCs w:val="24"/>
        </w:rPr>
        <w:t xml:space="preserve">, </w:t>
      </w:r>
      <w:r w:rsidRPr="00CD3174">
        <w:rPr>
          <w:rFonts w:ascii="Calibri" w:hAnsi="Calibri" w:cs="Calibri"/>
          <w:sz w:val="24"/>
          <w:szCs w:val="24"/>
        </w:rPr>
        <w:t>Ministério da Infraestrutura – MINFRA</w:t>
      </w:r>
      <w:r w:rsidR="00AC75DF">
        <w:rPr>
          <w:rFonts w:ascii="Calibri" w:hAnsi="Calibri" w:cs="Calibri"/>
          <w:sz w:val="24"/>
          <w:szCs w:val="24"/>
        </w:rPr>
        <w:t xml:space="preserve">, </w:t>
      </w:r>
      <w:r w:rsidRPr="00CD3174">
        <w:rPr>
          <w:rFonts w:ascii="Calibri" w:hAnsi="Calibri" w:cs="Calibri"/>
          <w:sz w:val="24"/>
          <w:szCs w:val="24"/>
        </w:rPr>
        <w:t>Prefeitura de Camboriú</w:t>
      </w:r>
      <w:r w:rsidR="00AC75DF">
        <w:rPr>
          <w:rFonts w:ascii="Calibri" w:hAnsi="Calibri" w:cs="Calibri"/>
          <w:sz w:val="24"/>
          <w:szCs w:val="24"/>
        </w:rPr>
        <w:t xml:space="preserve">, </w:t>
      </w:r>
      <w:r w:rsidRPr="00CD3174">
        <w:rPr>
          <w:rFonts w:ascii="Calibri" w:hAnsi="Calibri" w:cs="Calibri"/>
          <w:sz w:val="24"/>
          <w:szCs w:val="24"/>
        </w:rPr>
        <w:t>Prefeitura do Rio de Janeiro</w:t>
      </w:r>
      <w:r w:rsidR="00AC75DF">
        <w:rPr>
          <w:rFonts w:ascii="Calibri" w:hAnsi="Calibri" w:cs="Calibri"/>
          <w:sz w:val="24"/>
          <w:szCs w:val="24"/>
        </w:rPr>
        <w:t xml:space="preserve"> e </w:t>
      </w:r>
      <w:r w:rsidRPr="00CD3174">
        <w:rPr>
          <w:rFonts w:ascii="Calibri" w:hAnsi="Calibri" w:cs="Calibri"/>
          <w:sz w:val="24"/>
          <w:szCs w:val="24"/>
        </w:rPr>
        <w:t>Universidade Federal Rural do Rio de Janeiro – UFRRJ</w:t>
      </w:r>
      <w:r w:rsidR="00AC75DF">
        <w:rPr>
          <w:rFonts w:ascii="Calibri" w:hAnsi="Calibri" w:cs="Calibri"/>
          <w:sz w:val="24"/>
          <w:szCs w:val="24"/>
        </w:rPr>
        <w:t>.</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Os cessionários transferem à CDRJ, mensalmente, a título de ressarcimento, os valores relativos aos gastos com os salários e demais benefícios. O valor total do ressarcimento no exercício de 20</w:t>
      </w:r>
      <w:r w:rsidR="00F15963">
        <w:rPr>
          <w:rFonts w:ascii="Calibri" w:hAnsi="Calibri" w:cs="Calibri"/>
          <w:sz w:val="24"/>
          <w:szCs w:val="24"/>
        </w:rPr>
        <w:t>20</w:t>
      </w:r>
      <w:r w:rsidRPr="00CD3174">
        <w:rPr>
          <w:rFonts w:ascii="Calibri" w:hAnsi="Calibri" w:cs="Calibri"/>
          <w:sz w:val="24"/>
          <w:szCs w:val="24"/>
        </w:rPr>
        <w:t xml:space="preserve"> foi de R$ 2</w:t>
      </w:r>
      <w:r w:rsidR="00F15963">
        <w:rPr>
          <w:rFonts w:ascii="Calibri" w:hAnsi="Calibri" w:cs="Calibri"/>
          <w:sz w:val="24"/>
          <w:szCs w:val="24"/>
        </w:rPr>
        <w:t>3</w:t>
      </w:r>
      <w:r w:rsidRPr="00CD3174">
        <w:rPr>
          <w:rFonts w:ascii="Calibri" w:hAnsi="Calibri" w:cs="Calibri"/>
          <w:sz w:val="24"/>
          <w:szCs w:val="24"/>
        </w:rPr>
        <w:t>.</w:t>
      </w:r>
      <w:r w:rsidR="00F15963">
        <w:rPr>
          <w:rFonts w:ascii="Calibri" w:hAnsi="Calibri" w:cs="Calibri"/>
          <w:sz w:val="24"/>
          <w:szCs w:val="24"/>
        </w:rPr>
        <w:t>143</w:t>
      </w:r>
      <w:r w:rsidRPr="00CD3174">
        <w:rPr>
          <w:rFonts w:ascii="Calibri" w:hAnsi="Calibri" w:cs="Calibri"/>
          <w:sz w:val="24"/>
          <w:szCs w:val="24"/>
        </w:rPr>
        <w:t xml:space="preserve"> mil (R$ 2</w:t>
      </w:r>
      <w:r w:rsidR="00F15963">
        <w:rPr>
          <w:rFonts w:ascii="Calibri" w:hAnsi="Calibri" w:cs="Calibri"/>
          <w:sz w:val="24"/>
          <w:szCs w:val="24"/>
        </w:rPr>
        <w:t>2</w:t>
      </w:r>
      <w:r w:rsidRPr="00CD3174">
        <w:rPr>
          <w:rFonts w:ascii="Calibri" w:hAnsi="Calibri" w:cs="Calibri"/>
          <w:sz w:val="24"/>
          <w:szCs w:val="24"/>
        </w:rPr>
        <w:t>.</w:t>
      </w:r>
      <w:r w:rsidR="00F15963">
        <w:rPr>
          <w:rFonts w:ascii="Calibri" w:hAnsi="Calibri" w:cs="Calibri"/>
          <w:sz w:val="24"/>
          <w:szCs w:val="24"/>
        </w:rPr>
        <w:t>368</w:t>
      </w:r>
      <w:r w:rsidRPr="00CD3174">
        <w:rPr>
          <w:rFonts w:ascii="Calibri" w:hAnsi="Calibri" w:cs="Calibri"/>
          <w:sz w:val="24"/>
          <w:szCs w:val="24"/>
        </w:rPr>
        <w:t xml:space="preserve"> mil em 201</w:t>
      </w:r>
      <w:r w:rsidR="00F15963">
        <w:rPr>
          <w:rFonts w:ascii="Calibri" w:hAnsi="Calibri" w:cs="Calibri"/>
          <w:sz w:val="24"/>
          <w:szCs w:val="24"/>
        </w:rPr>
        <w:t>9</w:t>
      </w:r>
      <w:r w:rsidRPr="00CD3174">
        <w:rPr>
          <w:rFonts w:ascii="Calibri" w:hAnsi="Calibri" w:cs="Calibri"/>
          <w:sz w:val="24"/>
          <w:szCs w:val="24"/>
        </w:rPr>
        <w:t>) e valor médio mensal foi de R$ 1.</w:t>
      </w:r>
      <w:r w:rsidR="00F15963">
        <w:rPr>
          <w:rFonts w:ascii="Calibri" w:hAnsi="Calibri" w:cs="Calibri"/>
          <w:sz w:val="24"/>
          <w:szCs w:val="24"/>
        </w:rPr>
        <w:t>928</w:t>
      </w:r>
      <w:r w:rsidRPr="00CD3174">
        <w:rPr>
          <w:rFonts w:ascii="Calibri" w:hAnsi="Calibri" w:cs="Calibri"/>
          <w:sz w:val="24"/>
          <w:szCs w:val="24"/>
        </w:rPr>
        <w:t xml:space="preserve"> mil (R$ </w:t>
      </w:r>
      <w:r w:rsidR="00F15963">
        <w:rPr>
          <w:rFonts w:ascii="Calibri" w:hAnsi="Calibri" w:cs="Calibri"/>
          <w:sz w:val="24"/>
          <w:szCs w:val="24"/>
        </w:rPr>
        <w:t>1</w:t>
      </w:r>
      <w:r w:rsidRPr="00CD3174">
        <w:rPr>
          <w:rFonts w:ascii="Calibri" w:hAnsi="Calibri" w:cs="Calibri"/>
          <w:sz w:val="24"/>
          <w:szCs w:val="24"/>
        </w:rPr>
        <w:t>.</w:t>
      </w:r>
      <w:r w:rsidR="00F15963">
        <w:rPr>
          <w:rFonts w:ascii="Calibri" w:hAnsi="Calibri" w:cs="Calibri"/>
          <w:sz w:val="24"/>
          <w:szCs w:val="24"/>
        </w:rPr>
        <w:t>721</w:t>
      </w:r>
      <w:r w:rsidRPr="00CD3174">
        <w:rPr>
          <w:rFonts w:ascii="Calibri" w:hAnsi="Calibri" w:cs="Calibri"/>
          <w:sz w:val="24"/>
          <w:szCs w:val="24"/>
        </w:rPr>
        <w:t xml:space="preserve"> mil em 201</w:t>
      </w:r>
      <w:r w:rsidR="00F15963">
        <w:rPr>
          <w:rFonts w:ascii="Calibri" w:hAnsi="Calibri" w:cs="Calibri"/>
          <w:sz w:val="24"/>
          <w:szCs w:val="24"/>
        </w:rPr>
        <w:t>9</w:t>
      </w:r>
      <w:r w:rsidRPr="00CD3174">
        <w:rPr>
          <w:rFonts w:ascii="Calibri" w:hAnsi="Calibri" w:cs="Calibri"/>
          <w:sz w:val="24"/>
          <w:szCs w:val="24"/>
        </w:rPr>
        <w:t>).</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INEA</w:t>
      </w:r>
      <w:r>
        <w:rPr>
          <w:rFonts w:ascii="Calibri" w:hAnsi="Calibri" w:cs="Calibri"/>
          <w:b/>
          <w:sz w:val="24"/>
          <w:szCs w:val="24"/>
        </w:rPr>
        <w:t xml:space="preserve">: </w:t>
      </w:r>
      <w:r>
        <w:rPr>
          <w:rFonts w:ascii="Calibri" w:hAnsi="Calibri" w:cs="Calibri"/>
          <w:sz w:val="24"/>
          <w:szCs w:val="24"/>
        </w:rPr>
        <w:t xml:space="preserve">A CDRJ celebrou o Termo de Convênio nº 120/2012 com o Instituto Estadual do Ambiente – INEA, visando ações de despoluição da Praia de </w:t>
      </w:r>
      <w:proofErr w:type="spellStart"/>
      <w:r>
        <w:rPr>
          <w:rFonts w:ascii="Calibri" w:hAnsi="Calibri" w:cs="Calibri"/>
          <w:sz w:val="24"/>
          <w:szCs w:val="24"/>
        </w:rPr>
        <w:t>Sepetiba</w:t>
      </w:r>
      <w:proofErr w:type="spellEnd"/>
      <w:r>
        <w:rPr>
          <w:rFonts w:ascii="Calibri" w:hAnsi="Calibri" w:cs="Calibri"/>
          <w:sz w:val="24"/>
          <w:szCs w:val="24"/>
        </w:rPr>
        <w:t>. Após o término do contrato, o INEA realizou prestação de contas e pleiteou aditivo com fins de utilização do saldo de R$ 1.200 mil, que deveria ser restituído à CDRJ. A Diretoria Executiva da CDRJ rejeitou a proposta e determinou a cobrança. Até o encerramento do exercício de 2019, permanecia em aberto o valor a receber do ente.</w:t>
      </w:r>
    </w:p>
    <w:p w:rsidR="00386840" w:rsidRPr="00CD3174" w:rsidRDefault="00386840"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DC1BB0">
        <w:rPr>
          <w:rFonts w:ascii="Calibri" w:hAnsi="Calibri" w:cs="Calibri"/>
          <w:b/>
          <w:sz w:val="24"/>
          <w:szCs w:val="24"/>
        </w:rPr>
        <w:t>Transações com o Município do Rio de Janeiro</w:t>
      </w:r>
      <w:r>
        <w:rPr>
          <w:rFonts w:ascii="Calibri" w:hAnsi="Calibri" w:cs="Calibri"/>
          <w:b/>
          <w:sz w:val="24"/>
          <w:szCs w:val="24"/>
        </w:rPr>
        <w:t xml:space="preserve">: </w:t>
      </w:r>
      <w:r>
        <w:rPr>
          <w:rFonts w:ascii="Calibri" w:hAnsi="Calibri" w:cs="Calibri"/>
          <w:sz w:val="24"/>
          <w:szCs w:val="24"/>
        </w:rPr>
        <w:t>A CDRJ possui saldo a receber referente à indenização por desapropriação administrativa de imóveis declarados de utilidade pública, ocorrida no exercício de 2014. O saldo a receber em 20</w:t>
      </w:r>
      <w:r w:rsidR="00F15963">
        <w:rPr>
          <w:rFonts w:ascii="Calibri" w:hAnsi="Calibri" w:cs="Calibri"/>
          <w:sz w:val="24"/>
          <w:szCs w:val="24"/>
        </w:rPr>
        <w:t>20</w:t>
      </w:r>
      <w:r>
        <w:rPr>
          <w:rFonts w:ascii="Calibri" w:hAnsi="Calibri" w:cs="Calibri"/>
          <w:sz w:val="24"/>
          <w:szCs w:val="24"/>
        </w:rPr>
        <w:t xml:space="preserve"> era de R$ 4</w:t>
      </w:r>
      <w:r w:rsidR="00F15963">
        <w:rPr>
          <w:rFonts w:ascii="Calibri" w:hAnsi="Calibri" w:cs="Calibri"/>
          <w:sz w:val="24"/>
          <w:szCs w:val="24"/>
        </w:rPr>
        <w:t>9</w:t>
      </w:r>
      <w:r>
        <w:rPr>
          <w:rFonts w:ascii="Calibri" w:hAnsi="Calibri" w:cs="Calibri"/>
          <w:sz w:val="24"/>
          <w:szCs w:val="24"/>
        </w:rPr>
        <w:t>.</w:t>
      </w:r>
      <w:r w:rsidR="00F15963">
        <w:rPr>
          <w:rFonts w:ascii="Calibri" w:hAnsi="Calibri" w:cs="Calibri"/>
          <w:sz w:val="24"/>
          <w:szCs w:val="24"/>
        </w:rPr>
        <w:t>692</w:t>
      </w:r>
      <w:r>
        <w:rPr>
          <w:rFonts w:ascii="Calibri" w:hAnsi="Calibri" w:cs="Calibri"/>
          <w:sz w:val="24"/>
          <w:szCs w:val="24"/>
        </w:rPr>
        <w:t xml:space="preserve"> mil (R$ 47.</w:t>
      </w:r>
      <w:r w:rsidR="00F15963">
        <w:rPr>
          <w:rFonts w:ascii="Calibri" w:hAnsi="Calibri" w:cs="Calibri"/>
          <w:sz w:val="24"/>
          <w:szCs w:val="24"/>
        </w:rPr>
        <w:t>360</w:t>
      </w:r>
      <w:r>
        <w:rPr>
          <w:rFonts w:ascii="Calibri" w:hAnsi="Calibri" w:cs="Calibri"/>
          <w:sz w:val="24"/>
          <w:szCs w:val="24"/>
        </w:rPr>
        <w:t xml:space="preserve"> em 201</w:t>
      </w:r>
      <w:r w:rsidR="00F15963">
        <w:rPr>
          <w:rFonts w:ascii="Calibri" w:hAnsi="Calibri" w:cs="Calibri"/>
          <w:sz w:val="24"/>
          <w:szCs w:val="24"/>
        </w:rPr>
        <w:t>9</w:t>
      </w:r>
      <w:r>
        <w:rPr>
          <w:rFonts w:ascii="Calibri" w:hAnsi="Calibri" w:cs="Calibri"/>
          <w:sz w:val="24"/>
          <w:szCs w:val="24"/>
        </w:rPr>
        <w:t>).</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Outras transações</w:t>
      </w:r>
      <w:r>
        <w:rPr>
          <w:rFonts w:ascii="Calibri" w:hAnsi="Calibri" w:cs="Calibri"/>
          <w:b/>
          <w:sz w:val="24"/>
          <w:szCs w:val="24"/>
        </w:rPr>
        <w:t xml:space="preserve">: </w:t>
      </w:r>
      <w:r w:rsidRPr="00CD3174">
        <w:rPr>
          <w:rFonts w:ascii="Calibri" w:hAnsi="Calibri" w:cs="Calibri"/>
          <w:sz w:val="24"/>
          <w:szCs w:val="24"/>
        </w:rPr>
        <w:t>A CDRJ mantém transações no curso de suas operações com outras entidades governamentais, como o Banco do Brasil, Caixa Econômica Federal</w:t>
      </w:r>
      <w:r>
        <w:rPr>
          <w:rFonts w:ascii="Calibri" w:hAnsi="Calibri" w:cs="Calibri"/>
          <w:sz w:val="24"/>
          <w:szCs w:val="24"/>
        </w:rPr>
        <w:t>,</w:t>
      </w:r>
      <w:r w:rsidRPr="00CD3174">
        <w:rPr>
          <w:rFonts w:ascii="Calibri" w:hAnsi="Calibri" w:cs="Calibri"/>
          <w:sz w:val="24"/>
          <w:szCs w:val="24"/>
        </w:rPr>
        <w:t xml:space="preserve"> Empresa Brasil de Comunicações</w:t>
      </w:r>
      <w:r>
        <w:rPr>
          <w:rFonts w:ascii="Calibri" w:hAnsi="Calibri" w:cs="Calibri"/>
          <w:sz w:val="24"/>
          <w:szCs w:val="24"/>
        </w:rPr>
        <w:t xml:space="preserve"> – EBC, Companhia Docas do Pará – CDP e Empresa Gerencial de Projetos Navais – EMGEPRON.</w:t>
      </w:r>
    </w:p>
    <w:p w:rsidR="00D414A4" w:rsidRPr="00CD3174" w:rsidRDefault="00D414A4" w:rsidP="00386840">
      <w:pPr>
        <w:jc w:val="both"/>
        <w:rPr>
          <w:rFonts w:ascii="Calibri" w:hAnsi="Calibri" w:cs="Calibri"/>
          <w:sz w:val="24"/>
          <w:szCs w:val="24"/>
        </w:rPr>
      </w:pPr>
    </w:p>
    <w:p w:rsidR="00386840" w:rsidRDefault="00386840" w:rsidP="00386840">
      <w:pPr>
        <w:jc w:val="both"/>
        <w:rPr>
          <w:rFonts w:ascii="Calibri" w:hAnsi="Calibri" w:cs="Calibri"/>
          <w:b/>
          <w:sz w:val="24"/>
          <w:szCs w:val="24"/>
        </w:rPr>
      </w:pPr>
      <w:r w:rsidRPr="00DC1BB0">
        <w:rPr>
          <w:rFonts w:ascii="Calibri" w:hAnsi="Calibri" w:cs="Calibri"/>
          <w:b/>
          <w:sz w:val="24"/>
          <w:szCs w:val="24"/>
        </w:rPr>
        <w:t>Remuneração de empregados e dirigentes (valores expressos em Reais):</w:t>
      </w:r>
    </w:p>
    <w:p w:rsidR="00386840" w:rsidRPr="00DC1BB0" w:rsidRDefault="00386840" w:rsidP="00386840">
      <w:pPr>
        <w:jc w:val="both"/>
        <w:rPr>
          <w:rFonts w:ascii="Calibri" w:hAnsi="Calibri" w:cs="Calibri"/>
          <w:b/>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Custos com remunerações e outros benefícios atribuídos aos membros da diretoria:</w:t>
      </w:r>
    </w:p>
    <w:p w:rsidR="00AC75DF" w:rsidRDefault="00AC75DF"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421"/>
        <w:gridCol w:w="4394"/>
        <w:gridCol w:w="1559"/>
        <w:gridCol w:w="1559"/>
      </w:tblGrid>
      <w:tr w:rsidR="00386840" w:rsidRPr="00CD3174" w:rsidTr="00ED5D19">
        <w:tc>
          <w:tcPr>
            <w:tcW w:w="4815" w:type="dxa"/>
            <w:gridSpan w:val="2"/>
          </w:tcPr>
          <w:p w:rsidR="00386840" w:rsidRPr="00CD3174" w:rsidRDefault="00386840" w:rsidP="00697525">
            <w:pPr>
              <w:jc w:val="center"/>
              <w:rPr>
                <w:rFonts w:ascii="Calibri" w:hAnsi="Calibri" w:cs="Calibri"/>
                <w:sz w:val="24"/>
                <w:szCs w:val="24"/>
              </w:rPr>
            </w:pPr>
          </w:p>
        </w:tc>
        <w:tc>
          <w:tcPr>
            <w:tcW w:w="1559" w:type="dxa"/>
          </w:tcPr>
          <w:p w:rsidR="00386840" w:rsidRPr="00ED5D19" w:rsidRDefault="00386840" w:rsidP="00020A69">
            <w:pPr>
              <w:jc w:val="center"/>
              <w:rPr>
                <w:rFonts w:ascii="Calibri" w:hAnsi="Calibri" w:cs="Calibri"/>
                <w:b/>
                <w:sz w:val="24"/>
                <w:szCs w:val="24"/>
              </w:rPr>
            </w:pPr>
            <w:r w:rsidRPr="00ED5D19">
              <w:rPr>
                <w:rFonts w:ascii="Calibri" w:hAnsi="Calibri" w:cs="Calibri"/>
                <w:b/>
                <w:sz w:val="24"/>
                <w:szCs w:val="24"/>
              </w:rPr>
              <w:t>20</w:t>
            </w:r>
            <w:r w:rsidR="00020A69">
              <w:rPr>
                <w:rFonts w:ascii="Calibri" w:hAnsi="Calibri" w:cs="Calibri"/>
                <w:b/>
                <w:sz w:val="24"/>
                <w:szCs w:val="24"/>
              </w:rPr>
              <w:t>20</w:t>
            </w:r>
          </w:p>
        </w:tc>
        <w:tc>
          <w:tcPr>
            <w:tcW w:w="1559" w:type="dxa"/>
          </w:tcPr>
          <w:p w:rsidR="00386840" w:rsidRPr="00ED5D19" w:rsidRDefault="00386840" w:rsidP="00020A69">
            <w:pPr>
              <w:jc w:val="center"/>
              <w:rPr>
                <w:rFonts w:ascii="Calibri" w:hAnsi="Calibri" w:cs="Calibri"/>
                <w:b/>
                <w:sz w:val="24"/>
                <w:szCs w:val="24"/>
              </w:rPr>
            </w:pPr>
            <w:r w:rsidRPr="00ED5D19">
              <w:rPr>
                <w:rFonts w:ascii="Calibri" w:hAnsi="Calibri" w:cs="Calibri"/>
                <w:b/>
                <w:sz w:val="24"/>
                <w:szCs w:val="24"/>
              </w:rPr>
              <w:t>201</w:t>
            </w:r>
            <w:r w:rsidR="00020A69">
              <w:rPr>
                <w:rFonts w:ascii="Calibri" w:hAnsi="Calibri" w:cs="Calibri"/>
                <w:b/>
                <w:sz w:val="24"/>
                <w:szCs w:val="24"/>
              </w:rPr>
              <w:t>9</w:t>
            </w:r>
          </w:p>
        </w:tc>
      </w:tr>
      <w:tr w:rsidR="00386840" w:rsidRPr="00CD3174" w:rsidTr="00ED5D19">
        <w:tc>
          <w:tcPr>
            <w:tcW w:w="4815" w:type="dxa"/>
            <w:gridSpan w:val="2"/>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Benefícios de Curto Prazo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020A69" w:rsidRPr="00CD3174" w:rsidTr="00ED5D19">
        <w:tc>
          <w:tcPr>
            <w:tcW w:w="421" w:type="dxa"/>
          </w:tcPr>
          <w:p w:rsidR="00020A69" w:rsidRPr="00CD3174" w:rsidRDefault="00020A69" w:rsidP="00020A69">
            <w:pPr>
              <w:jc w:val="both"/>
              <w:rPr>
                <w:rFonts w:ascii="Calibri" w:hAnsi="Calibri" w:cs="Calibri"/>
                <w:sz w:val="24"/>
                <w:szCs w:val="24"/>
              </w:rPr>
            </w:pPr>
          </w:p>
        </w:tc>
        <w:tc>
          <w:tcPr>
            <w:tcW w:w="4394"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Honorários, benefícios e encargos</w:t>
            </w:r>
          </w:p>
        </w:tc>
        <w:tc>
          <w:tcPr>
            <w:tcW w:w="1559" w:type="dxa"/>
          </w:tcPr>
          <w:p w:rsidR="00020A69" w:rsidRPr="00020A69" w:rsidRDefault="00020A69" w:rsidP="00020A69">
            <w:pPr>
              <w:jc w:val="right"/>
              <w:rPr>
                <w:rFonts w:ascii="Calibri" w:hAnsi="Calibri" w:cs="Calibri"/>
                <w:sz w:val="24"/>
                <w:szCs w:val="24"/>
              </w:rPr>
            </w:pPr>
            <w:r w:rsidRPr="00020A69">
              <w:rPr>
                <w:rFonts w:ascii="Calibri" w:hAnsi="Calibri" w:cs="Calibri"/>
                <w:sz w:val="24"/>
                <w:szCs w:val="24"/>
              </w:rPr>
              <w:t>1.440.244,84</w:t>
            </w:r>
          </w:p>
        </w:tc>
        <w:tc>
          <w:tcPr>
            <w:tcW w:w="155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1.389.075,29</w:t>
            </w:r>
          </w:p>
        </w:tc>
      </w:tr>
      <w:tr w:rsidR="00020A69" w:rsidRPr="00CD3174" w:rsidTr="00ED5D19">
        <w:tc>
          <w:tcPr>
            <w:tcW w:w="421" w:type="dxa"/>
          </w:tcPr>
          <w:p w:rsidR="00020A69" w:rsidRPr="00CD3174" w:rsidRDefault="00020A69" w:rsidP="00020A69">
            <w:pPr>
              <w:jc w:val="both"/>
              <w:rPr>
                <w:rFonts w:ascii="Calibri" w:hAnsi="Calibri" w:cs="Calibri"/>
                <w:sz w:val="24"/>
                <w:szCs w:val="24"/>
              </w:rPr>
            </w:pPr>
          </w:p>
        </w:tc>
        <w:tc>
          <w:tcPr>
            <w:tcW w:w="4394"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Remuneração variável</w:t>
            </w:r>
          </w:p>
        </w:tc>
        <w:tc>
          <w:tcPr>
            <w:tcW w:w="1559" w:type="dxa"/>
          </w:tcPr>
          <w:p w:rsidR="00020A69" w:rsidRPr="00020A69" w:rsidRDefault="00020A69" w:rsidP="00020A69">
            <w:pPr>
              <w:jc w:val="right"/>
              <w:rPr>
                <w:rFonts w:ascii="Calibri" w:hAnsi="Calibri" w:cs="Calibri"/>
                <w:sz w:val="24"/>
                <w:szCs w:val="24"/>
              </w:rPr>
            </w:pPr>
            <w:r w:rsidRPr="00020A69">
              <w:rPr>
                <w:rFonts w:ascii="Calibri" w:hAnsi="Calibri" w:cs="Calibri"/>
                <w:sz w:val="24"/>
                <w:szCs w:val="24"/>
              </w:rPr>
              <w:t>371.253,08</w:t>
            </w:r>
          </w:p>
        </w:tc>
        <w:tc>
          <w:tcPr>
            <w:tcW w:w="155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326.097,44</w:t>
            </w:r>
          </w:p>
        </w:tc>
      </w:tr>
      <w:tr w:rsidR="00020A69" w:rsidRPr="00CD3174" w:rsidTr="00ED5D19">
        <w:tc>
          <w:tcPr>
            <w:tcW w:w="421" w:type="dxa"/>
          </w:tcPr>
          <w:p w:rsidR="00020A69" w:rsidRPr="00CD3174" w:rsidRDefault="00020A69" w:rsidP="00020A69">
            <w:pPr>
              <w:jc w:val="both"/>
              <w:rPr>
                <w:rFonts w:ascii="Calibri" w:hAnsi="Calibri" w:cs="Calibri"/>
                <w:sz w:val="24"/>
                <w:szCs w:val="24"/>
              </w:rPr>
            </w:pPr>
          </w:p>
        </w:tc>
        <w:tc>
          <w:tcPr>
            <w:tcW w:w="4394" w:type="dxa"/>
          </w:tcPr>
          <w:p w:rsidR="00020A69" w:rsidRPr="00CD3174" w:rsidRDefault="00020A69" w:rsidP="00020A69">
            <w:pPr>
              <w:jc w:val="both"/>
              <w:rPr>
                <w:rFonts w:ascii="Calibri" w:hAnsi="Calibri" w:cs="Calibri"/>
                <w:sz w:val="24"/>
                <w:szCs w:val="24"/>
              </w:rPr>
            </w:pPr>
          </w:p>
        </w:tc>
        <w:tc>
          <w:tcPr>
            <w:tcW w:w="1559" w:type="dxa"/>
          </w:tcPr>
          <w:p w:rsidR="00020A69" w:rsidRPr="00020A69" w:rsidRDefault="00020A69" w:rsidP="00020A69">
            <w:pPr>
              <w:jc w:val="right"/>
              <w:rPr>
                <w:rFonts w:ascii="Calibri" w:hAnsi="Calibri" w:cs="Calibri"/>
                <w:sz w:val="24"/>
                <w:szCs w:val="24"/>
              </w:rPr>
            </w:pPr>
          </w:p>
        </w:tc>
        <w:tc>
          <w:tcPr>
            <w:tcW w:w="1559" w:type="dxa"/>
          </w:tcPr>
          <w:p w:rsidR="00020A69" w:rsidRPr="00CD3174" w:rsidRDefault="00020A69" w:rsidP="00020A69">
            <w:pPr>
              <w:jc w:val="right"/>
              <w:rPr>
                <w:rFonts w:ascii="Calibri" w:hAnsi="Calibri" w:cs="Calibri"/>
                <w:sz w:val="24"/>
                <w:szCs w:val="24"/>
              </w:rPr>
            </w:pPr>
          </w:p>
        </w:tc>
      </w:tr>
      <w:tr w:rsidR="00020A69" w:rsidRPr="00CD3174" w:rsidTr="00ED5D19">
        <w:tc>
          <w:tcPr>
            <w:tcW w:w="4815" w:type="dxa"/>
            <w:gridSpan w:val="2"/>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 xml:space="preserve">Benefícios </w:t>
            </w:r>
            <w:r>
              <w:rPr>
                <w:rFonts w:ascii="Calibri" w:hAnsi="Calibri" w:cs="Calibri"/>
                <w:sz w:val="24"/>
                <w:szCs w:val="24"/>
              </w:rPr>
              <w:t>P</w:t>
            </w:r>
            <w:r w:rsidRPr="00CD3174">
              <w:rPr>
                <w:rFonts w:ascii="Calibri" w:hAnsi="Calibri" w:cs="Calibri"/>
                <w:sz w:val="24"/>
                <w:szCs w:val="24"/>
              </w:rPr>
              <w:t>ós</w:t>
            </w:r>
            <w:r>
              <w:rPr>
                <w:rFonts w:ascii="Calibri" w:hAnsi="Calibri" w:cs="Calibri"/>
                <w:sz w:val="24"/>
                <w:szCs w:val="24"/>
              </w:rPr>
              <w:t xml:space="preserve"> E</w:t>
            </w:r>
            <w:r w:rsidRPr="00CD3174">
              <w:rPr>
                <w:rFonts w:ascii="Calibri" w:hAnsi="Calibri" w:cs="Calibri"/>
                <w:sz w:val="24"/>
                <w:szCs w:val="24"/>
              </w:rPr>
              <w:t>mprego</w:t>
            </w:r>
          </w:p>
        </w:tc>
        <w:tc>
          <w:tcPr>
            <w:tcW w:w="1559" w:type="dxa"/>
          </w:tcPr>
          <w:p w:rsidR="00020A69" w:rsidRPr="00020A69" w:rsidRDefault="00020A69" w:rsidP="00020A69">
            <w:pPr>
              <w:jc w:val="right"/>
              <w:rPr>
                <w:rFonts w:ascii="Calibri" w:hAnsi="Calibri" w:cs="Calibri"/>
                <w:sz w:val="24"/>
                <w:szCs w:val="24"/>
              </w:rPr>
            </w:pPr>
          </w:p>
        </w:tc>
        <w:tc>
          <w:tcPr>
            <w:tcW w:w="1559" w:type="dxa"/>
          </w:tcPr>
          <w:p w:rsidR="00020A69" w:rsidRPr="00CD3174" w:rsidRDefault="00020A69" w:rsidP="00020A69">
            <w:pPr>
              <w:jc w:val="right"/>
              <w:rPr>
                <w:rFonts w:ascii="Calibri" w:hAnsi="Calibri" w:cs="Calibri"/>
                <w:sz w:val="24"/>
                <w:szCs w:val="24"/>
              </w:rPr>
            </w:pPr>
          </w:p>
        </w:tc>
      </w:tr>
      <w:tr w:rsidR="00020A69" w:rsidRPr="00CD3174" w:rsidTr="00ED5D19">
        <w:tc>
          <w:tcPr>
            <w:tcW w:w="421" w:type="dxa"/>
          </w:tcPr>
          <w:p w:rsidR="00020A69" w:rsidRPr="00CD3174" w:rsidRDefault="00020A69" w:rsidP="00020A69">
            <w:pPr>
              <w:jc w:val="both"/>
              <w:rPr>
                <w:rFonts w:ascii="Calibri" w:hAnsi="Calibri" w:cs="Calibri"/>
                <w:sz w:val="24"/>
                <w:szCs w:val="24"/>
              </w:rPr>
            </w:pPr>
          </w:p>
        </w:tc>
        <w:tc>
          <w:tcPr>
            <w:tcW w:w="4394"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Remuneração compensatória - quarentena</w:t>
            </w:r>
          </w:p>
        </w:tc>
        <w:tc>
          <w:tcPr>
            <w:tcW w:w="1559" w:type="dxa"/>
          </w:tcPr>
          <w:p w:rsidR="00020A69" w:rsidRPr="00020A69" w:rsidRDefault="00F33F58" w:rsidP="00F33F58">
            <w:pPr>
              <w:jc w:val="right"/>
              <w:rPr>
                <w:rFonts w:ascii="Calibri" w:hAnsi="Calibri" w:cs="Calibri"/>
                <w:sz w:val="24"/>
                <w:szCs w:val="24"/>
              </w:rPr>
            </w:pPr>
            <w:r>
              <w:rPr>
                <w:rFonts w:ascii="Calibri" w:hAnsi="Calibri" w:cs="Calibri"/>
                <w:sz w:val="24"/>
                <w:szCs w:val="24"/>
              </w:rPr>
              <w:t>-</w:t>
            </w:r>
          </w:p>
        </w:tc>
        <w:tc>
          <w:tcPr>
            <w:tcW w:w="155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418.804,68</w:t>
            </w:r>
          </w:p>
        </w:tc>
      </w:tr>
      <w:tr w:rsidR="00020A69" w:rsidRPr="00CD3174" w:rsidTr="00ED5D19">
        <w:tc>
          <w:tcPr>
            <w:tcW w:w="421" w:type="dxa"/>
          </w:tcPr>
          <w:p w:rsidR="00020A69" w:rsidRPr="00CD3174" w:rsidRDefault="00020A69" w:rsidP="00020A69">
            <w:pPr>
              <w:jc w:val="both"/>
              <w:rPr>
                <w:rFonts w:ascii="Calibri" w:hAnsi="Calibri" w:cs="Calibri"/>
                <w:sz w:val="24"/>
                <w:szCs w:val="24"/>
              </w:rPr>
            </w:pPr>
          </w:p>
        </w:tc>
        <w:tc>
          <w:tcPr>
            <w:tcW w:w="4394" w:type="dxa"/>
          </w:tcPr>
          <w:p w:rsidR="00020A69" w:rsidRPr="00CD3174" w:rsidRDefault="00020A69" w:rsidP="00020A69">
            <w:pPr>
              <w:jc w:val="both"/>
              <w:rPr>
                <w:rFonts w:ascii="Calibri" w:hAnsi="Calibri" w:cs="Calibri"/>
                <w:sz w:val="24"/>
                <w:szCs w:val="24"/>
              </w:rPr>
            </w:pPr>
          </w:p>
        </w:tc>
        <w:tc>
          <w:tcPr>
            <w:tcW w:w="1559" w:type="dxa"/>
          </w:tcPr>
          <w:p w:rsidR="00020A69" w:rsidRPr="00020A69" w:rsidRDefault="00020A69" w:rsidP="00020A69">
            <w:pPr>
              <w:jc w:val="right"/>
              <w:rPr>
                <w:rFonts w:ascii="Calibri" w:hAnsi="Calibri" w:cs="Calibri"/>
                <w:sz w:val="24"/>
                <w:szCs w:val="24"/>
              </w:rPr>
            </w:pPr>
          </w:p>
        </w:tc>
        <w:tc>
          <w:tcPr>
            <w:tcW w:w="1559" w:type="dxa"/>
          </w:tcPr>
          <w:p w:rsidR="00020A69" w:rsidRPr="00CD3174" w:rsidRDefault="00020A69" w:rsidP="00020A69">
            <w:pPr>
              <w:jc w:val="right"/>
              <w:rPr>
                <w:rFonts w:ascii="Calibri" w:hAnsi="Calibri" w:cs="Calibri"/>
                <w:sz w:val="24"/>
                <w:szCs w:val="24"/>
              </w:rPr>
            </w:pPr>
          </w:p>
        </w:tc>
      </w:tr>
      <w:tr w:rsidR="00020A69" w:rsidRPr="00CD3174" w:rsidTr="00ED5D19">
        <w:tc>
          <w:tcPr>
            <w:tcW w:w="4815" w:type="dxa"/>
            <w:gridSpan w:val="2"/>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Benefícios de Rescisão de Contrato de Trabalho</w:t>
            </w:r>
          </w:p>
        </w:tc>
        <w:tc>
          <w:tcPr>
            <w:tcW w:w="1559" w:type="dxa"/>
          </w:tcPr>
          <w:p w:rsidR="00020A69" w:rsidRPr="00020A69" w:rsidRDefault="00020A69" w:rsidP="00020A69">
            <w:pPr>
              <w:jc w:val="right"/>
              <w:rPr>
                <w:rFonts w:ascii="Calibri" w:hAnsi="Calibri" w:cs="Calibri"/>
                <w:sz w:val="24"/>
                <w:szCs w:val="24"/>
              </w:rPr>
            </w:pPr>
          </w:p>
        </w:tc>
        <w:tc>
          <w:tcPr>
            <w:tcW w:w="1559" w:type="dxa"/>
          </w:tcPr>
          <w:p w:rsidR="00020A69" w:rsidRPr="00CD3174" w:rsidRDefault="00020A69" w:rsidP="00020A69">
            <w:pPr>
              <w:jc w:val="right"/>
              <w:rPr>
                <w:rFonts w:ascii="Calibri" w:hAnsi="Calibri" w:cs="Calibri"/>
                <w:sz w:val="24"/>
                <w:szCs w:val="24"/>
              </w:rPr>
            </w:pPr>
          </w:p>
        </w:tc>
      </w:tr>
      <w:tr w:rsidR="00020A69" w:rsidRPr="00CD3174" w:rsidTr="00ED5D19">
        <w:tc>
          <w:tcPr>
            <w:tcW w:w="421" w:type="dxa"/>
          </w:tcPr>
          <w:p w:rsidR="00020A69" w:rsidRPr="00CD3174" w:rsidRDefault="00020A69" w:rsidP="00020A69">
            <w:pPr>
              <w:jc w:val="both"/>
              <w:rPr>
                <w:rFonts w:ascii="Calibri" w:hAnsi="Calibri" w:cs="Calibri"/>
                <w:sz w:val="24"/>
                <w:szCs w:val="24"/>
              </w:rPr>
            </w:pPr>
          </w:p>
        </w:tc>
        <w:tc>
          <w:tcPr>
            <w:tcW w:w="4394"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Férias proporcionais e indenizadas</w:t>
            </w:r>
          </w:p>
        </w:tc>
        <w:tc>
          <w:tcPr>
            <w:tcW w:w="1559" w:type="dxa"/>
          </w:tcPr>
          <w:p w:rsidR="00020A69" w:rsidRPr="00020A69" w:rsidRDefault="00020A69" w:rsidP="00020A69">
            <w:pPr>
              <w:jc w:val="right"/>
              <w:rPr>
                <w:rFonts w:ascii="Calibri" w:hAnsi="Calibri" w:cs="Calibri"/>
                <w:sz w:val="24"/>
                <w:szCs w:val="24"/>
              </w:rPr>
            </w:pPr>
            <w:r w:rsidRPr="00020A69">
              <w:rPr>
                <w:rFonts w:ascii="Calibri" w:hAnsi="Calibri" w:cs="Calibri"/>
                <w:sz w:val="24"/>
                <w:szCs w:val="24"/>
              </w:rPr>
              <w:t>75.988,86</w:t>
            </w:r>
          </w:p>
        </w:tc>
        <w:tc>
          <w:tcPr>
            <w:tcW w:w="155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78.548,06</w:t>
            </w:r>
          </w:p>
        </w:tc>
      </w:tr>
    </w:tbl>
    <w:p w:rsidR="0011080B" w:rsidRDefault="0011080B" w:rsidP="00386840">
      <w:pPr>
        <w:jc w:val="both"/>
        <w:rPr>
          <w:rFonts w:ascii="Calibri" w:hAnsi="Calibri" w:cs="Calibri"/>
          <w:sz w:val="24"/>
          <w:szCs w:val="24"/>
        </w:rPr>
      </w:pPr>
    </w:p>
    <w:p w:rsidR="001C4695" w:rsidRDefault="001C4695"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lastRenderedPageBreak/>
        <w:t>Custos com remunerações e outros benefícios atribuídos aos membros do Conselho de Administração, do Conselho Fiscal e do Comitê de Auditoria Estatutário:</w:t>
      </w:r>
    </w:p>
    <w:p w:rsidR="00AC75DF" w:rsidRDefault="00AC75DF"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3539"/>
        <w:gridCol w:w="1488"/>
        <w:gridCol w:w="1489"/>
      </w:tblGrid>
      <w:tr w:rsidR="00386840" w:rsidRPr="00CD3174" w:rsidTr="00ED5D19">
        <w:tc>
          <w:tcPr>
            <w:tcW w:w="3539" w:type="dxa"/>
          </w:tcPr>
          <w:p w:rsidR="00386840" w:rsidRPr="00CD3174" w:rsidRDefault="00386840" w:rsidP="00697525">
            <w:pPr>
              <w:jc w:val="both"/>
              <w:rPr>
                <w:rFonts w:ascii="Calibri" w:hAnsi="Calibri" w:cs="Calibri"/>
                <w:sz w:val="24"/>
                <w:szCs w:val="24"/>
              </w:rPr>
            </w:pPr>
          </w:p>
        </w:tc>
        <w:tc>
          <w:tcPr>
            <w:tcW w:w="1488" w:type="dxa"/>
          </w:tcPr>
          <w:p w:rsidR="00386840" w:rsidRPr="00ED5D19" w:rsidRDefault="00020A69" w:rsidP="00697525">
            <w:pPr>
              <w:jc w:val="center"/>
              <w:rPr>
                <w:rFonts w:ascii="Calibri" w:hAnsi="Calibri" w:cs="Calibri"/>
                <w:b/>
                <w:sz w:val="24"/>
                <w:szCs w:val="24"/>
              </w:rPr>
            </w:pPr>
            <w:r>
              <w:rPr>
                <w:rFonts w:ascii="Calibri" w:hAnsi="Calibri" w:cs="Calibri"/>
                <w:b/>
                <w:sz w:val="24"/>
                <w:szCs w:val="24"/>
              </w:rPr>
              <w:t>2020</w:t>
            </w:r>
          </w:p>
        </w:tc>
        <w:tc>
          <w:tcPr>
            <w:tcW w:w="1489" w:type="dxa"/>
          </w:tcPr>
          <w:p w:rsidR="00386840" w:rsidRPr="00ED5D19" w:rsidRDefault="00386840" w:rsidP="00020A69">
            <w:pPr>
              <w:jc w:val="center"/>
              <w:rPr>
                <w:rFonts w:ascii="Calibri" w:hAnsi="Calibri" w:cs="Calibri"/>
                <w:b/>
                <w:sz w:val="24"/>
                <w:szCs w:val="24"/>
              </w:rPr>
            </w:pPr>
            <w:r w:rsidRPr="00ED5D19">
              <w:rPr>
                <w:rFonts w:ascii="Calibri" w:hAnsi="Calibri" w:cs="Calibri"/>
                <w:b/>
                <w:sz w:val="24"/>
                <w:szCs w:val="24"/>
              </w:rPr>
              <w:t>201</w:t>
            </w:r>
            <w:r w:rsidR="00020A69">
              <w:rPr>
                <w:rFonts w:ascii="Calibri" w:hAnsi="Calibri" w:cs="Calibri"/>
                <w:b/>
                <w:sz w:val="24"/>
                <w:szCs w:val="24"/>
              </w:rPr>
              <w:t>9</w:t>
            </w:r>
          </w:p>
        </w:tc>
      </w:tr>
      <w:tr w:rsidR="00020A69" w:rsidRPr="00CD3174" w:rsidTr="00ED5D19">
        <w:tc>
          <w:tcPr>
            <w:tcW w:w="3539"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Conselho de Administração</w:t>
            </w:r>
          </w:p>
        </w:tc>
        <w:tc>
          <w:tcPr>
            <w:tcW w:w="1488" w:type="dxa"/>
          </w:tcPr>
          <w:p w:rsidR="00020A69" w:rsidRPr="00CD3174" w:rsidRDefault="00020A69" w:rsidP="00020A69">
            <w:pPr>
              <w:jc w:val="right"/>
              <w:rPr>
                <w:rFonts w:ascii="Calibri" w:hAnsi="Calibri" w:cs="Calibri"/>
                <w:sz w:val="24"/>
                <w:szCs w:val="24"/>
              </w:rPr>
            </w:pPr>
            <w:r>
              <w:rPr>
                <w:rFonts w:ascii="Calibri" w:hAnsi="Calibri" w:cs="Calibri"/>
                <w:sz w:val="24"/>
                <w:szCs w:val="24"/>
              </w:rPr>
              <w:t>224.486,10</w:t>
            </w:r>
          </w:p>
        </w:tc>
        <w:tc>
          <w:tcPr>
            <w:tcW w:w="148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252.019,48</w:t>
            </w:r>
          </w:p>
        </w:tc>
      </w:tr>
      <w:tr w:rsidR="00020A69" w:rsidRPr="00CD3174" w:rsidTr="00ED5D19">
        <w:tc>
          <w:tcPr>
            <w:tcW w:w="3539"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Conselho Fiscal</w:t>
            </w:r>
          </w:p>
        </w:tc>
        <w:tc>
          <w:tcPr>
            <w:tcW w:w="1488" w:type="dxa"/>
          </w:tcPr>
          <w:p w:rsidR="00020A69" w:rsidRPr="00CD3174" w:rsidRDefault="00020A69" w:rsidP="00020A69">
            <w:pPr>
              <w:jc w:val="right"/>
              <w:rPr>
                <w:rFonts w:ascii="Calibri" w:hAnsi="Calibri" w:cs="Calibri"/>
                <w:sz w:val="24"/>
                <w:szCs w:val="24"/>
              </w:rPr>
            </w:pPr>
            <w:r>
              <w:rPr>
                <w:rFonts w:ascii="Calibri" w:hAnsi="Calibri" w:cs="Calibri"/>
                <w:sz w:val="24"/>
                <w:szCs w:val="24"/>
              </w:rPr>
              <w:t>134,702,48</w:t>
            </w:r>
          </w:p>
        </w:tc>
        <w:tc>
          <w:tcPr>
            <w:tcW w:w="148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190.553,39</w:t>
            </w:r>
          </w:p>
        </w:tc>
      </w:tr>
      <w:tr w:rsidR="00020A69" w:rsidRPr="00CD3174" w:rsidTr="00ED5D19">
        <w:tc>
          <w:tcPr>
            <w:tcW w:w="3539"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Comitê de Auditoria Estatutário</w:t>
            </w:r>
          </w:p>
        </w:tc>
        <w:tc>
          <w:tcPr>
            <w:tcW w:w="1488" w:type="dxa"/>
          </w:tcPr>
          <w:p w:rsidR="00020A69" w:rsidRPr="00CD3174" w:rsidRDefault="00020A69" w:rsidP="00020A69">
            <w:pPr>
              <w:jc w:val="right"/>
              <w:rPr>
                <w:rFonts w:ascii="Calibri" w:hAnsi="Calibri" w:cs="Calibri"/>
                <w:sz w:val="24"/>
                <w:szCs w:val="24"/>
              </w:rPr>
            </w:pPr>
            <w:r>
              <w:rPr>
                <w:rFonts w:ascii="Calibri" w:hAnsi="Calibri" w:cs="Calibri"/>
                <w:sz w:val="24"/>
                <w:szCs w:val="24"/>
              </w:rPr>
              <w:t>112.243,20</w:t>
            </w:r>
          </w:p>
        </w:tc>
        <w:tc>
          <w:tcPr>
            <w:tcW w:w="1489"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56.121,45</w:t>
            </w:r>
          </w:p>
        </w:tc>
      </w:tr>
    </w:tbl>
    <w:p w:rsidR="00386840" w:rsidRDefault="00386840" w:rsidP="00386840">
      <w:pPr>
        <w:jc w:val="both"/>
        <w:rPr>
          <w:rFonts w:ascii="Calibri" w:hAnsi="Calibri" w:cs="Calibri"/>
          <w:sz w:val="24"/>
          <w:szCs w:val="24"/>
        </w:rPr>
      </w:pPr>
    </w:p>
    <w:p w:rsidR="006A2FE3" w:rsidRPr="00CD3174" w:rsidRDefault="006A2FE3"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Informações relativas às maiores e menores remunerações (salário fixo mensal, sem encargos) pagas aos diretores e aos empregados no exercício:</w:t>
      </w:r>
    </w:p>
    <w:p w:rsidR="00AC75DF" w:rsidRDefault="00AC75DF"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2547"/>
        <w:gridCol w:w="1486"/>
        <w:gridCol w:w="1487"/>
        <w:gridCol w:w="1487"/>
        <w:gridCol w:w="1487"/>
      </w:tblGrid>
      <w:tr w:rsidR="00386840" w:rsidRPr="00CD3174" w:rsidTr="00697525">
        <w:tc>
          <w:tcPr>
            <w:tcW w:w="2547" w:type="dxa"/>
          </w:tcPr>
          <w:p w:rsidR="00386840" w:rsidRPr="00CD3174" w:rsidRDefault="00386840" w:rsidP="00697525">
            <w:pPr>
              <w:jc w:val="both"/>
              <w:rPr>
                <w:rFonts w:ascii="Calibri" w:hAnsi="Calibri" w:cs="Calibri"/>
                <w:sz w:val="24"/>
                <w:szCs w:val="24"/>
              </w:rPr>
            </w:pPr>
          </w:p>
        </w:tc>
        <w:tc>
          <w:tcPr>
            <w:tcW w:w="2973" w:type="dxa"/>
            <w:gridSpan w:val="2"/>
          </w:tcPr>
          <w:p w:rsidR="00386840" w:rsidRPr="00ED5D19" w:rsidRDefault="00020A69" w:rsidP="00697525">
            <w:pPr>
              <w:jc w:val="center"/>
              <w:rPr>
                <w:rFonts w:ascii="Calibri" w:hAnsi="Calibri" w:cs="Calibri"/>
                <w:b/>
                <w:sz w:val="24"/>
                <w:szCs w:val="24"/>
              </w:rPr>
            </w:pPr>
            <w:r>
              <w:rPr>
                <w:rFonts w:ascii="Calibri" w:hAnsi="Calibri" w:cs="Calibri"/>
                <w:b/>
                <w:sz w:val="24"/>
                <w:szCs w:val="24"/>
              </w:rPr>
              <w:t>2020</w:t>
            </w:r>
          </w:p>
        </w:tc>
        <w:tc>
          <w:tcPr>
            <w:tcW w:w="2974" w:type="dxa"/>
            <w:gridSpan w:val="2"/>
          </w:tcPr>
          <w:p w:rsidR="00386840" w:rsidRPr="00ED5D19" w:rsidRDefault="00020A69" w:rsidP="00697525">
            <w:pPr>
              <w:jc w:val="center"/>
              <w:rPr>
                <w:rFonts w:ascii="Calibri" w:hAnsi="Calibri" w:cs="Calibri"/>
                <w:b/>
                <w:sz w:val="24"/>
                <w:szCs w:val="24"/>
              </w:rPr>
            </w:pPr>
            <w:r>
              <w:rPr>
                <w:rFonts w:ascii="Calibri" w:hAnsi="Calibri" w:cs="Calibri"/>
                <w:b/>
                <w:sz w:val="24"/>
                <w:szCs w:val="24"/>
              </w:rPr>
              <w:t>2019</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p>
        </w:tc>
        <w:tc>
          <w:tcPr>
            <w:tcW w:w="1486"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Diretores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Empregados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Diretores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Empregados</w:t>
            </w:r>
          </w:p>
        </w:tc>
      </w:tr>
      <w:tr w:rsidR="00020A69" w:rsidRPr="00CD3174" w:rsidTr="00697525">
        <w:tc>
          <w:tcPr>
            <w:tcW w:w="2547"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Maior Remuneração</w:t>
            </w:r>
          </w:p>
        </w:tc>
        <w:tc>
          <w:tcPr>
            <w:tcW w:w="1486" w:type="dxa"/>
          </w:tcPr>
          <w:p w:rsidR="00020A69" w:rsidRPr="00CD3174" w:rsidRDefault="00020A69" w:rsidP="00020A69">
            <w:pPr>
              <w:jc w:val="right"/>
              <w:rPr>
                <w:rFonts w:ascii="Calibri" w:hAnsi="Calibri" w:cs="Calibri"/>
                <w:sz w:val="24"/>
                <w:szCs w:val="24"/>
              </w:rPr>
            </w:pPr>
            <w:r>
              <w:rPr>
                <w:rFonts w:ascii="Calibri" w:hAnsi="Calibri" w:cs="Calibri"/>
                <w:sz w:val="24"/>
                <w:szCs w:val="24"/>
              </w:rPr>
              <w:t>39.650,13</w:t>
            </w:r>
          </w:p>
        </w:tc>
        <w:tc>
          <w:tcPr>
            <w:tcW w:w="1487" w:type="dxa"/>
          </w:tcPr>
          <w:p w:rsidR="00020A69" w:rsidRPr="00CD3174" w:rsidRDefault="00020A69" w:rsidP="00020A69">
            <w:pPr>
              <w:jc w:val="right"/>
              <w:rPr>
                <w:rFonts w:ascii="Calibri" w:hAnsi="Calibri" w:cs="Calibri"/>
                <w:sz w:val="24"/>
                <w:szCs w:val="24"/>
              </w:rPr>
            </w:pPr>
            <w:r>
              <w:rPr>
                <w:rFonts w:ascii="Calibri" w:hAnsi="Calibri" w:cs="Calibri"/>
                <w:sz w:val="24"/>
                <w:szCs w:val="24"/>
              </w:rPr>
              <w:t>78.687,87</w:t>
            </w:r>
          </w:p>
        </w:tc>
        <w:tc>
          <w:tcPr>
            <w:tcW w:w="1487"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35.451,66</w:t>
            </w:r>
          </w:p>
        </w:tc>
        <w:tc>
          <w:tcPr>
            <w:tcW w:w="1487" w:type="dxa"/>
          </w:tcPr>
          <w:p w:rsidR="00020A69" w:rsidRPr="00CD3174" w:rsidRDefault="00020A69" w:rsidP="00020A69">
            <w:pPr>
              <w:jc w:val="right"/>
              <w:rPr>
                <w:rFonts w:ascii="Calibri" w:hAnsi="Calibri" w:cs="Calibri"/>
                <w:sz w:val="24"/>
                <w:szCs w:val="24"/>
              </w:rPr>
            </w:pPr>
            <w:r>
              <w:rPr>
                <w:rFonts w:ascii="Calibri" w:hAnsi="Calibri" w:cs="Calibri"/>
                <w:sz w:val="24"/>
                <w:szCs w:val="24"/>
              </w:rPr>
              <w:t>67.066,40</w:t>
            </w:r>
          </w:p>
        </w:tc>
      </w:tr>
      <w:tr w:rsidR="00020A69" w:rsidRPr="00CD3174" w:rsidTr="00697525">
        <w:tc>
          <w:tcPr>
            <w:tcW w:w="2547"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Menor Remuneração</w:t>
            </w:r>
          </w:p>
        </w:tc>
        <w:tc>
          <w:tcPr>
            <w:tcW w:w="1486" w:type="dxa"/>
          </w:tcPr>
          <w:p w:rsidR="00020A69" w:rsidRPr="00CD3174" w:rsidRDefault="00020A69" w:rsidP="00020A69">
            <w:pPr>
              <w:jc w:val="right"/>
              <w:rPr>
                <w:rFonts w:ascii="Calibri" w:hAnsi="Calibri" w:cs="Calibri"/>
                <w:sz w:val="24"/>
                <w:szCs w:val="24"/>
              </w:rPr>
            </w:pPr>
            <w:r>
              <w:rPr>
                <w:rFonts w:ascii="Calibri" w:hAnsi="Calibri" w:cs="Calibri"/>
                <w:sz w:val="24"/>
                <w:szCs w:val="24"/>
              </w:rPr>
              <w:t>8349,89</w:t>
            </w:r>
          </w:p>
        </w:tc>
        <w:tc>
          <w:tcPr>
            <w:tcW w:w="1487" w:type="dxa"/>
          </w:tcPr>
          <w:p w:rsidR="00020A69" w:rsidRPr="00CD3174" w:rsidRDefault="00020A69" w:rsidP="00020A69">
            <w:pPr>
              <w:jc w:val="right"/>
              <w:rPr>
                <w:rFonts w:ascii="Calibri" w:hAnsi="Calibri" w:cs="Calibri"/>
                <w:sz w:val="24"/>
                <w:szCs w:val="24"/>
              </w:rPr>
            </w:pPr>
            <w:r>
              <w:rPr>
                <w:rFonts w:ascii="Calibri" w:hAnsi="Calibri" w:cs="Calibri"/>
                <w:sz w:val="24"/>
                <w:szCs w:val="24"/>
              </w:rPr>
              <w:t>1.805,54</w:t>
            </w:r>
          </w:p>
        </w:tc>
        <w:tc>
          <w:tcPr>
            <w:tcW w:w="1487"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26.207,13</w:t>
            </w:r>
          </w:p>
        </w:tc>
        <w:tc>
          <w:tcPr>
            <w:tcW w:w="1487" w:type="dxa"/>
          </w:tcPr>
          <w:p w:rsidR="00020A69" w:rsidRPr="00CD3174" w:rsidRDefault="00020A69" w:rsidP="00020A69">
            <w:pPr>
              <w:jc w:val="right"/>
              <w:rPr>
                <w:rFonts w:ascii="Calibri" w:hAnsi="Calibri" w:cs="Calibri"/>
                <w:sz w:val="24"/>
                <w:szCs w:val="24"/>
              </w:rPr>
            </w:pPr>
            <w:r>
              <w:rPr>
                <w:rFonts w:ascii="Calibri" w:hAnsi="Calibri" w:cs="Calibri"/>
                <w:sz w:val="24"/>
                <w:szCs w:val="24"/>
              </w:rPr>
              <w:t>1.325,54</w:t>
            </w:r>
          </w:p>
        </w:tc>
      </w:tr>
      <w:tr w:rsidR="00020A69" w:rsidRPr="00CD3174" w:rsidTr="00697525">
        <w:tc>
          <w:tcPr>
            <w:tcW w:w="2547" w:type="dxa"/>
          </w:tcPr>
          <w:p w:rsidR="00020A69" w:rsidRPr="00CD3174" w:rsidRDefault="00020A69" w:rsidP="00020A69">
            <w:pPr>
              <w:jc w:val="both"/>
              <w:rPr>
                <w:rFonts w:ascii="Calibri" w:hAnsi="Calibri" w:cs="Calibri"/>
                <w:sz w:val="24"/>
                <w:szCs w:val="24"/>
              </w:rPr>
            </w:pPr>
            <w:r w:rsidRPr="00CD3174">
              <w:rPr>
                <w:rFonts w:ascii="Calibri" w:hAnsi="Calibri" w:cs="Calibri"/>
                <w:sz w:val="24"/>
                <w:szCs w:val="24"/>
              </w:rPr>
              <w:t>Remuneração Média</w:t>
            </w:r>
          </w:p>
        </w:tc>
        <w:tc>
          <w:tcPr>
            <w:tcW w:w="1486" w:type="dxa"/>
          </w:tcPr>
          <w:p w:rsidR="00020A69" w:rsidRPr="00CD3174" w:rsidRDefault="00020A69" w:rsidP="00020A69">
            <w:pPr>
              <w:jc w:val="right"/>
              <w:rPr>
                <w:rFonts w:ascii="Calibri" w:hAnsi="Calibri" w:cs="Calibri"/>
                <w:sz w:val="24"/>
                <w:szCs w:val="24"/>
              </w:rPr>
            </w:pPr>
            <w:r>
              <w:rPr>
                <w:rFonts w:ascii="Calibri" w:hAnsi="Calibri" w:cs="Calibri"/>
                <w:sz w:val="24"/>
                <w:szCs w:val="24"/>
              </w:rPr>
              <w:t>28.578,48</w:t>
            </w:r>
          </w:p>
        </w:tc>
        <w:tc>
          <w:tcPr>
            <w:tcW w:w="1487" w:type="dxa"/>
          </w:tcPr>
          <w:p w:rsidR="00020A69" w:rsidRPr="00CD3174" w:rsidRDefault="00020A69" w:rsidP="00020A69">
            <w:pPr>
              <w:jc w:val="right"/>
              <w:rPr>
                <w:rFonts w:ascii="Calibri" w:hAnsi="Calibri" w:cs="Calibri"/>
                <w:sz w:val="24"/>
                <w:szCs w:val="24"/>
              </w:rPr>
            </w:pPr>
            <w:r>
              <w:rPr>
                <w:rFonts w:ascii="Calibri" w:hAnsi="Calibri" w:cs="Calibri"/>
                <w:sz w:val="24"/>
                <w:szCs w:val="24"/>
              </w:rPr>
              <w:t>12.427,30</w:t>
            </w:r>
          </w:p>
        </w:tc>
        <w:tc>
          <w:tcPr>
            <w:tcW w:w="1487" w:type="dxa"/>
          </w:tcPr>
          <w:p w:rsidR="00020A69" w:rsidRPr="00CD3174" w:rsidRDefault="00020A69" w:rsidP="00020A69">
            <w:pPr>
              <w:jc w:val="right"/>
              <w:rPr>
                <w:rFonts w:ascii="Calibri" w:hAnsi="Calibri" w:cs="Calibri"/>
                <w:sz w:val="24"/>
                <w:szCs w:val="24"/>
              </w:rPr>
            </w:pPr>
            <w:r w:rsidRPr="00CD3174">
              <w:rPr>
                <w:rFonts w:ascii="Calibri" w:hAnsi="Calibri" w:cs="Calibri"/>
                <w:sz w:val="24"/>
                <w:szCs w:val="24"/>
              </w:rPr>
              <w:t>28.939,07</w:t>
            </w:r>
          </w:p>
        </w:tc>
        <w:tc>
          <w:tcPr>
            <w:tcW w:w="1487" w:type="dxa"/>
          </w:tcPr>
          <w:p w:rsidR="00020A69" w:rsidRPr="00CD3174" w:rsidRDefault="00020A69" w:rsidP="00020A69">
            <w:pPr>
              <w:jc w:val="right"/>
              <w:rPr>
                <w:rFonts w:ascii="Calibri" w:hAnsi="Calibri" w:cs="Calibri"/>
                <w:sz w:val="24"/>
                <w:szCs w:val="24"/>
              </w:rPr>
            </w:pPr>
            <w:r>
              <w:rPr>
                <w:rFonts w:ascii="Calibri" w:hAnsi="Calibri" w:cs="Calibri"/>
                <w:sz w:val="24"/>
                <w:szCs w:val="24"/>
              </w:rPr>
              <w:t>11.213,86</w:t>
            </w:r>
          </w:p>
        </w:tc>
      </w:tr>
    </w:tbl>
    <w:p w:rsidR="00ED5D19" w:rsidRDefault="00ED5D19" w:rsidP="00C13D42">
      <w:pPr>
        <w:ind w:left="1080" w:hanging="1080"/>
        <w:jc w:val="both"/>
        <w:rPr>
          <w:rFonts w:ascii="Calibri" w:hAnsi="Calibri" w:cs="Calibri"/>
          <w:b/>
          <w:sz w:val="24"/>
          <w:szCs w:val="24"/>
        </w:rPr>
      </w:pPr>
    </w:p>
    <w:p w:rsidR="003B1312" w:rsidRDefault="003B1312" w:rsidP="00C13D42">
      <w:pPr>
        <w:ind w:left="1080" w:hanging="1080"/>
        <w:jc w:val="both"/>
        <w:rPr>
          <w:rFonts w:ascii="Calibri" w:hAnsi="Calibri" w:cs="Calibri"/>
          <w:b/>
          <w:sz w:val="24"/>
          <w:szCs w:val="24"/>
        </w:rPr>
      </w:pPr>
    </w:p>
    <w:p w:rsidR="003B1312" w:rsidRPr="00312424" w:rsidRDefault="003B1312" w:rsidP="003B1312">
      <w:pPr>
        <w:jc w:val="both"/>
        <w:rPr>
          <w:rFonts w:ascii="Calibri" w:hAnsi="Calibri" w:cs="Calibri"/>
          <w:b/>
          <w:sz w:val="24"/>
          <w:szCs w:val="24"/>
          <w:u w:val="single"/>
        </w:rPr>
      </w:pPr>
      <w:r>
        <w:rPr>
          <w:rFonts w:ascii="Calibri" w:hAnsi="Calibri" w:cs="Calibri"/>
          <w:b/>
          <w:sz w:val="24"/>
          <w:szCs w:val="24"/>
        </w:rPr>
        <w:t>29</w:t>
      </w:r>
      <w:r w:rsidRPr="00312424">
        <w:rPr>
          <w:rFonts w:ascii="Calibri" w:hAnsi="Calibri" w:cs="Calibri"/>
          <w:b/>
          <w:sz w:val="24"/>
          <w:szCs w:val="24"/>
        </w:rPr>
        <w:t xml:space="preserve"> – </w:t>
      </w:r>
      <w:r>
        <w:rPr>
          <w:rFonts w:ascii="Calibri" w:hAnsi="Calibri" w:cs="Calibri"/>
          <w:b/>
          <w:sz w:val="24"/>
          <w:szCs w:val="24"/>
          <w:u w:val="single"/>
        </w:rPr>
        <w:t>APROVAÇÃ</w:t>
      </w:r>
      <w:r w:rsidR="00D56ECE">
        <w:rPr>
          <w:rFonts w:ascii="Calibri" w:hAnsi="Calibri" w:cs="Calibri"/>
          <w:b/>
          <w:sz w:val="24"/>
          <w:szCs w:val="24"/>
          <w:u w:val="single"/>
        </w:rPr>
        <w:t>O DAS DEMONSTRAÇÕES FINANCEIRAS</w:t>
      </w:r>
    </w:p>
    <w:p w:rsidR="003B1312" w:rsidRDefault="003B1312" w:rsidP="00C13D42">
      <w:pPr>
        <w:ind w:left="1080" w:hanging="1080"/>
        <w:jc w:val="both"/>
        <w:rPr>
          <w:rFonts w:ascii="Calibri" w:hAnsi="Calibri" w:cs="Calibri"/>
          <w:b/>
          <w:sz w:val="24"/>
          <w:szCs w:val="24"/>
        </w:rPr>
      </w:pPr>
    </w:p>
    <w:p w:rsidR="00C16DDB" w:rsidRDefault="003B1312" w:rsidP="00C16DDB">
      <w:pPr>
        <w:jc w:val="both"/>
        <w:rPr>
          <w:rFonts w:ascii="Calibri" w:hAnsi="Calibri" w:cs="Calibri"/>
          <w:noProof/>
          <w:snapToGrid/>
          <w:sz w:val="24"/>
          <w:szCs w:val="24"/>
        </w:rPr>
      </w:pPr>
      <w:r>
        <w:rPr>
          <w:rFonts w:ascii="Calibri" w:hAnsi="Calibri" w:cs="Calibri"/>
          <w:noProof/>
          <w:snapToGrid/>
          <w:sz w:val="24"/>
          <w:szCs w:val="24"/>
        </w:rPr>
        <w:t xml:space="preserve">A </w:t>
      </w:r>
      <w:r w:rsidR="00D56ECE">
        <w:rPr>
          <w:rFonts w:ascii="Calibri" w:hAnsi="Calibri" w:cs="Calibri"/>
          <w:noProof/>
          <w:snapToGrid/>
          <w:sz w:val="24"/>
          <w:szCs w:val="24"/>
        </w:rPr>
        <w:t>autorização, pela Diretoria Executiva, para a conclusão da preparação destas demonstrações financeiras ocorreu em 1</w:t>
      </w:r>
      <w:r w:rsidR="00EF7BB5">
        <w:rPr>
          <w:rFonts w:ascii="Calibri" w:hAnsi="Calibri" w:cs="Calibri"/>
          <w:noProof/>
          <w:snapToGrid/>
          <w:sz w:val="24"/>
          <w:szCs w:val="24"/>
        </w:rPr>
        <w:t>8</w:t>
      </w:r>
      <w:r w:rsidR="00D56ECE">
        <w:rPr>
          <w:rFonts w:ascii="Calibri" w:hAnsi="Calibri" w:cs="Calibri"/>
          <w:noProof/>
          <w:snapToGrid/>
          <w:sz w:val="24"/>
          <w:szCs w:val="24"/>
        </w:rPr>
        <w:t xml:space="preserve"> de março de 202</w:t>
      </w:r>
      <w:r w:rsidR="006502BD">
        <w:rPr>
          <w:rFonts w:ascii="Calibri" w:hAnsi="Calibri" w:cs="Calibri"/>
          <w:noProof/>
          <w:snapToGrid/>
          <w:sz w:val="24"/>
          <w:szCs w:val="24"/>
        </w:rPr>
        <w:t>1</w:t>
      </w:r>
      <w:r w:rsidR="00D56ECE">
        <w:rPr>
          <w:rFonts w:ascii="Calibri" w:hAnsi="Calibri" w:cs="Calibri"/>
          <w:noProof/>
          <w:snapToGrid/>
          <w:sz w:val="24"/>
          <w:szCs w:val="24"/>
        </w:rPr>
        <w:t>.</w:t>
      </w:r>
    </w:p>
    <w:p w:rsidR="003B1312" w:rsidRDefault="003B1312" w:rsidP="00C16DDB">
      <w:pPr>
        <w:jc w:val="both"/>
        <w:rPr>
          <w:rFonts w:ascii="Calibri" w:hAnsi="Calibri" w:cs="Calibri"/>
          <w:noProof/>
          <w:snapToGrid/>
          <w:sz w:val="24"/>
          <w:szCs w:val="24"/>
        </w:rPr>
      </w:pPr>
    </w:p>
    <w:p w:rsidR="003B1312" w:rsidRDefault="003B1312" w:rsidP="00C16DDB">
      <w:pPr>
        <w:jc w:val="both"/>
        <w:rPr>
          <w:rFonts w:ascii="Calibri" w:hAnsi="Calibri" w:cs="Calibri"/>
          <w:noProof/>
          <w:snapToGrid/>
          <w:sz w:val="24"/>
          <w:szCs w:val="24"/>
        </w:rPr>
      </w:pPr>
    </w:p>
    <w:p w:rsidR="003B1312" w:rsidRDefault="003B1312" w:rsidP="00C16DDB">
      <w:pPr>
        <w:jc w:val="both"/>
        <w:rPr>
          <w:rFonts w:ascii="Calibri" w:hAnsi="Calibri" w:cs="Calibri"/>
          <w:noProof/>
          <w:snapToGrid/>
          <w:sz w:val="24"/>
          <w:szCs w:val="24"/>
        </w:rPr>
      </w:pPr>
    </w:p>
    <w:p w:rsidR="003B1312" w:rsidRDefault="003B1312" w:rsidP="00C16DDB">
      <w:pPr>
        <w:jc w:val="both"/>
        <w:rPr>
          <w:rFonts w:ascii="Calibri" w:hAnsi="Calibri" w:cs="Calibri"/>
          <w:noProof/>
          <w:snapToGrid/>
          <w:sz w:val="24"/>
          <w:szCs w:val="24"/>
        </w:rPr>
      </w:pPr>
    </w:p>
    <w:p w:rsidR="008A71CD" w:rsidRPr="00312424" w:rsidRDefault="008A71CD"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6502BD" w:rsidP="00027744">
            <w:pPr>
              <w:spacing w:before="60"/>
              <w:jc w:val="center"/>
              <w:rPr>
                <w:rFonts w:ascii="Calibri" w:hAnsi="Calibri" w:cs="Calibri"/>
                <w:sz w:val="24"/>
                <w:szCs w:val="24"/>
              </w:rPr>
            </w:pPr>
            <w:r>
              <w:rPr>
                <w:rFonts w:ascii="Calibri" w:hAnsi="Calibri" w:cs="Calibri"/>
                <w:sz w:val="24"/>
                <w:szCs w:val="24"/>
              </w:rPr>
              <w:t>MÁRIO POVIA</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 xml:space="preserve">CPF Nº </w:t>
            </w:r>
            <w:r w:rsidR="006502BD">
              <w:rPr>
                <w:rFonts w:ascii="Calibri" w:hAnsi="Calibri" w:cs="Calibri"/>
                <w:sz w:val="24"/>
                <w:szCs w:val="24"/>
              </w:rPr>
              <w:t>052</w:t>
            </w:r>
            <w:r w:rsidR="006502BD" w:rsidRPr="00312424">
              <w:rPr>
                <w:rFonts w:ascii="Calibri" w:hAnsi="Calibri" w:cs="Calibri"/>
                <w:sz w:val="24"/>
                <w:szCs w:val="24"/>
              </w:rPr>
              <w:t>.</w:t>
            </w:r>
            <w:r w:rsidR="006502BD">
              <w:rPr>
                <w:rFonts w:ascii="Calibri" w:hAnsi="Calibri" w:cs="Calibri"/>
                <w:sz w:val="24"/>
                <w:szCs w:val="24"/>
              </w:rPr>
              <w:t>473</w:t>
            </w:r>
            <w:r w:rsidR="006502BD" w:rsidRPr="00312424">
              <w:rPr>
                <w:rFonts w:ascii="Calibri" w:hAnsi="Calibri" w:cs="Calibri"/>
                <w:sz w:val="24"/>
                <w:szCs w:val="24"/>
              </w:rPr>
              <w:t>.</w:t>
            </w:r>
            <w:r w:rsidR="006502BD">
              <w:rPr>
                <w:rFonts w:ascii="Calibri" w:hAnsi="Calibri" w:cs="Calibri"/>
                <w:sz w:val="24"/>
                <w:szCs w:val="24"/>
              </w:rPr>
              <w:t>918</w:t>
            </w:r>
            <w:r w:rsidR="006502BD" w:rsidRPr="00312424">
              <w:rPr>
                <w:rFonts w:ascii="Calibri" w:hAnsi="Calibri" w:cs="Calibri"/>
                <w:sz w:val="24"/>
                <w:szCs w:val="24"/>
              </w:rPr>
              <w:t>-</w:t>
            </w:r>
            <w:r w:rsidR="006502BD">
              <w:rPr>
                <w:rFonts w:ascii="Calibri" w:hAnsi="Calibri" w:cs="Calibri"/>
                <w:sz w:val="24"/>
                <w:szCs w:val="24"/>
              </w:rPr>
              <w:t>88</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Pr="00312424" w:rsidRDefault="00C16DDB"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6502BD" w:rsidP="00027744">
            <w:pPr>
              <w:spacing w:before="60"/>
              <w:jc w:val="center"/>
              <w:rPr>
                <w:rFonts w:ascii="Calibri" w:hAnsi="Calibri" w:cs="Calibri"/>
                <w:sz w:val="24"/>
                <w:szCs w:val="24"/>
              </w:rPr>
            </w:pPr>
            <w:r>
              <w:rPr>
                <w:rFonts w:ascii="Calibri" w:hAnsi="Calibri" w:cs="Calibri"/>
                <w:sz w:val="24"/>
                <w:szCs w:val="24"/>
              </w:rPr>
              <w:t>INDALECIO CASTILHO VILLA ALVAREZ</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Pr>
                <w:rFonts w:ascii="Calibri" w:hAnsi="Calibri" w:cs="Calibri"/>
                <w:sz w:val="24"/>
                <w:szCs w:val="24"/>
              </w:rPr>
              <w:t xml:space="preserve"> 110913/O-7</w:t>
            </w:r>
            <w:r w:rsidR="00C16DDB" w:rsidRPr="00312424">
              <w:rPr>
                <w:rFonts w:ascii="Calibri" w:hAnsi="Calibri" w:cs="Calibri"/>
                <w:sz w:val="24"/>
                <w:szCs w:val="24"/>
              </w:rPr>
              <w:t xml:space="preserve"> </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 xml:space="preserve">CPF Nº </w:t>
            </w:r>
            <w:r w:rsidR="006502BD">
              <w:rPr>
                <w:rFonts w:ascii="Calibri" w:hAnsi="Calibri" w:cs="Calibri"/>
                <w:sz w:val="24"/>
                <w:szCs w:val="24"/>
              </w:rPr>
              <w:t>370.592.387-00</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69730B" w:rsidRPr="00312424" w:rsidRDefault="0069730B">
      <w:pPr>
        <w:rPr>
          <w:rFonts w:ascii="Calibri" w:hAnsi="Calibri" w:cs="Calibri"/>
          <w:sz w:val="24"/>
          <w:szCs w:val="24"/>
        </w:rPr>
        <w:sectPr w:rsidR="0069730B" w:rsidRPr="00312424" w:rsidSect="00B455BA">
          <w:headerReference w:type="default" r:id="rId19"/>
          <w:footerReference w:type="default" r:id="rId20"/>
          <w:headerReference w:type="first" r:id="rId21"/>
          <w:footerReference w:type="first" r:id="rId22"/>
          <w:pgSz w:w="11907" w:h="16840" w:code="9"/>
          <w:pgMar w:top="2268" w:right="851" w:bottom="680" w:left="1077" w:header="567" w:footer="454" w:gutter="0"/>
          <w:cols w:space="720"/>
          <w:docGrid w:linePitch="272"/>
        </w:sectPr>
      </w:pPr>
    </w:p>
    <w:p w:rsidR="00BD6B08" w:rsidRPr="00137FAC" w:rsidRDefault="00BD6B08" w:rsidP="00781D86">
      <w:pPr>
        <w:tabs>
          <w:tab w:val="left" w:pos="4758"/>
        </w:tabs>
        <w:rPr>
          <w:rFonts w:ascii="Calibri" w:hAnsi="Calibri" w:cs="Calibri"/>
          <w:sz w:val="24"/>
          <w:szCs w:val="24"/>
        </w:rPr>
      </w:pPr>
    </w:p>
    <w:sectPr w:rsidR="00BD6B08" w:rsidRPr="00137FAC" w:rsidSect="00781D86">
      <w:headerReference w:type="default" r:id="rId23"/>
      <w:footerReference w:type="default" r:id="rId24"/>
      <w:pgSz w:w="11907" w:h="16840" w:code="9"/>
      <w:pgMar w:top="851" w:right="851" w:bottom="1361" w:left="851" w:header="306"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45" w:rsidRPr="00E936EC" w:rsidRDefault="008F1F45">
      <w:pPr>
        <w:rPr>
          <w:sz w:val="18"/>
          <w:szCs w:val="18"/>
        </w:rPr>
      </w:pPr>
      <w:r w:rsidRPr="00E936EC">
        <w:rPr>
          <w:sz w:val="18"/>
          <w:szCs w:val="18"/>
        </w:rPr>
        <w:separator/>
      </w:r>
    </w:p>
  </w:endnote>
  <w:endnote w:type="continuationSeparator" w:id="0">
    <w:p w:rsidR="008F1F45" w:rsidRPr="00E936EC" w:rsidRDefault="008F1F45">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C6" w:rsidRPr="00E936EC" w:rsidRDefault="00EF5DC6">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8E7247">
      <w:rPr>
        <w:noProof/>
        <w:sz w:val="18"/>
        <w:szCs w:val="18"/>
      </w:rPr>
      <w:t>34</w:t>
    </w:r>
    <w:r w:rsidRPr="00E936EC">
      <w:rPr>
        <w:sz w:val="18"/>
        <w:szCs w:val="18"/>
      </w:rPr>
      <w:fldChar w:fldCharType="end"/>
    </w:r>
  </w:p>
  <w:p w:rsidR="00EF5DC6" w:rsidRPr="00E936EC" w:rsidRDefault="00EF5DC6">
    <w:pPr>
      <w:pStyle w:val="Rodap"/>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C6" w:rsidRPr="00E936EC" w:rsidRDefault="00EF5DC6">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Pr>
        <w:noProof/>
        <w:sz w:val="18"/>
        <w:szCs w:val="18"/>
      </w:rPr>
      <w:t>23</w:t>
    </w:r>
    <w:r w:rsidRPr="00E936EC">
      <w:rPr>
        <w:sz w:val="18"/>
        <w:szCs w:val="18"/>
      </w:rPr>
      <w:fldChar w:fldCharType="end"/>
    </w:r>
  </w:p>
  <w:p w:rsidR="00EF5DC6" w:rsidRDefault="00EF5DC6">
    <w:pPr>
      <w:pStyle w:val="Rodap"/>
      <w:rPr>
        <w:rFonts w:ascii="Arial" w:hAnsi="Arial" w:cs="Arial"/>
        <w:b/>
        <w:sz w:val="16"/>
        <w:szCs w:val="16"/>
      </w:rPr>
    </w:pPr>
  </w:p>
  <w:p w:rsidR="00EF5DC6" w:rsidRPr="00E936EC" w:rsidRDefault="00EF5DC6" w:rsidP="00027435">
    <w:pPr>
      <w:pStyle w:val="Rodap"/>
      <w:jc w:val="center"/>
      <w:rPr>
        <w:sz w:val="18"/>
        <w:szCs w:val="18"/>
      </w:rPr>
    </w:pPr>
    <w:r w:rsidRPr="00E936EC">
      <w:rPr>
        <w:rFonts w:ascii="Arial" w:hAnsi="Arial" w:cs="Arial"/>
        <w:b/>
        <w:sz w:val="16"/>
        <w:szCs w:val="16"/>
      </w:rPr>
      <w:t>As notas explicativas fazem parte das demonstrações contábeis.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C6" w:rsidRPr="00E936EC" w:rsidRDefault="00EF5DC6">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8E7247">
      <w:rPr>
        <w:noProof/>
        <w:sz w:val="18"/>
        <w:szCs w:val="18"/>
      </w:rPr>
      <w:t>38</w:t>
    </w:r>
    <w:r w:rsidRPr="00E936EC">
      <w:rPr>
        <w:sz w:val="18"/>
        <w:szCs w:val="18"/>
      </w:rPr>
      <w:fldChar w:fldCharType="end"/>
    </w:r>
  </w:p>
  <w:p w:rsidR="00EF5DC6" w:rsidRPr="00E936EC" w:rsidRDefault="00EF5DC6">
    <w:pPr>
      <w:pStyle w:val="Rodap"/>
      <w:jc w:val="center"/>
      <w:rPr>
        <w:sz w:val="18"/>
        <w:szCs w:val="18"/>
      </w:rPr>
    </w:pPr>
  </w:p>
  <w:p w:rsidR="00EF5DC6" w:rsidRPr="00E936EC" w:rsidRDefault="00EF5DC6"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EF5DC6" w:rsidRPr="00E936EC" w:rsidRDefault="00EF5DC6" w:rsidP="00163699">
    <w:pPr>
      <w:pStyle w:val="Rodap"/>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45" w:rsidRPr="00E936EC" w:rsidRDefault="008F1F45">
      <w:pPr>
        <w:rPr>
          <w:sz w:val="18"/>
          <w:szCs w:val="18"/>
        </w:rPr>
      </w:pPr>
      <w:r w:rsidRPr="00E936EC">
        <w:rPr>
          <w:sz w:val="18"/>
          <w:szCs w:val="18"/>
        </w:rPr>
        <w:separator/>
      </w:r>
    </w:p>
  </w:footnote>
  <w:footnote w:type="continuationSeparator" w:id="0">
    <w:p w:rsidR="008F1F45" w:rsidRPr="00E936EC" w:rsidRDefault="008F1F45">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C6" w:rsidRPr="00E936EC" w:rsidRDefault="00EF5DC6">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0560" behindDoc="0" locked="0" layoutInCell="0" allowOverlap="1">
          <wp:simplePos x="0" y="0"/>
          <wp:positionH relativeFrom="column">
            <wp:posOffset>745490</wp:posOffset>
          </wp:positionH>
          <wp:positionV relativeFrom="paragraph">
            <wp:posOffset>29210</wp:posOffset>
          </wp:positionV>
          <wp:extent cx="4813300" cy="915035"/>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DC6" w:rsidRPr="00E936EC" w:rsidRDefault="00EF5DC6">
    <w:pPr>
      <w:pStyle w:val="Cabealho"/>
      <w:rPr>
        <w:rFonts w:ascii="Arial" w:hAnsi="Arial"/>
        <w:sz w:val="19"/>
        <w:szCs w:val="19"/>
      </w:rPr>
    </w:pPr>
  </w:p>
  <w:p w:rsidR="00EF5DC6" w:rsidRPr="00E936EC" w:rsidRDefault="00EF5DC6">
    <w:pPr>
      <w:pStyle w:val="Cabealho"/>
      <w:rPr>
        <w:rFonts w:ascii="Arial" w:hAnsi="Arial"/>
        <w:sz w:val="19"/>
        <w:szCs w:val="19"/>
      </w:rPr>
    </w:pPr>
  </w:p>
  <w:p w:rsidR="00EF5DC6" w:rsidRPr="00E936EC" w:rsidRDefault="00EF5DC6">
    <w:pPr>
      <w:pStyle w:val="Cabealho"/>
      <w:rPr>
        <w:rFonts w:ascii="Arial" w:hAnsi="Arial"/>
        <w:sz w:val="19"/>
        <w:szCs w:val="19"/>
      </w:rPr>
    </w:pPr>
  </w:p>
  <w:p w:rsidR="00EF5DC6" w:rsidRPr="00E936EC" w:rsidRDefault="00EF5DC6">
    <w:pPr>
      <w:pStyle w:val="Cabealho"/>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2848" behindDoc="0" locked="0" layoutInCell="0" allowOverlap="1">
              <wp:simplePos x="0" y="0"/>
              <wp:positionH relativeFrom="column">
                <wp:posOffset>3950335</wp:posOffset>
              </wp:positionH>
              <wp:positionV relativeFrom="paragraph">
                <wp:posOffset>274320</wp:posOffset>
              </wp:positionV>
              <wp:extent cx="180467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D511DA" id="Rectangle 19" o:spid="_x0000_s1026" style="position:absolute;margin-left:311.05pt;margin-top:21.6pt;width:142.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1824"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D717D0" id="Rectangle 18" o:spid="_x0000_s1026" style="position:absolute;margin-left:47.05pt;margin-top:21.6pt;width:14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0800"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36B55D" id="Rectangle 17" o:spid="_x0000_s1026" style="position:absolute;margin-left:47.05pt;margin-top:21.6pt;width:14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" o:allowincell="f" filled="f" stroked="f" strokecolor="white" strokeweight="0"/>
          </w:pict>
        </mc:Fallback>
      </mc:AlternateContent>
    </w:r>
    <w:r w:rsidRPr="00E936EC">
      <w:rPr>
        <w:rFonts w:ascii="Arial" w:hAnsi="Arial"/>
        <w:noProof/>
        <w:snapToGrid/>
        <w:sz w:val="18"/>
        <w:szCs w:val="18"/>
      </w:rPr>
      <mc:AlternateContent>
        <mc:Choice Requires="wps">
          <w:drawing>
            <wp:anchor distT="0" distB="0" distL="114300" distR="114300" simplePos="0" relativeHeight="251649536" behindDoc="0" locked="0" layoutInCell="0" allowOverlap="1">
              <wp:simplePos x="0" y="0"/>
              <wp:positionH relativeFrom="column">
                <wp:posOffset>3894455</wp:posOffset>
              </wp:positionH>
              <wp:positionV relativeFrom="paragraph">
                <wp:posOffset>75565</wp:posOffset>
              </wp:positionV>
              <wp:extent cx="213487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67351CC"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5.95pt" to="47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J0Fg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48512" behindDoc="0" locked="0" layoutInCell="0" allowOverlap="1">
              <wp:simplePos x="0" y="0"/>
              <wp:positionH relativeFrom="column">
                <wp:posOffset>268605</wp:posOffset>
              </wp:positionH>
              <wp:positionV relativeFrom="paragraph">
                <wp:posOffset>86995</wp:posOffset>
              </wp:positionV>
              <wp:extent cx="2133600" cy="127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17932C" id="Line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85pt" to="18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" o:allowincell="f" strokecolor="#36f" strokeweight="1.7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C6" w:rsidRPr="00E936EC" w:rsidRDefault="00EF5DC6">
    <w:pPr>
      <w:pStyle w:val="Cabealho"/>
      <w:rPr>
        <w:sz w:val="18"/>
        <w:szCs w:val="18"/>
      </w:rPr>
    </w:pPr>
    <w:r w:rsidRPr="00E936EC">
      <w:rPr>
        <w:noProof/>
        <w:snapToGrid/>
        <w:sz w:val="18"/>
        <w:szCs w:val="18"/>
      </w:rPr>
      <w:drawing>
        <wp:anchor distT="0" distB="0" distL="114300" distR="114300" simplePos="0" relativeHeight="251653632" behindDoc="0" locked="0" layoutInCell="0" allowOverlap="1">
          <wp:simplePos x="0" y="0"/>
          <wp:positionH relativeFrom="column">
            <wp:posOffset>891540</wp:posOffset>
          </wp:positionH>
          <wp:positionV relativeFrom="paragraph">
            <wp:posOffset>-48260</wp:posOffset>
          </wp:positionV>
          <wp:extent cx="4319905" cy="906780"/>
          <wp:effectExtent l="0" t="0" r="0" b="762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EC">
      <w:rPr>
        <w:noProof/>
        <w:snapToGrid/>
        <w:sz w:val="18"/>
        <w:szCs w:val="18"/>
      </w:rPr>
      <mc:AlternateContent>
        <mc:Choice Requires="wps">
          <w:drawing>
            <wp:anchor distT="0" distB="0" distL="114300" distR="114300" simplePos="0" relativeHeight="251652608" behindDoc="0" locked="0" layoutInCell="0" allowOverlap="1">
              <wp:simplePos x="0" y="0"/>
              <wp:positionH relativeFrom="column">
                <wp:posOffset>3787775</wp:posOffset>
              </wp:positionH>
              <wp:positionV relativeFrom="paragraph">
                <wp:posOffset>581660</wp:posOffset>
              </wp:positionV>
              <wp:extent cx="2134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98816A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5.8pt" to="46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" o:allowincell="f" strokecolor="#36f" strokeweight="1.75pt"/>
          </w:pict>
        </mc:Fallback>
      </mc:AlternateContent>
    </w:r>
    <w:r w:rsidRPr="00E936EC">
      <w:rPr>
        <w:noProof/>
        <w:snapToGrid/>
        <w:sz w:val="18"/>
        <w:szCs w:val="18"/>
      </w:rP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593090</wp:posOffset>
              </wp:positionV>
              <wp:extent cx="213360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CF89EF2"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6.7pt" to="18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1HgIAADY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" o:allowincell="f" strokecolor="#36f"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C6" w:rsidRPr="00E936EC" w:rsidRDefault="00EF5DC6">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DC6" w:rsidRPr="00E936EC" w:rsidRDefault="00EF5DC6">
    <w:pPr>
      <w:pStyle w:val="Cabealho"/>
      <w:rPr>
        <w:rFonts w:ascii="Arial" w:hAnsi="Arial"/>
        <w:sz w:val="19"/>
        <w:szCs w:val="19"/>
      </w:rPr>
    </w:pPr>
  </w:p>
  <w:p w:rsidR="00EF5DC6" w:rsidRPr="00E936EC" w:rsidRDefault="00EF5DC6">
    <w:pPr>
      <w:pStyle w:val="Cabealho"/>
      <w:rPr>
        <w:rFonts w:ascii="Arial" w:hAnsi="Arial"/>
        <w:sz w:val="19"/>
        <w:szCs w:val="19"/>
      </w:rPr>
    </w:pPr>
  </w:p>
  <w:p w:rsidR="00EF5DC6" w:rsidRPr="00E936EC" w:rsidRDefault="00EF5DC6">
    <w:pPr>
      <w:pStyle w:val="Cabealho"/>
      <w:rPr>
        <w:rFonts w:ascii="Arial" w:hAnsi="Arial"/>
        <w:sz w:val="19"/>
        <w:szCs w:val="19"/>
      </w:rPr>
    </w:pPr>
  </w:p>
  <w:p w:rsidR="00EF5DC6" w:rsidRPr="00E936EC" w:rsidRDefault="00EF5DC6">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3B7"/>
    <w:multiLevelType w:val="multilevel"/>
    <w:tmpl w:val="3D22CE90"/>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68C5E29"/>
    <w:multiLevelType w:val="hybridMultilevel"/>
    <w:tmpl w:val="995A7F5E"/>
    <w:lvl w:ilvl="0" w:tplc="5998992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8">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881E5B"/>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4E5018"/>
    <w:multiLevelType w:val="hybridMultilevel"/>
    <w:tmpl w:val="EBA6E39C"/>
    <w:lvl w:ilvl="0" w:tplc="14AC55F0">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36F1371"/>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34CE71DC"/>
    <w:multiLevelType w:val="hybridMultilevel"/>
    <w:tmpl w:val="B5EEE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B62A2F"/>
    <w:multiLevelType w:val="multilevel"/>
    <w:tmpl w:val="FDDEDE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911703"/>
    <w:multiLevelType w:val="multilevel"/>
    <w:tmpl w:val="E3503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abstractNum w:abstractNumId="22">
    <w:nsid w:val="61414C40"/>
    <w:multiLevelType w:val="multilevel"/>
    <w:tmpl w:val="EB388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D683A"/>
    <w:multiLevelType w:val="multilevel"/>
    <w:tmpl w:val="9E80FCC4"/>
    <w:lvl w:ilvl="0">
      <w:start w:val="19"/>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5DB44F5"/>
    <w:multiLevelType w:val="hybridMultilevel"/>
    <w:tmpl w:val="14AA1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3604CE"/>
    <w:multiLevelType w:val="hybridMultilevel"/>
    <w:tmpl w:val="DFCC5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F6FD8"/>
    <w:multiLevelType w:val="multilevel"/>
    <w:tmpl w:val="052259FA"/>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CF716E5"/>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lvlOverride w:ilvl="0">
      <w:startOverride w:val="1"/>
    </w:lvlOverride>
  </w:num>
  <w:num w:numId="2">
    <w:abstractNumId w:val="3"/>
  </w:num>
  <w:num w:numId="3">
    <w:abstractNumId w:val="7"/>
  </w:num>
  <w:num w:numId="4">
    <w:abstractNumId w:val="17"/>
  </w:num>
  <w:num w:numId="5">
    <w:abstractNumId w:val="18"/>
  </w:num>
  <w:num w:numId="6">
    <w:abstractNumId w:val="15"/>
  </w:num>
  <w:num w:numId="7">
    <w:abstractNumId w:val="6"/>
  </w:num>
  <w:num w:numId="8">
    <w:abstractNumId w:val="20"/>
  </w:num>
  <w:num w:numId="9">
    <w:abstractNumId w:val="8"/>
  </w:num>
  <w:num w:numId="10">
    <w:abstractNumId w:val="4"/>
  </w:num>
  <w:num w:numId="11">
    <w:abstractNumId w:val="19"/>
  </w:num>
  <w:num w:numId="12">
    <w:abstractNumId w:val="5"/>
  </w:num>
  <w:num w:numId="13">
    <w:abstractNumId w:val="1"/>
  </w:num>
  <w:num w:numId="14">
    <w:abstractNumId w:val="12"/>
  </w:num>
  <w:num w:numId="15">
    <w:abstractNumId w:val="0"/>
  </w:num>
  <w:num w:numId="16">
    <w:abstractNumId w:val="13"/>
  </w:num>
  <w:num w:numId="17">
    <w:abstractNumId w:val="9"/>
  </w:num>
  <w:num w:numId="18">
    <w:abstractNumId w:val="23"/>
  </w:num>
  <w:num w:numId="19">
    <w:abstractNumId w:val="26"/>
  </w:num>
  <w:num w:numId="20">
    <w:abstractNumId w:val="25"/>
  </w:num>
  <w:num w:numId="21">
    <w:abstractNumId w:val="27"/>
  </w:num>
  <w:num w:numId="22">
    <w:abstractNumId w:val="11"/>
  </w:num>
  <w:num w:numId="23">
    <w:abstractNumId w:val="22"/>
  </w:num>
  <w:num w:numId="24">
    <w:abstractNumId w:val="16"/>
  </w:num>
  <w:num w:numId="25">
    <w:abstractNumId w:val="1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131078" w:nlCheck="1" w:checkStyle="0"/>
  <w:activeWritingStyle w:appName="MSWord" w:lang="en-US" w:vendorID="64" w:dllVersion="131078" w:nlCheck="1" w:checkStyle="0"/>
  <w:proofState w:spelling="clean" w:grammar="clean"/>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16CA"/>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3A1"/>
    <w:rsid w:val="000136D0"/>
    <w:rsid w:val="0001404D"/>
    <w:rsid w:val="00014E44"/>
    <w:rsid w:val="000152AE"/>
    <w:rsid w:val="000160DD"/>
    <w:rsid w:val="00020A69"/>
    <w:rsid w:val="00021231"/>
    <w:rsid w:val="00021401"/>
    <w:rsid w:val="00021B9C"/>
    <w:rsid w:val="00021C1D"/>
    <w:rsid w:val="000223D7"/>
    <w:rsid w:val="00023842"/>
    <w:rsid w:val="00023EAB"/>
    <w:rsid w:val="00023FDC"/>
    <w:rsid w:val="00024192"/>
    <w:rsid w:val="00024479"/>
    <w:rsid w:val="00024B8B"/>
    <w:rsid w:val="00025AB9"/>
    <w:rsid w:val="00027435"/>
    <w:rsid w:val="00027744"/>
    <w:rsid w:val="00030FD3"/>
    <w:rsid w:val="0003317E"/>
    <w:rsid w:val="00033393"/>
    <w:rsid w:val="00033E32"/>
    <w:rsid w:val="00033EF0"/>
    <w:rsid w:val="00035920"/>
    <w:rsid w:val="00036322"/>
    <w:rsid w:val="000372E3"/>
    <w:rsid w:val="0003782C"/>
    <w:rsid w:val="00040CF5"/>
    <w:rsid w:val="00040E4F"/>
    <w:rsid w:val="0004124E"/>
    <w:rsid w:val="000414F4"/>
    <w:rsid w:val="00041935"/>
    <w:rsid w:val="00043160"/>
    <w:rsid w:val="0004363C"/>
    <w:rsid w:val="00044057"/>
    <w:rsid w:val="00044353"/>
    <w:rsid w:val="000451F4"/>
    <w:rsid w:val="00045A90"/>
    <w:rsid w:val="0004656E"/>
    <w:rsid w:val="00046708"/>
    <w:rsid w:val="0005099F"/>
    <w:rsid w:val="00052952"/>
    <w:rsid w:val="00052DE7"/>
    <w:rsid w:val="00052FC4"/>
    <w:rsid w:val="00054247"/>
    <w:rsid w:val="00054375"/>
    <w:rsid w:val="00054DC6"/>
    <w:rsid w:val="00055920"/>
    <w:rsid w:val="000560AC"/>
    <w:rsid w:val="000571C8"/>
    <w:rsid w:val="000604CA"/>
    <w:rsid w:val="00060B4C"/>
    <w:rsid w:val="00061761"/>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19FC"/>
    <w:rsid w:val="0008233F"/>
    <w:rsid w:val="000831FD"/>
    <w:rsid w:val="000834BE"/>
    <w:rsid w:val="000836A7"/>
    <w:rsid w:val="00083E7F"/>
    <w:rsid w:val="00085185"/>
    <w:rsid w:val="00085828"/>
    <w:rsid w:val="00086915"/>
    <w:rsid w:val="00087833"/>
    <w:rsid w:val="00087A19"/>
    <w:rsid w:val="00090B73"/>
    <w:rsid w:val="00091005"/>
    <w:rsid w:val="00092085"/>
    <w:rsid w:val="00092591"/>
    <w:rsid w:val="000928E9"/>
    <w:rsid w:val="00093B60"/>
    <w:rsid w:val="00094368"/>
    <w:rsid w:val="000943B2"/>
    <w:rsid w:val="00096CBC"/>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E1F2C"/>
    <w:rsid w:val="000E32C9"/>
    <w:rsid w:val="000E4A45"/>
    <w:rsid w:val="000E4DE3"/>
    <w:rsid w:val="000E502D"/>
    <w:rsid w:val="000E535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0343"/>
    <w:rsid w:val="0010263C"/>
    <w:rsid w:val="001061D7"/>
    <w:rsid w:val="0010653C"/>
    <w:rsid w:val="00107E03"/>
    <w:rsid w:val="0011024F"/>
    <w:rsid w:val="0011080B"/>
    <w:rsid w:val="00110CF3"/>
    <w:rsid w:val="00114BE0"/>
    <w:rsid w:val="00114C94"/>
    <w:rsid w:val="001159F8"/>
    <w:rsid w:val="001163F0"/>
    <w:rsid w:val="00116D7B"/>
    <w:rsid w:val="0012075E"/>
    <w:rsid w:val="00120A36"/>
    <w:rsid w:val="0012137D"/>
    <w:rsid w:val="001216CE"/>
    <w:rsid w:val="0012192C"/>
    <w:rsid w:val="0012221C"/>
    <w:rsid w:val="00122C06"/>
    <w:rsid w:val="00124C08"/>
    <w:rsid w:val="0012521A"/>
    <w:rsid w:val="001279DF"/>
    <w:rsid w:val="00130C9E"/>
    <w:rsid w:val="0013153B"/>
    <w:rsid w:val="001328F7"/>
    <w:rsid w:val="00132D5C"/>
    <w:rsid w:val="00133904"/>
    <w:rsid w:val="00133F42"/>
    <w:rsid w:val="00134247"/>
    <w:rsid w:val="001342A9"/>
    <w:rsid w:val="00134FE5"/>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3B3C"/>
    <w:rsid w:val="00157F19"/>
    <w:rsid w:val="00161F48"/>
    <w:rsid w:val="001621DD"/>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1E69"/>
    <w:rsid w:val="00173E77"/>
    <w:rsid w:val="00174345"/>
    <w:rsid w:val="00176839"/>
    <w:rsid w:val="00176CAD"/>
    <w:rsid w:val="00177B3F"/>
    <w:rsid w:val="00177EA3"/>
    <w:rsid w:val="001807AC"/>
    <w:rsid w:val="00180D19"/>
    <w:rsid w:val="00181D77"/>
    <w:rsid w:val="00183137"/>
    <w:rsid w:val="0018356D"/>
    <w:rsid w:val="00184338"/>
    <w:rsid w:val="0018494B"/>
    <w:rsid w:val="00184A68"/>
    <w:rsid w:val="0018550A"/>
    <w:rsid w:val="0018591A"/>
    <w:rsid w:val="001872AB"/>
    <w:rsid w:val="001873E7"/>
    <w:rsid w:val="00187847"/>
    <w:rsid w:val="00191677"/>
    <w:rsid w:val="00192B5B"/>
    <w:rsid w:val="00194860"/>
    <w:rsid w:val="00194F28"/>
    <w:rsid w:val="00195C1D"/>
    <w:rsid w:val="001968AF"/>
    <w:rsid w:val="00196E9F"/>
    <w:rsid w:val="00197369"/>
    <w:rsid w:val="001977F8"/>
    <w:rsid w:val="00197D3F"/>
    <w:rsid w:val="001A0042"/>
    <w:rsid w:val="001A0947"/>
    <w:rsid w:val="001A09B5"/>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45CF"/>
    <w:rsid w:val="001B5476"/>
    <w:rsid w:val="001B6C63"/>
    <w:rsid w:val="001B7407"/>
    <w:rsid w:val="001C0C95"/>
    <w:rsid w:val="001C0FBF"/>
    <w:rsid w:val="001C1D10"/>
    <w:rsid w:val="001C2378"/>
    <w:rsid w:val="001C2BAF"/>
    <w:rsid w:val="001C3830"/>
    <w:rsid w:val="001C3973"/>
    <w:rsid w:val="001C3A13"/>
    <w:rsid w:val="001C425C"/>
    <w:rsid w:val="001C4695"/>
    <w:rsid w:val="001C59B4"/>
    <w:rsid w:val="001C60A0"/>
    <w:rsid w:val="001D1288"/>
    <w:rsid w:val="001D168D"/>
    <w:rsid w:val="001D17C2"/>
    <w:rsid w:val="001D29C6"/>
    <w:rsid w:val="001D37D4"/>
    <w:rsid w:val="001D3B68"/>
    <w:rsid w:val="001D4EEF"/>
    <w:rsid w:val="001D4F78"/>
    <w:rsid w:val="001D56E0"/>
    <w:rsid w:val="001D5CF9"/>
    <w:rsid w:val="001D6E0F"/>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1F7BAD"/>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17B"/>
    <w:rsid w:val="00215501"/>
    <w:rsid w:val="0021680F"/>
    <w:rsid w:val="00217A0E"/>
    <w:rsid w:val="00220E93"/>
    <w:rsid w:val="00221B1F"/>
    <w:rsid w:val="00221E9F"/>
    <w:rsid w:val="0022330E"/>
    <w:rsid w:val="0022426B"/>
    <w:rsid w:val="00226799"/>
    <w:rsid w:val="0023080F"/>
    <w:rsid w:val="00231CD6"/>
    <w:rsid w:val="00232E4F"/>
    <w:rsid w:val="00235155"/>
    <w:rsid w:val="002355FE"/>
    <w:rsid w:val="00235C4E"/>
    <w:rsid w:val="00235DA2"/>
    <w:rsid w:val="0023787B"/>
    <w:rsid w:val="002404CE"/>
    <w:rsid w:val="0024122B"/>
    <w:rsid w:val="00242A29"/>
    <w:rsid w:val="002438DD"/>
    <w:rsid w:val="00243CC3"/>
    <w:rsid w:val="00244936"/>
    <w:rsid w:val="00246180"/>
    <w:rsid w:val="002500FC"/>
    <w:rsid w:val="002503C9"/>
    <w:rsid w:val="00250513"/>
    <w:rsid w:val="0025154A"/>
    <w:rsid w:val="002516A3"/>
    <w:rsid w:val="00253D9D"/>
    <w:rsid w:val="0025420F"/>
    <w:rsid w:val="002546CA"/>
    <w:rsid w:val="0025482B"/>
    <w:rsid w:val="00255A54"/>
    <w:rsid w:val="00255F2E"/>
    <w:rsid w:val="002561F2"/>
    <w:rsid w:val="00256A74"/>
    <w:rsid w:val="00256C07"/>
    <w:rsid w:val="00256CEC"/>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22E1"/>
    <w:rsid w:val="00283B1F"/>
    <w:rsid w:val="0028437E"/>
    <w:rsid w:val="002845F9"/>
    <w:rsid w:val="002856C3"/>
    <w:rsid w:val="002859C2"/>
    <w:rsid w:val="00286C86"/>
    <w:rsid w:val="00287F80"/>
    <w:rsid w:val="00290B80"/>
    <w:rsid w:val="00292AD0"/>
    <w:rsid w:val="00293011"/>
    <w:rsid w:val="00293B13"/>
    <w:rsid w:val="00294B8B"/>
    <w:rsid w:val="00294F88"/>
    <w:rsid w:val="002955AD"/>
    <w:rsid w:val="00295658"/>
    <w:rsid w:val="00295ABC"/>
    <w:rsid w:val="00296CF1"/>
    <w:rsid w:val="002A182A"/>
    <w:rsid w:val="002A2E73"/>
    <w:rsid w:val="002A37B0"/>
    <w:rsid w:val="002A3D92"/>
    <w:rsid w:val="002A47F5"/>
    <w:rsid w:val="002A53C1"/>
    <w:rsid w:val="002A61D0"/>
    <w:rsid w:val="002A7BFC"/>
    <w:rsid w:val="002B0424"/>
    <w:rsid w:val="002B1438"/>
    <w:rsid w:val="002B5772"/>
    <w:rsid w:val="002B60C7"/>
    <w:rsid w:val="002B67BF"/>
    <w:rsid w:val="002B731E"/>
    <w:rsid w:val="002B767F"/>
    <w:rsid w:val="002B76E9"/>
    <w:rsid w:val="002C0682"/>
    <w:rsid w:val="002C1020"/>
    <w:rsid w:val="002C1032"/>
    <w:rsid w:val="002C1723"/>
    <w:rsid w:val="002C4086"/>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4B3"/>
    <w:rsid w:val="002F0A51"/>
    <w:rsid w:val="002F17BC"/>
    <w:rsid w:val="002F1F08"/>
    <w:rsid w:val="002F2510"/>
    <w:rsid w:val="002F26B7"/>
    <w:rsid w:val="002F3EE1"/>
    <w:rsid w:val="002F5799"/>
    <w:rsid w:val="002F7F45"/>
    <w:rsid w:val="0030182C"/>
    <w:rsid w:val="003018DF"/>
    <w:rsid w:val="00302089"/>
    <w:rsid w:val="00304547"/>
    <w:rsid w:val="00304C32"/>
    <w:rsid w:val="003065CE"/>
    <w:rsid w:val="00307913"/>
    <w:rsid w:val="00311151"/>
    <w:rsid w:val="0031166B"/>
    <w:rsid w:val="00312424"/>
    <w:rsid w:val="00312775"/>
    <w:rsid w:val="00314260"/>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3F79"/>
    <w:rsid w:val="003357DF"/>
    <w:rsid w:val="00335B02"/>
    <w:rsid w:val="0033670E"/>
    <w:rsid w:val="003372B3"/>
    <w:rsid w:val="00337DE3"/>
    <w:rsid w:val="00340F54"/>
    <w:rsid w:val="00340FB0"/>
    <w:rsid w:val="00341052"/>
    <w:rsid w:val="003419F7"/>
    <w:rsid w:val="0034224C"/>
    <w:rsid w:val="00342EDC"/>
    <w:rsid w:val="00344319"/>
    <w:rsid w:val="0034468D"/>
    <w:rsid w:val="0034579F"/>
    <w:rsid w:val="00345CD5"/>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038"/>
    <w:rsid w:val="00363768"/>
    <w:rsid w:val="0036376B"/>
    <w:rsid w:val="00364E21"/>
    <w:rsid w:val="003650E4"/>
    <w:rsid w:val="00365294"/>
    <w:rsid w:val="00365A1B"/>
    <w:rsid w:val="00365EE9"/>
    <w:rsid w:val="0036637E"/>
    <w:rsid w:val="00367B07"/>
    <w:rsid w:val="00367C49"/>
    <w:rsid w:val="00367CE1"/>
    <w:rsid w:val="00367DA7"/>
    <w:rsid w:val="00370873"/>
    <w:rsid w:val="0037127A"/>
    <w:rsid w:val="003712D8"/>
    <w:rsid w:val="00371731"/>
    <w:rsid w:val="003736A2"/>
    <w:rsid w:val="00373F8D"/>
    <w:rsid w:val="0037439B"/>
    <w:rsid w:val="003746DB"/>
    <w:rsid w:val="0037535A"/>
    <w:rsid w:val="00375BE2"/>
    <w:rsid w:val="0037677E"/>
    <w:rsid w:val="003803D3"/>
    <w:rsid w:val="003807F8"/>
    <w:rsid w:val="0038109E"/>
    <w:rsid w:val="0038300E"/>
    <w:rsid w:val="00383B51"/>
    <w:rsid w:val="00386840"/>
    <w:rsid w:val="0038774F"/>
    <w:rsid w:val="0039092B"/>
    <w:rsid w:val="00391060"/>
    <w:rsid w:val="003924AB"/>
    <w:rsid w:val="003951A5"/>
    <w:rsid w:val="00395435"/>
    <w:rsid w:val="00395984"/>
    <w:rsid w:val="00395C02"/>
    <w:rsid w:val="003966BC"/>
    <w:rsid w:val="00396F7E"/>
    <w:rsid w:val="0039710A"/>
    <w:rsid w:val="00397799"/>
    <w:rsid w:val="003A00D9"/>
    <w:rsid w:val="003A045F"/>
    <w:rsid w:val="003A0BC0"/>
    <w:rsid w:val="003A19B4"/>
    <w:rsid w:val="003A4400"/>
    <w:rsid w:val="003A47E9"/>
    <w:rsid w:val="003A6E33"/>
    <w:rsid w:val="003A706C"/>
    <w:rsid w:val="003A77C6"/>
    <w:rsid w:val="003A7AFE"/>
    <w:rsid w:val="003B1083"/>
    <w:rsid w:val="003B1312"/>
    <w:rsid w:val="003B249D"/>
    <w:rsid w:val="003B2671"/>
    <w:rsid w:val="003B34EF"/>
    <w:rsid w:val="003B3EBD"/>
    <w:rsid w:val="003B44C1"/>
    <w:rsid w:val="003B452F"/>
    <w:rsid w:val="003B4A4C"/>
    <w:rsid w:val="003B4F3A"/>
    <w:rsid w:val="003B62C6"/>
    <w:rsid w:val="003B69AE"/>
    <w:rsid w:val="003C05B0"/>
    <w:rsid w:val="003C0DE4"/>
    <w:rsid w:val="003C1696"/>
    <w:rsid w:val="003C1C8F"/>
    <w:rsid w:val="003C2920"/>
    <w:rsid w:val="003C3422"/>
    <w:rsid w:val="003C6E53"/>
    <w:rsid w:val="003D07B8"/>
    <w:rsid w:val="003D09D7"/>
    <w:rsid w:val="003D152C"/>
    <w:rsid w:val="003D3B10"/>
    <w:rsid w:val="003D48A8"/>
    <w:rsid w:val="003D6D4B"/>
    <w:rsid w:val="003D6E60"/>
    <w:rsid w:val="003D77DC"/>
    <w:rsid w:val="003D7E34"/>
    <w:rsid w:val="003E0AFC"/>
    <w:rsid w:val="003E142B"/>
    <w:rsid w:val="003E1749"/>
    <w:rsid w:val="003E2EA5"/>
    <w:rsid w:val="003E3069"/>
    <w:rsid w:val="003E3623"/>
    <w:rsid w:val="003E36CA"/>
    <w:rsid w:val="003E3ACB"/>
    <w:rsid w:val="003E3C1A"/>
    <w:rsid w:val="003E4759"/>
    <w:rsid w:val="003E5C04"/>
    <w:rsid w:val="003E61E4"/>
    <w:rsid w:val="003E7F3A"/>
    <w:rsid w:val="003F2225"/>
    <w:rsid w:val="003F4FB3"/>
    <w:rsid w:val="003F66B7"/>
    <w:rsid w:val="003F6C4F"/>
    <w:rsid w:val="003F70EF"/>
    <w:rsid w:val="0040059A"/>
    <w:rsid w:val="004006E6"/>
    <w:rsid w:val="0040350A"/>
    <w:rsid w:val="00403D9A"/>
    <w:rsid w:val="004044C2"/>
    <w:rsid w:val="004062A5"/>
    <w:rsid w:val="004106C2"/>
    <w:rsid w:val="0041075D"/>
    <w:rsid w:val="00410B09"/>
    <w:rsid w:val="0041199C"/>
    <w:rsid w:val="00412080"/>
    <w:rsid w:val="00412273"/>
    <w:rsid w:val="0041227A"/>
    <w:rsid w:val="00413C5F"/>
    <w:rsid w:val="00414393"/>
    <w:rsid w:val="0041541F"/>
    <w:rsid w:val="00415601"/>
    <w:rsid w:val="00420452"/>
    <w:rsid w:val="00420636"/>
    <w:rsid w:val="00422FAA"/>
    <w:rsid w:val="004230C0"/>
    <w:rsid w:val="00425082"/>
    <w:rsid w:val="004256D3"/>
    <w:rsid w:val="00425E9F"/>
    <w:rsid w:val="00427607"/>
    <w:rsid w:val="00427FE0"/>
    <w:rsid w:val="004305F8"/>
    <w:rsid w:val="00430C4B"/>
    <w:rsid w:val="00434F8F"/>
    <w:rsid w:val="00435407"/>
    <w:rsid w:val="00435781"/>
    <w:rsid w:val="0043773C"/>
    <w:rsid w:val="00437B57"/>
    <w:rsid w:val="00441305"/>
    <w:rsid w:val="00441B8C"/>
    <w:rsid w:val="00441D49"/>
    <w:rsid w:val="00442207"/>
    <w:rsid w:val="00444A58"/>
    <w:rsid w:val="004450AC"/>
    <w:rsid w:val="00446AE6"/>
    <w:rsid w:val="00446E8C"/>
    <w:rsid w:val="00450300"/>
    <w:rsid w:val="004510EC"/>
    <w:rsid w:val="004531D9"/>
    <w:rsid w:val="00456CEA"/>
    <w:rsid w:val="004601AE"/>
    <w:rsid w:val="00460418"/>
    <w:rsid w:val="0046208A"/>
    <w:rsid w:val="004623E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ED0"/>
    <w:rsid w:val="004B002F"/>
    <w:rsid w:val="004B0033"/>
    <w:rsid w:val="004B2D15"/>
    <w:rsid w:val="004B3290"/>
    <w:rsid w:val="004B48A7"/>
    <w:rsid w:val="004B5133"/>
    <w:rsid w:val="004B5506"/>
    <w:rsid w:val="004B6F23"/>
    <w:rsid w:val="004B7AFD"/>
    <w:rsid w:val="004B7D05"/>
    <w:rsid w:val="004C0EAF"/>
    <w:rsid w:val="004C21D0"/>
    <w:rsid w:val="004C22E2"/>
    <w:rsid w:val="004C25CB"/>
    <w:rsid w:val="004C28D7"/>
    <w:rsid w:val="004C3224"/>
    <w:rsid w:val="004C4CFA"/>
    <w:rsid w:val="004C63C2"/>
    <w:rsid w:val="004C6E64"/>
    <w:rsid w:val="004D01CB"/>
    <w:rsid w:val="004D0560"/>
    <w:rsid w:val="004D1FD7"/>
    <w:rsid w:val="004D2CAA"/>
    <w:rsid w:val="004D345E"/>
    <w:rsid w:val="004D4326"/>
    <w:rsid w:val="004D4FE8"/>
    <w:rsid w:val="004D67FA"/>
    <w:rsid w:val="004D7C37"/>
    <w:rsid w:val="004E0CF2"/>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3828"/>
    <w:rsid w:val="004F59C7"/>
    <w:rsid w:val="004F7079"/>
    <w:rsid w:val="004F72D6"/>
    <w:rsid w:val="004F7CB9"/>
    <w:rsid w:val="004F7E91"/>
    <w:rsid w:val="00500CAE"/>
    <w:rsid w:val="005013B7"/>
    <w:rsid w:val="005020AD"/>
    <w:rsid w:val="00502444"/>
    <w:rsid w:val="00502997"/>
    <w:rsid w:val="00503D88"/>
    <w:rsid w:val="00504829"/>
    <w:rsid w:val="005049DD"/>
    <w:rsid w:val="00505C88"/>
    <w:rsid w:val="00506242"/>
    <w:rsid w:val="00507124"/>
    <w:rsid w:val="0050742F"/>
    <w:rsid w:val="00510746"/>
    <w:rsid w:val="005109C2"/>
    <w:rsid w:val="005116E4"/>
    <w:rsid w:val="00511874"/>
    <w:rsid w:val="0051206F"/>
    <w:rsid w:val="0051289F"/>
    <w:rsid w:val="00512CDE"/>
    <w:rsid w:val="00513B00"/>
    <w:rsid w:val="00514FC9"/>
    <w:rsid w:val="00515C1D"/>
    <w:rsid w:val="005160C6"/>
    <w:rsid w:val="00516AF9"/>
    <w:rsid w:val="00516C4E"/>
    <w:rsid w:val="0051761B"/>
    <w:rsid w:val="0052177F"/>
    <w:rsid w:val="005223EF"/>
    <w:rsid w:val="00524BCE"/>
    <w:rsid w:val="00524DF4"/>
    <w:rsid w:val="00525BCA"/>
    <w:rsid w:val="00526197"/>
    <w:rsid w:val="0053269E"/>
    <w:rsid w:val="00534944"/>
    <w:rsid w:val="00534E4A"/>
    <w:rsid w:val="00535616"/>
    <w:rsid w:val="00535C43"/>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23D9"/>
    <w:rsid w:val="00563320"/>
    <w:rsid w:val="00563A0B"/>
    <w:rsid w:val="00563D62"/>
    <w:rsid w:val="00564384"/>
    <w:rsid w:val="00564977"/>
    <w:rsid w:val="00564A35"/>
    <w:rsid w:val="005668D8"/>
    <w:rsid w:val="005676AB"/>
    <w:rsid w:val="00567732"/>
    <w:rsid w:val="00567A02"/>
    <w:rsid w:val="00567D74"/>
    <w:rsid w:val="0057180A"/>
    <w:rsid w:val="00573368"/>
    <w:rsid w:val="005744DC"/>
    <w:rsid w:val="00574726"/>
    <w:rsid w:val="00575523"/>
    <w:rsid w:val="00575996"/>
    <w:rsid w:val="00576CF0"/>
    <w:rsid w:val="00577EEC"/>
    <w:rsid w:val="00580FF6"/>
    <w:rsid w:val="00583390"/>
    <w:rsid w:val="005833FD"/>
    <w:rsid w:val="005837EA"/>
    <w:rsid w:val="00583C95"/>
    <w:rsid w:val="0058459E"/>
    <w:rsid w:val="00584810"/>
    <w:rsid w:val="00585157"/>
    <w:rsid w:val="00586B50"/>
    <w:rsid w:val="00586D05"/>
    <w:rsid w:val="00590CA3"/>
    <w:rsid w:val="005932ED"/>
    <w:rsid w:val="005939C3"/>
    <w:rsid w:val="00594ED4"/>
    <w:rsid w:val="005959B8"/>
    <w:rsid w:val="00596A33"/>
    <w:rsid w:val="005A1580"/>
    <w:rsid w:val="005A2324"/>
    <w:rsid w:val="005A2B73"/>
    <w:rsid w:val="005A3280"/>
    <w:rsid w:val="005A3928"/>
    <w:rsid w:val="005A3CB7"/>
    <w:rsid w:val="005A445E"/>
    <w:rsid w:val="005A4792"/>
    <w:rsid w:val="005A7065"/>
    <w:rsid w:val="005A77E4"/>
    <w:rsid w:val="005B1121"/>
    <w:rsid w:val="005B22E4"/>
    <w:rsid w:val="005B45BA"/>
    <w:rsid w:val="005B4821"/>
    <w:rsid w:val="005B48FD"/>
    <w:rsid w:val="005B4FD4"/>
    <w:rsid w:val="005B5DCE"/>
    <w:rsid w:val="005B6140"/>
    <w:rsid w:val="005B6B05"/>
    <w:rsid w:val="005B6B49"/>
    <w:rsid w:val="005B7630"/>
    <w:rsid w:val="005B7CD7"/>
    <w:rsid w:val="005C08F5"/>
    <w:rsid w:val="005C2D87"/>
    <w:rsid w:val="005C42D9"/>
    <w:rsid w:val="005C4B73"/>
    <w:rsid w:val="005C4F27"/>
    <w:rsid w:val="005C5218"/>
    <w:rsid w:val="005C6057"/>
    <w:rsid w:val="005C698A"/>
    <w:rsid w:val="005D0433"/>
    <w:rsid w:val="005D314D"/>
    <w:rsid w:val="005D35C3"/>
    <w:rsid w:val="005D3AC2"/>
    <w:rsid w:val="005D5067"/>
    <w:rsid w:val="005D521D"/>
    <w:rsid w:val="005D74D7"/>
    <w:rsid w:val="005D7633"/>
    <w:rsid w:val="005D781B"/>
    <w:rsid w:val="005D7DDB"/>
    <w:rsid w:val="005E088C"/>
    <w:rsid w:val="005E0B09"/>
    <w:rsid w:val="005E0B68"/>
    <w:rsid w:val="005E167A"/>
    <w:rsid w:val="005E286C"/>
    <w:rsid w:val="005E2A84"/>
    <w:rsid w:val="005E51B7"/>
    <w:rsid w:val="005E5BF4"/>
    <w:rsid w:val="005E5C98"/>
    <w:rsid w:val="005E6618"/>
    <w:rsid w:val="005F29E3"/>
    <w:rsid w:val="005F37F8"/>
    <w:rsid w:val="005F413A"/>
    <w:rsid w:val="005F44C8"/>
    <w:rsid w:val="005F67A7"/>
    <w:rsid w:val="00600497"/>
    <w:rsid w:val="0060181A"/>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362F2"/>
    <w:rsid w:val="006400FD"/>
    <w:rsid w:val="00640189"/>
    <w:rsid w:val="00640942"/>
    <w:rsid w:val="006418AA"/>
    <w:rsid w:val="00641A75"/>
    <w:rsid w:val="0064310C"/>
    <w:rsid w:val="00643ADC"/>
    <w:rsid w:val="00643D49"/>
    <w:rsid w:val="00643FA2"/>
    <w:rsid w:val="0064407D"/>
    <w:rsid w:val="00647795"/>
    <w:rsid w:val="00647EF2"/>
    <w:rsid w:val="006502BD"/>
    <w:rsid w:val="00651813"/>
    <w:rsid w:val="00651B50"/>
    <w:rsid w:val="00651EDA"/>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BB4"/>
    <w:rsid w:val="00682C0A"/>
    <w:rsid w:val="006839B2"/>
    <w:rsid w:val="006845B1"/>
    <w:rsid w:val="00685596"/>
    <w:rsid w:val="006857E5"/>
    <w:rsid w:val="00685802"/>
    <w:rsid w:val="00686579"/>
    <w:rsid w:val="006869CC"/>
    <w:rsid w:val="00686F41"/>
    <w:rsid w:val="00687C53"/>
    <w:rsid w:val="006905FD"/>
    <w:rsid w:val="00690A7A"/>
    <w:rsid w:val="0069138C"/>
    <w:rsid w:val="006913D5"/>
    <w:rsid w:val="006925FA"/>
    <w:rsid w:val="0069287B"/>
    <w:rsid w:val="00696A1A"/>
    <w:rsid w:val="00696B43"/>
    <w:rsid w:val="00696DD3"/>
    <w:rsid w:val="0069730B"/>
    <w:rsid w:val="00697525"/>
    <w:rsid w:val="006976B5"/>
    <w:rsid w:val="00697F53"/>
    <w:rsid w:val="006A2FE3"/>
    <w:rsid w:val="006A5861"/>
    <w:rsid w:val="006A5D44"/>
    <w:rsid w:val="006A61EE"/>
    <w:rsid w:val="006A668C"/>
    <w:rsid w:val="006A6B23"/>
    <w:rsid w:val="006A7116"/>
    <w:rsid w:val="006B0C3A"/>
    <w:rsid w:val="006B0D80"/>
    <w:rsid w:val="006B27D7"/>
    <w:rsid w:val="006B3016"/>
    <w:rsid w:val="006B3B01"/>
    <w:rsid w:val="006B4081"/>
    <w:rsid w:val="006B443D"/>
    <w:rsid w:val="006B4C02"/>
    <w:rsid w:val="006B50A9"/>
    <w:rsid w:val="006B54CA"/>
    <w:rsid w:val="006B58D1"/>
    <w:rsid w:val="006B6AF7"/>
    <w:rsid w:val="006B6ECD"/>
    <w:rsid w:val="006B7E34"/>
    <w:rsid w:val="006C0A6A"/>
    <w:rsid w:val="006C1B77"/>
    <w:rsid w:val="006C2D63"/>
    <w:rsid w:val="006C3A21"/>
    <w:rsid w:val="006C531E"/>
    <w:rsid w:val="006C5728"/>
    <w:rsid w:val="006C5799"/>
    <w:rsid w:val="006C5A96"/>
    <w:rsid w:val="006C5ABF"/>
    <w:rsid w:val="006C5E25"/>
    <w:rsid w:val="006C6486"/>
    <w:rsid w:val="006C671D"/>
    <w:rsid w:val="006C6E08"/>
    <w:rsid w:val="006C7E20"/>
    <w:rsid w:val="006D08E4"/>
    <w:rsid w:val="006D100B"/>
    <w:rsid w:val="006D1F1A"/>
    <w:rsid w:val="006D2A41"/>
    <w:rsid w:val="006D52A8"/>
    <w:rsid w:val="006D7B98"/>
    <w:rsid w:val="006D7FA0"/>
    <w:rsid w:val="006E22A6"/>
    <w:rsid w:val="006E3832"/>
    <w:rsid w:val="006E59CE"/>
    <w:rsid w:val="006F1F57"/>
    <w:rsid w:val="006F1FC2"/>
    <w:rsid w:val="006F3081"/>
    <w:rsid w:val="006F3A0D"/>
    <w:rsid w:val="006F4008"/>
    <w:rsid w:val="006F5B5A"/>
    <w:rsid w:val="006F6BA2"/>
    <w:rsid w:val="006F7B8B"/>
    <w:rsid w:val="006F7FF6"/>
    <w:rsid w:val="007003D9"/>
    <w:rsid w:val="00700950"/>
    <w:rsid w:val="00700E31"/>
    <w:rsid w:val="0070227A"/>
    <w:rsid w:val="007023BC"/>
    <w:rsid w:val="00702FC2"/>
    <w:rsid w:val="00703318"/>
    <w:rsid w:val="007038F3"/>
    <w:rsid w:val="00704068"/>
    <w:rsid w:val="00704136"/>
    <w:rsid w:val="00705D03"/>
    <w:rsid w:val="00707B6E"/>
    <w:rsid w:val="00710481"/>
    <w:rsid w:val="00710593"/>
    <w:rsid w:val="00710D94"/>
    <w:rsid w:val="00712984"/>
    <w:rsid w:val="00713391"/>
    <w:rsid w:val="007145FE"/>
    <w:rsid w:val="00715245"/>
    <w:rsid w:val="0071680B"/>
    <w:rsid w:val="00716D6A"/>
    <w:rsid w:val="00717238"/>
    <w:rsid w:val="0072031D"/>
    <w:rsid w:val="00720DD5"/>
    <w:rsid w:val="0072175A"/>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AD0"/>
    <w:rsid w:val="0074031D"/>
    <w:rsid w:val="00741062"/>
    <w:rsid w:val="00741B06"/>
    <w:rsid w:val="00743DDD"/>
    <w:rsid w:val="00743FE6"/>
    <w:rsid w:val="00744B7F"/>
    <w:rsid w:val="007476C9"/>
    <w:rsid w:val="00751CE0"/>
    <w:rsid w:val="007521AB"/>
    <w:rsid w:val="0075407C"/>
    <w:rsid w:val="00754168"/>
    <w:rsid w:val="00754F58"/>
    <w:rsid w:val="0075527C"/>
    <w:rsid w:val="00755C0A"/>
    <w:rsid w:val="00757367"/>
    <w:rsid w:val="00757438"/>
    <w:rsid w:val="00757F84"/>
    <w:rsid w:val="007608BF"/>
    <w:rsid w:val="007631F1"/>
    <w:rsid w:val="0076473B"/>
    <w:rsid w:val="0076494B"/>
    <w:rsid w:val="007661FF"/>
    <w:rsid w:val="00766B12"/>
    <w:rsid w:val="007670FF"/>
    <w:rsid w:val="007679A6"/>
    <w:rsid w:val="007703FF"/>
    <w:rsid w:val="00774088"/>
    <w:rsid w:val="0077495B"/>
    <w:rsid w:val="00774BBF"/>
    <w:rsid w:val="00775C7F"/>
    <w:rsid w:val="00775DDF"/>
    <w:rsid w:val="007770E0"/>
    <w:rsid w:val="00777221"/>
    <w:rsid w:val="0078155C"/>
    <w:rsid w:val="00781D86"/>
    <w:rsid w:val="00782183"/>
    <w:rsid w:val="007828F2"/>
    <w:rsid w:val="00783E9B"/>
    <w:rsid w:val="00784D4D"/>
    <w:rsid w:val="00785B6B"/>
    <w:rsid w:val="00785F31"/>
    <w:rsid w:val="00787A16"/>
    <w:rsid w:val="00787BC5"/>
    <w:rsid w:val="00790312"/>
    <w:rsid w:val="00790525"/>
    <w:rsid w:val="00790F34"/>
    <w:rsid w:val="007914A9"/>
    <w:rsid w:val="00791F5C"/>
    <w:rsid w:val="00792658"/>
    <w:rsid w:val="00793DEC"/>
    <w:rsid w:val="0079527E"/>
    <w:rsid w:val="007964CD"/>
    <w:rsid w:val="007A1C43"/>
    <w:rsid w:val="007A2413"/>
    <w:rsid w:val="007A2507"/>
    <w:rsid w:val="007A2555"/>
    <w:rsid w:val="007A2A51"/>
    <w:rsid w:val="007A2F44"/>
    <w:rsid w:val="007A3134"/>
    <w:rsid w:val="007A4CBC"/>
    <w:rsid w:val="007A4CDF"/>
    <w:rsid w:val="007A55FE"/>
    <w:rsid w:val="007A674E"/>
    <w:rsid w:val="007A6C35"/>
    <w:rsid w:val="007B05CF"/>
    <w:rsid w:val="007B271D"/>
    <w:rsid w:val="007B2D98"/>
    <w:rsid w:val="007B2EF6"/>
    <w:rsid w:val="007B3315"/>
    <w:rsid w:val="007B395B"/>
    <w:rsid w:val="007B3EDF"/>
    <w:rsid w:val="007B4459"/>
    <w:rsid w:val="007B4CD2"/>
    <w:rsid w:val="007B713C"/>
    <w:rsid w:val="007B7524"/>
    <w:rsid w:val="007B7C38"/>
    <w:rsid w:val="007C0EB1"/>
    <w:rsid w:val="007C119B"/>
    <w:rsid w:val="007C1604"/>
    <w:rsid w:val="007C2D74"/>
    <w:rsid w:val="007C373B"/>
    <w:rsid w:val="007C60EF"/>
    <w:rsid w:val="007C6562"/>
    <w:rsid w:val="007C6BF0"/>
    <w:rsid w:val="007C7515"/>
    <w:rsid w:val="007D02E8"/>
    <w:rsid w:val="007D0B00"/>
    <w:rsid w:val="007D1A74"/>
    <w:rsid w:val="007D1D55"/>
    <w:rsid w:val="007D34E7"/>
    <w:rsid w:val="007D35D6"/>
    <w:rsid w:val="007D4805"/>
    <w:rsid w:val="007D4F1E"/>
    <w:rsid w:val="007D5CEF"/>
    <w:rsid w:val="007D5D93"/>
    <w:rsid w:val="007D7CB6"/>
    <w:rsid w:val="007E14AE"/>
    <w:rsid w:val="007E21D1"/>
    <w:rsid w:val="007E2A94"/>
    <w:rsid w:val="007E3A69"/>
    <w:rsid w:val="007E43DF"/>
    <w:rsid w:val="007E453B"/>
    <w:rsid w:val="007E4B5A"/>
    <w:rsid w:val="007E677E"/>
    <w:rsid w:val="007F0BE0"/>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1EB"/>
    <w:rsid w:val="008166DA"/>
    <w:rsid w:val="00817D3B"/>
    <w:rsid w:val="00821799"/>
    <w:rsid w:val="00825C1A"/>
    <w:rsid w:val="00830A38"/>
    <w:rsid w:val="00831853"/>
    <w:rsid w:val="008321C6"/>
    <w:rsid w:val="008337B1"/>
    <w:rsid w:val="00833E02"/>
    <w:rsid w:val="00837D72"/>
    <w:rsid w:val="008400E8"/>
    <w:rsid w:val="00842938"/>
    <w:rsid w:val="00842A01"/>
    <w:rsid w:val="008430AB"/>
    <w:rsid w:val="00843E96"/>
    <w:rsid w:val="00844FC1"/>
    <w:rsid w:val="00846AC9"/>
    <w:rsid w:val="00847705"/>
    <w:rsid w:val="00847AB1"/>
    <w:rsid w:val="008500E7"/>
    <w:rsid w:val="00850134"/>
    <w:rsid w:val="008513BC"/>
    <w:rsid w:val="00852180"/>
    <w:rsid w:val="00853379"/>
    <w:rsid w:val="00856C4C"/>
    <w:rsid w:val="00856E88"/>
    <w:rsid w:val="00857133"/>
    <w:rsid w:val="00857182"/>
    <w:rsid w:val="00857F3A"/>
    <w:rsid w:val="00860EDA"/>
    <w:rsid w:val="00860FC8"/>
    <w:rsid w:val="00860FE1"/>
    <w:rsid w:val="008612F5"/>
    <w:rsid w:val="00861708"/>
    <w:rsid w:val="00861B8E"/>
    <w:rsid w:val="00862690"/>
    <w:rsid w:val="00863488"/>
    <w:rsid w:val="00865C86"/>
    <w:rsid w:val="0086652A"/>
    <w:rsid w:val="008665E1"/>
    <w:rsid w:val="008671A5"/>
    <w:rsid w:val="0087047A"/>
    <w:rsid w:val="008704BE"/>
    <w:rsid w:val="0087058E"/>
    <w:rsid w:val="008706A4"/>
    <w:rsid w:val="008711A6"/>
    <w:rsid w:val="00871289"/>
    <w:rsid w:val="00872084"/>
    <w:rsid w:val="0087221B"/>
    <w:rsid w:val="00873145"/>
    <w:rsid w:val="00873568"/>
    <w:rsid w:val="008738AC"/>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27F"/>
    <w:rsid w:val="008A2B39"/>
    <w:rsid w:val="008A2D84"/>
    <w:rsid w:val="008A3F40"/>
    <w:rsid w:val="008A526B"/>
    <w:rsid w:val="008A5749"/>
    <w:rsid w:val="008A6042"/>
    <w:rsid w:val="008A63E3"/>
    <w:rsid w:val="008A71CD"/>
    <w:rsid w:val="008B0157"/>
    <w:rsid w:val="008B0995"/>
    <w:rsid w:val="008B1598"/>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2718"/>
    <w:rsid w:val="008E32E1"/>
    <w:rsid w:val="008E3CF2"/>
    <w:rsid w:val="008E48DA"/>
    <w:rsid w:val="008E4D82"/>
    <w:rsid w:val="008E5E41"/>
    <w:rsid w:val="008E65A6"/>
    <w:rsid w:val="008E68B8"/>
    <w:rsid w:val="008E7247"/>
    <w:rsid w:val="008F1F45"/>
    <w:rsid w:val="008F2387"/>
    <w:rsid w:val="008F271F"/>
    <w:rsid w:val="008F2AAB"/>
    <w:rsid w:val="008F3AFE"/>
    <w:rsid w:val="008F3D51"/>
    <w:rsid w:val="008F5A27"/>
    <w:rsid w:val="008F6223"/>
    <w:rsid w:val="008F6488"/>
    <w:rsid w:val="00903551"/>
    <w:rsid w:val="0090556E"/>
    <w:rsid w:val="00905BDE"/>
    <w:rsid w:val="00905F4A"/>
    <w:rsid w:val="0090635C"/>
    <w:rsid w:val="00906ACE"/>
    <w:rsid w:val="00907236"/>
    <w:rsid w:val="00910CB9"/>
    <w:rsid w:val="00911879"/>
    <w:rsid w:val="00912271"/>
    <w:rsid w:val="0091238D"/>
    <w:rsid w:val="00912B6F"/>
    <w:rsid w:val="00912C13"/>
    <w:rsid w:val="00913956"/>
    <w:rsid w:val="009146D1"/>
    <w:rsid w:val="00915925"/>
    <w:rsid w:val="00915A54"/>
    <w:rsid w:val="00916458"/>
    <w:rsid w:val="00916C04"/>
    <w:rsid w:val="009172C3"/>
    <w:rsid w:val="009175E1"/>
    <w:rsid w:val="00920A35"/>
    <w:rsid w:val="00921985"/>
    <w:rsid w:val="0092231A"/>
    <w:rsid w:val="00922E36"/>
    <w:rsid w:val="00923A24"/>
    <w:rsid w:val="00924807"/>
    <w:rsid w:val="00924DD7"/>
    <w:rsid w:val="009253E0"/>
    <w:rsid w:val="00925505"/>
    <w:rsid w:val="00925710"/>
    <w:rsid w:val="0092628D"/>
    <w:rsid w:val="0092636C"/>
    <w:rsid w:val="00926F6B"/>
    <w:rsid w:val="009272C5"/>
    <w:rsid w:val="009273FC"/>
    <w:rsid w:val="00930680"/>
    <w:rsid w:val="009319CC"/>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CEF"/>
    <w:rsid w:val="00951EFD"/>
    <w:rsid w:val="00953A74"/>
    <w:rsid w:val="00954961"/>
    <w:rsid w:val="00955480"/>
    <w:rsid w:val="00955825"/>
    <w:rsid w:val="00955BF4"/>
    <w:rsid w:val="009569B5"/>
    <w:rsid w:val="00956AC9"/>
    <w:rsid w:val="00956FF4"/>
    <w:rsid w:val="00957BD4"/>
    <w:rsid w:val="0096089C"/>
    <w:rsid w:val="00961A86"/>
    <w:rsid w:val="00961DB1"/>
    <w:rsid w:val="009640EE"/>
    <w:rsid w:val="00964784"/>
    <w:rsid w:val="00966241"/>
    <w:rsid w:val="00967845"/>
    <w:rsid w:val="00967C96"/>
    <w:rsid w:val="009703B0"/>
    <w:rsid w:val="00970997"/>
    <w:rsid w:val="009709BD"/>
    <w:rsid w:val="00971C4E"/>
    <w:rsid w:val="00972FE6"/>
    <w:rsid w:val="009744AF"/>
    <w:rsid w:val="009744D3"/>
    <w:rsid w:val="00974D32"/>
    <w:rsid w:val="009762BE"/>
    <w:rsid w:val="00976EDE"/>
    <w:rsid w:val="00976F74"/>
    <w:rsid w:val="00980AA7"/>
    <w:rsid w:val="00980CA7"/>
    <w:rsid w:val="00981AFC"/>
    <w:rsid w:val="00982EF7"/>
    <w:rsid w:val="0098341F"/>
    <w:rsid w:val="00983F27"/>
    <w:rsid w:val="009844BD"/>
    <w:rsid w:val="00984951"/>
    <w:rsid w:val="00985D9D"/>
    <w:rsid w:val="009868C8"/>
    <w:rsid w:val="00987332"/>
    <w:rsid w:val="0098767B"/>
    <w:rsid w:val="009876D1"/>
    <w:rsid w:val="009902A7"/>
    <w:rsid w:val="00990A5E"/>
    <w:rsid w:val="00990CE0"/>
    <w:rsid w:val="009913C7"/>
    <w:rsid w:val="0099466A"/>
    <w:rsid w:val="00994937"/>
    <w:rsid w:val="009949A2"/>
    <w:rsid w:val="00995559"/>
    <w:rsid w:val="0099685A"/>
    <w:rsid w:val="00996C89"/>
    <w:rsid w:val="009A0E1F"/>
    <w:rsid w:val="009A172B"/>
    <w:rsid w:val="009A4EC2"/>
    <w:rsid w:val="009A5984"/>
    <w:rsid w:val="009A757F"/>
    <w:rsid w:val="009B001B"/>
    <w:rsid w:val="009B23FB"/>
    <w:rsid w:val="009B2C95"/>
    <w:rsid w:val="009B4AE8"/>
    <w:rsid w:val="009B4C6F"/>
    <w:rsid w:val="009B549F"/>
    <w:rsid w:val="009B5BE7"/>
    <w:rsid w:val="009B6B3C"/>
    <w:rsid w:val="009C0D13"/>
    <w:rsid w:val="009C43E6"/>
    <w:rsid w:val="009C5118"/>
    <w:rsid w:val="009C7045"/>
    <w:rsid w:val="009C7494"/>
    <w:rsid w:val="009D0064"/>
    <w:rsid w:val="009D17A0"/>
    <w:rsid w:val="009D38BE"/>
    <w:rsid w:val="009D4F25"/>
    <w:rsid w:val="009E0506"/>
    <w:rsid w:val="009E1519"/>
    <w:rsid w:val="009E31E3"/>
    <w:rsid w:val="009E33A7"/>
    <w:rsid w:val="009E3646"/>
    <w:rsid w:val="009E3968"/>
    <w:rsid w:val="009E7ACE"/>
    <w:rsid w:val="009E7F69"/>
    <w:rsid w:val="009F067D"/>
    <w:rsid w:val="009F0C3C"/>
    <w:rsid w:val="009F23B7"/>
    <w:rsid w:val="009F3047"/>
    <w:rsid w:val="009F312F"/>
    <w:rsid w:val="009F46FB"/>
    <w:rsid w:val="009F5098"/>
    <w:rsid w:val="009F5C9D"/>
    <w:rsid w:val="009F7F40"/>
    <w:rsid w:val="00A02685"/>
    <w:rsid w:val="00A02F82"/>
    <w:rsid w:val="00A03141"/>
    <w:rsid w:val="00A03600"/>
    <w:rsid w:val="00A04DCD"/>
    <w:rsid w:val="00A05CB8"/>
    <w:rsid w:val="00A065E8"/>
    <w:rsid w:val="00A06B4D"/>
    <w:rsid w:val="00A07D5B"/>
    <w:rsid w:val="00A10DC2"/>
    <w:rsid w:val="00A12AEE"/>
    <w:rsid w:val="00A1367F"/>
    <w:rsid w:val="00A1519E"/>
    <w:rsid w:val="00A204DD"/>
    <w:rsid w:val="00A2099E"/>
    <w:rsid w:val="00A20DDA"/>
    <w:rsid w:val="00A211F3"/>
    <w:rsid w:val="00A2138A"/>
    <w:rsid w:val="00A23D0B"/>
    <w:rsid w:val="00A24FDD"/>
    <w:rsid w:val="00A253E9"/>
    <w:rsid w:val="00A30D09"/>
    <w:rsid w:val="00A32154"/>
    <w:rsid w:val="00A326FE"/>
    <w:rsid w:val="00A32ED9"/>
    <w:rsid w:val="00A33CD5"/>
    <w:rsid w:val="00A34329"/>
    <w:rsid w:val="00A347A8"/>
    <w:rsid w:val="00A35B0D"/>
    <w:rsid w:val="00A35C45"/>
    <w:rsid w:val="00A35FB7"/>
    <w:rsid w:val="00A3705C"/>
    <w:rsid w:val="00A40572"/>
    <w:rsid w:val="00A42178"/>
    <w:rsid w:val="00A43948"/>
    <w:rsid w:val="00A44967"/>
    <w:rsid w:val="00A45AA5"/>
    <w:rsid w:val="00A46586"/>
    <w:rsid w:val="00A46678"/>
    <w:rsid w:val="00A46B46"/>
    <w:rsid w:val="00A47D98"/>
    <w:rsid w:val="00A47FC5"/>
    <w:rsid w:val="00A517BF"/>
    <w:rsid w:val="00A531E7"/>
    <w:rsid w:val="00A53971"/>
    <w:rsid w:val="00A54B04"/>
    <w:rsid w:val="00A55349"/>
    <w:rsid w:val="00A55D04"/>
    <w:rsid w:val="00A5650F"/>
    <w:rsid w:val="00A579BF"/>
    <w:rsid w:val="00A60029"/>
    <w:rsid w:val="00A60E43"/>
    <w:rsid w:val="00A637D2"/>
    <w:rsid w:val="00A63A20"/>
    <w:rsid w:val="00A647F3"/>
    <w:rsid w:val="00A662AB"/>
    <w:rsid w:val="00A665FD"/>
    <w:rsid w:val="00A66C1A"/>
    <w:rsid w:val="00A67118"/>
    <w:rsid w:val="00A673A1"/>
    <w:rsid w:val="00A67D9F"/>
    <w:rsid w:val="00A70E5A"/>
    <w:rsid w:val="00A70F00"/>
    <w:rsid w:val="00A713C8"/>
    <w:rsid w:val="00A714C4"/>
    <w:rsid w:val="00A724CB"/>
    <w:rsid w:val="00A73183"/>
    <w:rsid w:val="00A74E22"/>
    <w:rsid w:val="00A75509"/>
    <w:rsid w:val="00A75599"/>
    <w:rsid w:val="00A757B7"/>
    <w:rsid w:val="00A76594"/>
    <w:rsid w:val="00A77CB9"/>
    <w:rsid w:val="00A77D3D"/>
    <w:rsid w:val="00A80F3E"/>
    <w:rsid w:val="00A82534"/>
    <w:rsid w:val="00A855A5"/>
    <w:rsid w:val="00A856F7"/>
    <w:rsid w:val="00A858FD"/>
    <w:rsid w:val="00A8632C"/>
    <w:rsid w:val="00A8661A"/>
    <w:rsid w:val="00A86AF1"/>
    <w:rsid w:val="00A86B71"/>
    <w:rsid w:val="00A87863"/>
    <w:rsid w:val="00A913FC"/>
    <w:rsid w:val="00A91DB3"/>
    <w:rsid w:val="00A921B7"/>
    <w:rsid w:val="00A93ADE"/>
    <w:rsid w:val="00A963BC"/>
    <w:rsid w:val="00A965E2"/>
    <w:rsid w:val="00A970AF"/>
    <w:rsid w:val="00A97498"/>
    <w:rsid w:val="00AA1CD2"/>
    <w:rsid w:val="00AA2545"/>
    <w:rsid w:val="00AA3A27"/>
    <w:rsid w:val="00AA3E5D"/>
    <w:rsid w:val="00AA55D1"/>
    <w:rsid w:val="00AA7761"/>
    <w:rsid w:val="00AB389A"/>
    <w:rsid w:val="00AB40FC"/>
    <w:rsid w:val="00AB4D81"/>
    <w:rsid w:val="00AC0188"/>
    <w:rsid w:val="00AC1180"/>
    <w:rsid w:val="00AC18BA"/>
    <w:rsid w:val="00AC2CD0"/>
    <w:rsid w:val="00AC2FA2"/>
    <w:rsid w:val="00AC39A5"/>
    <w:rsid w:val="00AC4741"/>
    <w:rsid w:val="00AC4BFF"/>
    <w:rsid w:val="00AC52B8"/>
    <w:rsid w:val="00AC75DF"/>
    <w:rsid w:val="00AC7D11"/>
    <w:rsid w:val="00AC7E1D"/>
    <w:rsid w:val="00AD0D1F"/>
    <w:rsid w:val="00AD0D4D"/>
    <w:rsid w:val="00AD1802"/>
    <w:rsid w:val="00AD19BB"/>
    <w:rsid w:val="00AD2BC9"/>
    <w:rsid w:val="00AD404E"/>
    <w:rsid w:val="00AD4881"/>
    <w:rsid w:val="00AD4C47"/>
    <w:rsid w:val="00AD4FBE"/>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1216"/>
    <w:rsid w:val="00AF1EA7"/>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2750D"/>
    <w:rsid w:val="00B30FD8"/>
    <w:rsid w:val="00B3245E"/>
    <w:rsid w:val="00B328CF"/>
    <w:rsid w:val="00B32D66"/>
    <w:rsid w:val="00B331C9"/>
    <w:rsid w:val="00B333F1"/>
    <w:rsid w:val="00B33E84"/>
    <w:rsid w:val="00B350A8"/>
    <w:rsid w:val="00B40168"/>
    <w:rsid w:val="00B40DC9"/>
    <w:rsid w:val="00B420F0"/>
    <w:rsid w:val="00B43E72"/>
    <w:rsid w:val="00B444EA"/>
    <w:rsid w:val="00B446FE"/>
    <w:rsid w:val="00B4501B"/>
    <w:rsid w:val="00B455BA"/>
    <w:rsid w:val="00B459F6"/>
    <w:rsid w:val="00B45BE5"/>
    <w:rsid w:val="00B45DB8"/>
    <w:rsid w:val="00B4688C"/>
    <w:rsid w:val="00B4756B"/>
    <w:rsid w:val="00B50020"/>
    <w:rsid w:val="00B50975"/>
    <w:rsid w:val="00B512E2"/>
    <w:rsid w:val="00B51C06"/>
    <w:rsid w:val="00B51D21"/>
    <w:rsid w:val="00B547FE"/>
    <w:rsid w:val="00B567D8"/>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B09"/>
    <w:rsid w:val="00B87E4A"/>
    <w:rsid w:val="00B87F6D"/>
    <w:rsid w:val="00B902E3"/>
    <w:rsid w:val="00B92B67"/>
    <w:rsid w:val="00B92EA3"/>
    <w:rsid w:val="00B93985"/>
    <w:rsid w:val="00B94F2D"/>
    <w:rsid w:val="00B95427"/>
    <w:rsid w:val="00B9551E"/>
    <w:rsid w:val="00B969EF"/>
    <w:rsid w:val="00B97ADB"/>
    <w:rsid w:val="00B97F7E"/>
    <w:rsid w:val="00BA008E"/>
    <w:rsid w:val="00BA0957"/>
    <w:rsid w:val="00BA12B4"/>
    <w:rsid w:val="00BA1C41"/>
    <w:rsid w:val="00BA1FD6"/>
    <w:rsid w:val="00BA2A02"/>
    <w:rsid w:val="00BA4AEA"/>
    <w:rsid w:val="00BA4B85"/>
    <w:rsid w:val="00BA545E"/>
    <w:rsid w:val="00BA5C99"/>
    <w:rsid w:val="00BA6667"/>
    <w:rsid w:val="00BB1E1F"/>
    <w:rsid w:val="00BB24F4"/>
    <w:rsid w:val="00BB257B"/>
    <w:rsid w:val="00BB4AF4"/>
    <w:rsid w:val="00BB4EDF"/>
    <w:rsid w:val="00BB5A09"/>
    <w:rsid w:val="00BB6048"/>
    <w:rsid w:val="00BB6AF8"/>
    <w:rsid w:val="00BB746E"/>
    <w:rsid w:val="00BB7735"/>
    <w:rsid w:val="00BC1C13"/>
    <w:rsid w:val="00BC232B"/>
    <w:rsid w:val="00BC2B38"/>
    <w:rsid w:val="00BC5F1F"/>
    <w:rsid w:val="00BD03BD"/>
    <w:rsid w:val="00BD06A9"/>
    <w:rsid w:val="00BD07FB"/>
    <w:rsid w:val="00BD0B3A"/>
    <w:rsid w:val="00BD0B7C"/>
    <w:rsid w:val="00BD298F"/>
    <w:rsid w:val="00BD3CB0"/>
    <w:rsid w:val="00BD4280"/>
    <w:rsid w:val="00BD4856"/>
    <w:rsid w:val="00BD4A0A"/>
    <w:rsid w:val="00BD5538"/>
    <w:rsid w:val="00BD5E4B"/>
    <w:rsid w:val="00BD6B08"/>
    <w:rsid w:val="00BD7393"/>
    <w:rsid w:val="00BD7CD5"/>
    <w:rsid w:val="00BD7E76"/>
    <w:rsid w:val="00BE1157"/>
    <w:rsid w:val="00BE12C9"/>
    <w:rsid w:val="00BE1792"/>
    <w:rsid w:val="00BE1C93"/>
    <w:rsid w:val="00BE3108"/>
    <w:rsid w:val="00BE3488"/>
    <w:rsid w:val="00BE4972"/>
    <w:rsid w:val="00BE4991"/>
    <w:rsid w:val="00BE4A20"/>
    <w:rsid w:val="00BE5976"/>
    <w:rsid w:val="00BE6540"/>
    <w:rsid w:val="00BE6AA3"/>
    <w:rsid w:val="00BE6BFC"/>
    <w:rsid w:val="00BE6DAD"/>
    <w:rsid w:val="00BE720D"/>
    <w:rsid w:val="00BE75D4"/>
    <w:rsid w:val="00BE775E"/>
    <w:rsid w:val="00BF166E"/>
    <w:rsid w:val="00BF3B32"/>
    <w:rsid w:val="00BF3E36"/>
    <w:rsid w:val="00BF3EEE"/>
    <w:rsid w:val="00BF407E"/>
    <w:rsid w:val="00BF4639"/>
    <w:rsid w:val="00BF6441"/>
    <w:rsid w:val="00BF6681"/>
    <w:rsid w:val="00BF684A"/>
    <w:rsid w:val="00BF74F6"/>
    <w:rsid w:val="00BF7D53"/>
    <w:rsid w:val="00C0078A"/>
    <w:rsid w:val="00C00C3F"/>
    <w:rsid w:val="00C00EDF"/>
    <w:rsid w:val="00C0189E"/>
    <w:rsid w:val="00C03B67"/>
    <w:rsid w:val="00C04337"/>
    <w:rsid w:val="00C04C81"/>
    <w:rsid w:val="00C050AA"/>
    <w:rsid w:val="00C068C1"/>
    <w:rsid w:val="00C1200A"/>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4B11"/>
    <w:rsid w:val="00C25126"/>
    <w:rsid w:val="00C2661F"/>
    <w:rsid w:val="00C30ADB"/>
    <w:rsid w:val="00C31BDE"/>
    <w:rsid w:val="00C33871"/>
    <w:rsid w:val="00C33FBA"/>
    <w:rsid w:val="00C344D3"/>
    <w:rsid w:val="00C347C0"/>
    <w:rsid w:val="00C34B47"/>
    <w:rsid w:val="00C34F68"/>
    <w:rsid w:val="00C35D76"/>
    <w:rsid w:val="00C36652"/>
    <w:rsid w:val="00C40EB4"/>
    <w:rsid w:val="00C41375"/>
    <w:rsid w:val="00C41923"/>
    <w:rsid w:val="00C419DC"/>
    <w:rsid w:val="00C42804"/>
    <w:rsid w:val="00C4281C"/>
    <w:rsid w:val="00C42B72"/>
    <w:rsid w:val="00C42ED5"/>
    <w:rsid w:val="00C4394C"/>
    <w:rsid w:val="00C43B47"/>
    <w:rsid w:val="00C46A65"/>
    <w:rsid w:val="00C50759"/>
    <w:rsid w:val="00C51D82"/>
    <w:rsid w:val="00C52130"/>
    <w:rsid w:val="00C52B0D"/>
    <w:rsid w:val="00C52B70"/>
    <w:rsid w:val="00C53DB4"/>
    <w:rsid w:val="00C54204"/>
    <w:rsid w:val="00C54488"/>
    <w:rsid w:val="00C54D4F"/>
    <w:rsid w:val="00C55E50"/>
    <w:rsid w:val="00C564B1"/>
    <w:rsid w:val="00C575AB"/>
    <w:rsid w:val="00C57DAB"/>
    <w:rsid w:val="00C6282C"/>
    <w:rsid w:val="00C636C8"/>
    <w:rsid w:val="00C64DEB"/>
    <w:rsid w:val="00C6698E"/>
    <w:rsid w:val="00C66CF8"/>
    <w:rsid w:val="00C66E70"/>
    <w:rsid w:val="00C673D2"/>
    <w:rsid w:val="00C707BC"/>
    <w:rsid w:val="00C70DB8"/>
    <w:rsid w:val="00C70FA4"/>
    <w:rsid w:val="00C710A7"/>
    <w:rsid w:val="00C718E7"/>
    <w:rsid w:val="00C7262A"/>
    <w:rsid w:val="00C72D2B"/>
    <w:rsid w:val="00C75954"/>
    <w:rsid w:val="00C76021"/>
    <w:rsid w:val="00C76A48"/>
    <w:rsid w:val="00C76EF4"/>
    <w:rsid w:val="00C77B86"/>
    <w:rsid w:val="00C77C63"/>
    <w:rsid w:val="00C81743"/>
    <w:rsid w:val="00C81950"/>
    <w:rsid w:val="00C83858"/>
    <w:rsid w:val="00C83F48"/>
    <w:rsid w:val="00C83FAF"/>
    <w:rsid w:val="00C84347"/>
    <w:rsid w:val="00C84A00"/>
    <w:rsid w:val="00C84ED9"/>
    <w:rsid w:val="00C85889"/>
    <w:rsid w:val="00C85F53"/>
    <w:rsid w:val="00C907D0"/>
    <w:rsid w:val="00C95C6D"/>
    <w:rsid w:val="00C968DD"/>
    <w:rsid w:val="00C96A40"/>
    <w:rsid w:val="00C97973"/>
    <w:rsid w:val="00CA0440"/>
    <w:rsid w:val="00CA0A33"/>
    <w:rsid w:val="00CA2868"/>
    <w:rsid w:val="00CA312A"/>
    <w:rsid w:val="00CA481D"/>
    <w:rsid w:val="00CA4C8D"/>
    <w:rsid w:val="00CA4DA1"/>
    <w:rsid w:val="00CA5404"/>
    <w:rsid w:val="00CA673B"/>
    <w:rsid w:val="00CB047B"/>
    <w:rsid w:val="00CB0819"/>
    <w:rsid w:val="00CB0CBA"/>
    <w:rsid w:val="00CB635E"/>
    <w:rsid w:val="00CC178A"/>
    <w:rsid w:val="00CC1C2A"/>
    <w:rsid w:val="00CC20B5"/>
    <w:rsid w:val="00CC2399"/>
    <w:rsid w:val="00CC281D"/>
    <w:rsid w:val="00CC3416"/>
    <w:rsid w:val="00CC3D19"/>
    <w:rsid w:val="00CC48A3"/>
    <w:rsid w:val="00CC4E45"/>
    <w:rsid w:val="00CC546F"/>
    <w:rsid w:val="00CC5B34"/>
    <w:rsid w:val="00CC73D5"/>
    <w:rsid w:val="00CD010C"/>
    <w:rsid w:val="00CD17B1"/>
    <w:rsid w:val="00CD207A"/>
    <w:rsid w:val="00CD23B2"/>
    <w:rsid w:val="00CD2B0A"/>
    <w:rsid w:val="00CD2BFB"/>
    <w:rsid w:val="00CD2D63"/>
    <w:rsid w:val="00CD3913"/>
    <w:rsid w:val="00CD3BB1"/>
    <w:rsid w:val="00CD45B5"/>
    <w:rsid w:val="00CD4CBD"/>
    <w:rsid w:val="00CD5CA0"/>
    <w:rsid w:val="00CD6E64"/>
    <w:rsid w:val="00CD6EC4"/>
    <w:rsid w:val="00CD7628"/>
    <w:rsid w:val="00CE0788"/>
    <w:rsid w:val="00CE14AA"/>
    <w:rsid w:val="00CE1B08"/>
    <w:rsid w:val="00CE30CA"/>
    <w:rsid w:val="00CE32C6"/>
    <w:rsid w:val="00CE37F0"/>
    <w:rsid w:val="00CE3B09"/>
    <w:rsid w:val="00CE6256"/>
    <w:rsid w:val="00CF01B2"/>
    <w:rsid w:val="00CF0620"/>
    <w:rsid w:val="00CF13B8"/>
    <w:rsid w:val="00CF18A9"/>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0C"/>
    <w:rsid w:val="00D076BD"/>
    <w:rsid w:val="00D079C0"/>
    <w:rsid w:val="00D10943"/>
    <w:rsid w:val="00D1183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5DDF"/>
    <w:rsid w:val="00D26FE5"/>
    <w:rsid w:val="00D27548"/>
    <w:rsid w:val="00D30326"/>
    <w:rsid w:val="00D30656"/>
    <w:rsid w:val="00D30A67"/>
    <w:rsid w:val="00D30F9E"/>
    <w:rsid w:val="00D31C2A"/>
    <w:rsid w:val="00D32CAD"/>
    <w:rsid w:val="00D32CE4"/>
    <w:rsid w:val="00D32EC7"/>
    <w:rsid w:val="00D33A1D"/>
    <w:rsid w:val="00D34E59"/>
    <w:rsid w:val="00D353EB"/>
    <w:rsid w:val="00D369F3"/>
    <w:rsid w:val="00D36A5D"/>
    <w:rsid w:val="00D4078D"/>
    <w:rsid w:val="00D40A54"/>
    <w:rsid w:val="00D410EA"/>
    <w:rsid w:val="00D414A4"/>
    <w:rsid w:val="00D41500"/>
    <w:rsid w:val="00D417FD"/>
    <w:rsid w:val="00D427ED"/>
    <w:rsid w:val="00D4524F"/>
    <w:rsid w:val="00D4531E"/>
    <w:rsid w:val="00D4660B"/>
    <w:rsid w:val="00D54F6C"/>
    <w:rsid w:val="00D56ECE"/>
    <w:rsid w:val="00D570D0"/>
    <w:rsid w:val="00D576C4"/>
    <w:rsid w:val="00D57D3C"/>
    <w:rsid w:val="00D6053D"/>
    <w:rsid w:val="00D6151E"/>
    <w:rsid w:val="00D61B21"/>
    <w:rsid w:val="00D633C9"/>
    <w:rsid w:val="00D636C6"/>
    <w:rsid w:val="00D64E36"/>
    <w:rsid w:val="00D65AB8"/>
    <w:rsid w:val="00D6745D"/>
    <w:rsid w:val="00D6762E"/>
    <w:rsid w:val="00D7095E"/>
    <w:rsid w:val="00D7122A"/>
    <w:rsid w:val="00D71482"/>
    <w:rsid w:val="00D72248"/>
    <w:rsid w:val="00D72844"/>
    <w:rsid w:val="00D73DD6"/>
    <w:rsid w:val="00D750EF"/>
    <w:rsid w:val="00D80290"/>
    <w:rsid w:val="00D8146A"/>
    <w:rsid w:val="00D81970"/>
    <w:rsid w:val="00D83099"/>
    <w:rsid w:val="00D83D81"/>
    <w:rsid w:val="00D842BF"/>
    <w:rsid w:val="00D84B86"/>
    <w:rsid w:val="00D84E03"/>
    <w:rsid w:val="00D85AD4"/>
    <w:rsid w:val="00D86009"/>
    <w:rsid w:val="00D862AD"/>
    <w:rsid w:val="00D87B23"/>
    <w:rsid w:val="00D903C4"/>
    <w:rsid w:val="00D916F5"/>
    <w:rsid w:val="00D91CF9"/>
    <w:rsid w:val="00D92F95"/>
    <w:rsid w:val="00D930E0"/>
    <w:rsid w:val="00D9565D"/>
    <w:rsid w:val="00D979B0"/>
    <w:rsid w:val="00D97CE3"/>
    <w:rsid w:val="00DA0044"/>
    <w:rsid w:val="00DA04A3"/>
    <w:rsid w:val="00DA0687"/>
    <w:rsid w:val="00DA1087"/>
    <w:rsid w:val="00DA3F21"/>
    <w:rsid w:val="00DA43AC"/>
    <w:rsid w:val="00DA4B7E"/>
    <w:rsid w:val="00DA4DA6"/>
    <w:rsid w:val="00DA5339"/>
    <w:rsid w:val="00DA5C8A"/>
    <w:rsid w:val="00DA6CEE"/>
    <w:rsid w:val="00DA7121"/>
    <w:rsid w:val="00DA75D1"/>
    <w:rsid w:val="00DB44B6"/>
    <w:rsid w:val="00DB737B"/>
    <w:rsid w:val="00DB7CEF"/>
    <w:rsid w:val="00DB7D12"/>
    <w:rsid w:val="00DC06CF"/>
    <w:rsid w:val="00DC1B0E"/>
    <w:rsid w:val="00DC1F2B"/>
    <w:rsid w:val="00DC285D"/>
    <w:rsid w:val="00DC30F5"/>
    <w:rsid w:val="00DC32B3"/>
    <w:rsid w:val="00DC3819"/>
    <w:rsid w:val="00DC4DD1"/>
    <w:rsid w:val="00DC5B3A"/>
    <w:rsid w:val="00DD0AAD"/>
    <w:rsid w:val="00DD12DA"/>
    <w:rsid w:val="00DD1B9C"/>
    <w:rsid w:val="00DD473D"/>
    <w:rsid w:val="00DD5DB9"/>
    <w:rsid w:val="00DD7B72"/>
    <w:rsid w:val="00DE2551"/>
    <w:rsid w:val="00DE2906"/>
    <w:rsid w:val="00DE2BDC"/>
    <w:rsid w:val="00DE4954"/>
    <w:rsid w:val="00DE4D37"/>
    <w:rsid w:val="00DE4D6E"/>
    <w:rsid w:val="00DE5066"/>
    <w:rsid w:val="00DE53F1"/>
    <w:rsid w:val="00DE5674"/>
    <w:rsid w:val="00DE5AB4"/>
    <w:rsid w:val="00DE601F"/>
    <w:rsid w:val="00DE6F18"/>
    <w:rsid w:val="00DF0AEC"/>
    <w:rsid w:val="00DF1081"/>
    <w:rsid w:val="00DF2679"/>
    <w:rsid w:val="00DF392D"/>
    <w:rsid w:val="00DF3D4B"/>
    <w:rsid w:val="00DF61DF"/>
    <w:rsid w:val="00DF66B7"/>
    <w:rsid w:val="00DF7F85"/>
    <w:rsid w:val="00E000C1"/>
    <w:rsid w:val="00E004AD"/>
    <w:rsid w:val="00E008E2"/>
    <w:rsid w:val="00E01251"/>
    <w:rsid w:val="00E01EC6"/>
    <w:rsid w:val="00E022AA"/>
    <w:rsid w:val="00E02CFF"/>
    <w:rsid w:val="00E02F08"/>
    <w:rsid w:val="00E037C9"/>
    <w:rsid w:val="00E03D15"/>
    <w:rsid w:val="00E056BF"/>
    <w:rsid w:val="00E065E3"/>
    <w:rsid w:val="00E078FF"/>
    <w:rsid w:val="00E1029A"/>
    <w:rsid w:val="00E12ACB"/>
    <w:rsid w:val="00E12DB9"/>
    <w:rsid w:val="00E1420D"/>
    <w:rsid w:val="00E1507D"/>
    <w:rsid w:val="00E15093"/>
    <w:rsid w:val="00E16C64"/>
    <w:rsid w:val="00E16CA4"/>
    <w:rsid w:val="00E209D3"/>
    <w:rsid w:val="00E23A20"/>
    <w:rsid w:val="00E23ACE"/>
    <w:rsid w:val="00E23F82"/>
    <w:rsid w:val="00E2454A"/>
    <w:rsid w:val="00E24E6E"/>
    <w:rsid w:val="00E26CCB"/>
    <w:rsid w:val="00E27E80"/>
    <w:rsid w:val="00E30543"/>
    <w:rsid w:val="00E30A05"/>
    <w:rsid w:val="00E30FC1"/>
    <w:rsid w:val="00E3153D"/>
    <w:rsid w:val="00E32721"/>
    <w:rsid w:val="00E33BB2"/>
    <w:rsid w:val="00E33E15"/>
    <w:rsid w:val="00E33F9F"/>
    <w:rsid w:val="00E36051"/>
    <w:rsid w:val="00E372A9"/>
    <w:rsid w:val="00E374F5"/>
    <w:rsid w:val="00E37661"/>
    <w:rsid w:val="00E37917"/>
    <w:rsid w:val="00E40C45"/>
    <w:rsid w:val="00E41649"/>
    <w:rsid w:val="00E42398"/>
    <w:rsid w:val="00E42EDB"/>
    <w:rsid w:val="00E43989"/>
    <w:rsid w:val="00E43C77"/>
    <w:rsid w:val="00E44F30"/>
    <w:rsid w:val="00E450D1"/>
    <w:rsid w:val="00E47D93"/>
    <w:rsid w:val="00E504B9"/>
    <w:rsid w:val="00E508A6"/>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4364"/>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2F46"/>
    <w:rsid w:val="00E830B7"/>
    <w:rsid w:val="00E83F16"/>
    <w:rsid w:val="00E84CAB"/>
    <w:rsid w:val="00E875D1"/>
    <w:rsid w:val="00E87607"/>
    <w:rsid w:val="00E87CBD"/>
    <w:rsid w:val="00E91329"/>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3F07"/>
    <w:rsid w:val="00EA5761"/>
    <w:rsid w:val="00EA6633"/>
    <w:rsid w:val="00EB0886"/>
    <w:rsid w:val="00EB0FF0"/>
    <w:rsid w:val="00EB17C1"/>
    <w:rsid w:val="00EB24B7"/>
    <w:rsid w:val="00EB3EFC"/>
    <w:rsid w:val="00EB5B53"/>
    <w:rsid w:val="00EB6DDC"/>
    <w:rsid w:val="00EB76EE"/>
    <w:rsid w:val="00EC011A"/>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5D19"/>
    <w:rsid w:val="00ED7CF3"/>
    <w:rsid w:val="00ED7DD4"/>
    <w:rsid w:val="00EE02C6"/>
    <w:rsid w:val="00EE40B9"/>
    <w:rsid w:val="00EE49E6"/>
    <w:rsid w:val="00EE4A2C"/>
    <w:rsid w:val="00EE73A0"/>
    <w:rsid w:val="00EE766B"/>
    <w:rsid w:val="00EF1508"/>
    <w:rsid w:val="00EF16B3"/>
    <w:rsid w:val="00EF18D9"/>
    <w:rsid w:val="00EF1933"/>
    <w:rsid w:val="00EF329D"/>
    <w:rsid w:val="00EF411A"/>
    <w:rsid w:val="00EF48DB"/>
    <w:rsid w:val="00EF5DC6"/>
    <w:rsid w:val="00EF690C"/>
    <w:rsid w:val="00EF79CA"/>
    <w:rsid w:val="00EF7BB5"/>
    <w:rsid w:val="00F01B83"/>
    <w:rsid w:val="00F03FDE"/>
    <w:rsid w:val="00F05719"/>
    <w:rsid w:val="00F06367"/>
    <w:rsid w:val="00F06B4D"/>
    <w:rsid w:val="00F06CB3"/>
    <w:rsid w:val="00F077EE"/>
    <w:rsid w:val="00F079A2"/>
    <w:rsid w:val="00F10223"/>
    <w:rsid w:val="00F107F9"/>
    <w:rsid w:val="00F10B39"/>
    <w:rsid w:val="00F10D6E"/>
    <w:rsid w:val="00F10DD7"/>
    <w:rsid w:val="00F10FEB"/>
    <w:rsid w:val="00F1190E"/>
    <w:rsid w:val="00F13397"/>
    <w:rsid w:val="00F139EC"/>
    <w:rsid w:val="00F146E1"/>
    <w:rsid w:val="00F15040"/>
    <w:rsid w:val="00F151F1"/>
    <w:rsid w:val="00F157BD"/>
    <w:rsid w:val="00F15963"/>
    <w:rsid w:val="00F15AC2"/>
    <w:rsid w:val="00F2000D"/>
    <w:rsid w:val="00F23D96"/>
    <w:rsid w:val="00F23FFC"/>
    <w:rsid w:val="00F250E3"/>
    <w:rsid w:val="00F25808"/>
    <w:rsid w:val="00F27635"/>
    <w:rsid w:val="00F3051B"/>
    <w:rsid w:val="00F3127A"/>
    <w:rsid w:val="00F31B46"/>
    <w:rsid w:val="00F33F58"/>
    <w:rsid w:val="00F344A2"/>
    <w:rsid w:val="00F34905"/>
    <w:rsid w:val="00F3561F"/>
    <w:rsid w:val="00F358D3"/>
    <w:rsid w:val="00F35F2A"/>
    <w:rsid w:val="00F366E4"/>
    <w:rsid w:val="00F36C77"/>
    <w:rsid w:val="00F37C9F"/>
    <w:rsid w:val="00F417AB"/>
    <w:rsid w:val="00F421A2"/>
    <w:rsid w:val="00F43E27"/>
    <w:rsid w:val="00F447C5"/>
    <w:rsid w:val="00F47CD1"/>
    <w:rsid w:val="00F5054E"/>
    <w:rsid w:val="00F50D90"/>
    <w:rsid w:val="00F51FC6"/>
    <w:rsid w:val="00F5238E"/>
    <w:rsid w:val="00F5394A"/>
    <w:rsid w:val="00F55A87"/>
    <w:rsid w:val="00F56326"/>
    <w:rsid w:val="00F5644E"/>
    <w:rsid w:val="00F5724F"/>
    <w:rsid w:val="00F57719"/>
    <w:rsid w:val="00F578DD"/>
    <w:rsid w:val="00F57900"/>
    <w:rsid w:val="00F57BCC"/>
    <w:rsid w:val="00F60DCE"/>
    <w:rsid w:val="00F611C3"/>
    <w:rsid w:val="00F63802"/>
    <w:rsid w:val="00F67398"/>
    <w:rsid w:val="00F6792A"/>
    <w:rsid w:val="00F72F77"/>
    <w:rsid w:val="00F7562A"/>
    <w:rsid w:val="00F75D53"/>
    <w:rsid w:val="00F76AA6"/>
    <w:rsid w:val="00F76E3C"/>
    <w:rsid w:val="00F82BD0"/>
    <w:rsid w:val="00F83CF8"/>
    <w:rsid w:val="00F84169"/>
    <w:rsid w:val="00F851F3"/>
    <w:rsid w:val="00F8684C"/>
    <w:rsid w:val="00F87EEB"/>
    <w:rsid w:val="00F9009E"/>
    <w:rsid w:val="00F90619"/>
    <w:rsid w:val="00F90EFB"/>
    <w:rsid w:val="00F91BB9"/>
    <w:rsid w:val="00F944EF"/>
    <w:rsid w:val="00F951DD"/>
    <w:rsid w:val="00F97E9A"/>
    <w:rsid w:val="00FA1AB5"/>
    <w:rsid w:val="00FA3D40"/>
    <w:rsid w:val="00FA4524"/>
    <w:rsid w:val="00FA4887"/>
    <w:rsid w:val="00FA4C50"/>
    <w:rsid w:val="00FA5690"/>
    <w:rsid w:val="00FA63BD"/>
    <w:rsid w:val="00FA6468"/>
    <w:rsid w:val="00FA6AB6"/>
    <w:rsid w:val="00FA6EF7"/>
    <w:rsid w:val="00FA72B1"/>
    <w:rsid w:val="00FA72D7"/>
    <w:rsid w:val="00FB0FFC"/>
    <w:rsid w:val="00FB19C9"/>
    <w:rsid w:val="00FB2A8D"/>
    <w:rsid w:val="00FB30F4"/>
    <w:rsid w:val="00FB477C"/>
    <w:rsid w:val="00FB4875"/>
    <w:rsid w:val="00FB66BF"/>
    <w:rsid w:val="00FB7384"/>
    <w:rsid w:val="00FB797F"/>
    <w:rsid w:val="00FC07F2"/>
    <w:rsid w:val="00FC0F15"/>
    <w:rsid w:val="00FC1BA8"/>
    <w:rsid w:val="00FC2FC7"/>
    <w:rsid w:val="00FC3A9B"/>
    <w:rsid w:val="00FC413F"/>
    <w:rsid w:val="00FC4D17"/>
    <w:rsid w:val="00FC5EE1"/>
    <w:rsid w:val="00FC72C3"/>
    <w:rsid w:val="00FC76A8"/>
    <w:rsid w:val="00FC786C"/>
    <w:rsid w:val="00FD16A0"/>
    <w:rsid w:val="00FD1B30"/>
    <w:rsid w:val="00FD2BA3"/>
    <w:rsid w:val="00FD3C01"/>
    <w:rsid w:val="00FD3D63"/>
    <w:rsid w:val="00FD461A"/>
    <w:rsid w:val="00FD48FD"/>
    <w:rsid w:val="00FD6313"/>
    <w:rsid w:val="00FE0718"/>
    <w:rsid w:val="00FE2465"/>
    <w:rsid w:val="00FE3BEF"/>
    <w:rsid w:val="00FE44FE"/>
    <w:rsid w:val="00FE514C"/>
    <w:rsid w:val="00FE520C"/>
    <w:rsid w:val="00FF0BC0"/>
    <w:rsid w:val="00FF1B10"/>
    <w:rsid w:val="00FF1BB8"/>
    <w:rsid w:val="00FF231F"/>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strokecolor="none [3212]">
      <v:fill color="white" on="f"/>
      <v:stroke color="none [3212]" weight="0" on="f"/>
    </o:shapedefaults>
    <o:shapelayout v:ext="edit">
      <o:idmap v:ext="edit" data="1"/>
    </o:shapelayout>
  </w:shapeDefaults>
  <w:decimalSymbol w:val=","/>
  <w:listSeparator w:val=";"/>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link w:val="PargrafodaListaChar"/>
    <w:uiPriority w:val="34"/>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3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 w:type="character" w:customStyle="1" w:styleId="PargrafodaListaChar">
    <w:name w:val="Parágrafo da Lista Char"/>
    <w:link w:val="PargrafodaLista"/>
    <w:uiPriority w:val="34"/>
    <w:rsid w:val="00B9551E"/>
    <w:rPr>
      <w:rFonts w:ascii="Calibri" w:eastAsia="Calibri" w:hAnsi="Calibri"/>
      <w:sz w:val="22"/>
      <w:szCs w:val="22"/>
      <w:lang w:eastAsia="en-US"/>
    </w:rPr>
  </w:style>
  <w:style w:type="paragraph" w:customStyle="1" w:styleId="ColorfulList-Accent11">
    <w:name w:val="Colorful List - Accent 11"/>
    <w:basedOn w:val="Normal"/>
    <w:uiPriority w:val="34"/>
    <w:qFormat/>
    <w:rsid w:val="008A71CD"/>
    <w:pPr>
      <w:widowControl/>
      <w:ind w:left="708"/>
    </w:pPr>
    <w:rPr>
      <w:rFonts w:ascii="Times" w:hAnsi="Times"/>
      <w:snapToGrid/>
      <w:color w:val="000000"/>
      <w:sz w:val="22"/>
      <w:lang w:eastAsia="en-US"/>
    </w:rPr>
  </w:style>
  <w:style w:type="paragraph" w:customStyle="1" w:styleId="Marcador1">
    <w:name w:val="Marcador1"/>
    <w:autoRedefine/>
    <w:rsid w:val="008A71CD"/>
    <w:pPr>
      <w:spacing w:after="220"/>
      <w:ind w:left="360"/>
    </w:pPr>
    <w:rPr>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19689890">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1836665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39750789">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1566666">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54577772">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390079485">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37793189">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80117046">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64144131">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71246119">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0748962">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43343127">
      <w:bodyDiv w:val="1"/>
      <w:marLeft w:val="0"/>
      <w:marRight w:val="0"/>
      <w:marTop w:val="0"/>
      <w:marBottom w:val="0"/>
      <w:divBdr>
        <w:top w:val="none" w:sz="0" w:space="0" w:color="auto"/>
        <w:left w:val="none" w:sz="0" w:space="0" w:color="auto"/>
        <w:bottom w:val="none" w:sz="0" w:space="0" w:color="auto"/>
        <w:right w:val="none" w:sz="0" w:space="0" w:color="auto"/>
      </w:divBdr>
    </w:div>
    <w:div w:id="967273729">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05550450">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61701999">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0680848">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22542139">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5377771">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38719373">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67967496">
      <w:bodyDiv w:val="1"/>
      <w:marLeft w:val="0"/>
      <w:marRight w:val="0"/>
      <w:marTop w:val="0"/>
      <w:marBottom w:val="0"/>
      <w:divBdr>
        <w:top w:val="none" w:sz="0" w:space="0" w:color="auto"/>
        <w:left w:val="none" w:sz="0" w:space="0" w:color="auto"/>
        <w:bottom w:val="none" w:sz="0" w:space="0" w:color="auto"/>
        <w:right w:val="none" w:sz="0" w:space="0" w:color="auto"/>
      </w:divBdr>
    </w:div>
    <w:div w:id="1470125310">
      <w:bodyDiv w:val="1"/>
      <w:marLeft w:val="0"/>
      <w:marRight w:val="0"/>
      <w:marTop w:val="0"/>
      <w:marBottom w:val="0"/>
      <w:divBdr>
        <w:top w:val="none" w:sz="0" w:space="0" w:color="auto"/>
        <w:left w:val="none" w:sz="0" w:space="0" w:color="auto"/>
        <w:bottom w:val="none" w:sz="0" w:space="0" w:color="auto"/>
        <w:right w:val="none" w:sz="0" w:space="0" w:color="auto"/>
      </w:divBdr>
    </w:div>
    <w:div w:id="1472016601">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83695293">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498226969">
      <w:bodyDiv w:val="1"/>
      <w:marLeft w:val="0"/>
      <w:marRight w:val="0"/>
      <w:marTop w:val="0"/>
      <w:marBottom w:val="0"/>
      <w:divBdr>
        <w:top w:val="none" w:sz="0" w:space="0" w:color="auto"/>
        <w:left w:val="none" w:sz="0" w:space="0" w:color="auto"/>
        <w:bottom w:val="none" w:sz="0" w:space="0" w:color="auto"/>
        <w:right w:val="none" w:sz="0" w:space="0" w:color="auto"/>
      </w:divBdr>
    </w:div>
    <w:div w:id="1505124043">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77614769">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6038074">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7704418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091000466">
      <w:bodyDiv w:val="1"/>
      <w:marLeft w:val="0"/>
      <w:marRight w:val="0"/>
      <w:marTop w:val="0"/>
      <w:marBottom w:val="0"/>
      <w:divBdr>
        <w:top w:val="none" w:sz="0" w:space="0" w:color="auto"/>
        <w:left w:val="none" w:sz="0" w:space="0" w:color="auto"/>
        <w:bottom w:val="none" w:sz="0" w:space="0" w:color="auto"/>
        <w:right w:val="none" w:sz="0" w:space="0" w:color="auto"/>
      </w:divBdr>
    </w:div>
    <w:div w:id="2102488649">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24838086">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wmf"/></Relationships>
</file>

<file path=word/_rels/header2.xml.rels><?xml version="1.0" encoding="UTF-8" standalone="yes"?>
<Relationships xmlns="http://schemas.openxmlformats.org/package/2006/relationships"><Relationship Id="rId1" Type="http://schemas.openxmlformats.org/officeDocument/2006/relationships/image" Target="media/image12.wmf"/></Relationships>
</file>

<file path=word/_rels/header3.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C554-1FB6-432A-8B94-28A1AC28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4155</TotalTime>
  <Pages>38</Pages>
  <Words>9411</Words>
  <Characters>50822</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60113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Soares</cp:lastModifiedBy>
  <cp:revision>61</cp:revision>
  <cp:lastPrinted>2021-03-09T17:55:00Z</cp:lastPrinted>
  <dcterms:created xsi:type="dcterms:W3CDTF">2020-03-19T21:31:00Z</dcterms:created>
  <dcterms:modified xsi:type="dcterms:W3CDTF">2021-03-17T12:48:00Z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