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6F4008" w:rsidRPr="00A10DC2" w:rsidRDefault="006F4008">
      <w:pPr>
        <w:jc w:val="center"/>
        <w:rPr>
          <w:rFonts w:ascii="Calibri" w:hAnsi="Calibri" w:cs="Calibri"/>
          <w:sz w:val="22"/>
          <w:szCs w:val="22"/>
        </w:rPr>
      </w:pPr>
    </w:p>
    <w:p w:rsidR="00B03145" w:rsidRDefault="00B03145">
      <w:pPr>
        <w:jc w:val="center"/>
        <w:rPr>
          <w:rFonts w:ascii="Calibri" w:hAnsi="Calibri" w:cs="Calibri"/>
          <w:sz w:val="22"/>
          <w:szCs w:val="22"/>
        </w:rPr>
      </w:pPr>
    </w:p>
    <w:tbl>
      <w:tblPr>
        <w:tblW w:w="9261" w:type="dxa"/>
        <w:tblCellMar>
          <w:left w:w="70" w:type="dxa"/>
          <w:right w:w="70" w:type="dxa"/>
        </w:tblCellMar>
        <w:tblLook w:val="04A0" w:firstRow="1" w:lastRow="0" w:firstColumn="1" w:lastColumn="0" w:noHBand="0" w:noVBand="1"/>
      </w:tblPr>
      <w:tblGrid>
        <w:gridCol w:w="146"/>
        <w:gridCol w:w="146"/>
        <w:gridCol w:w="4517"/>
        <w:gridCol w:w="617"/>
        <w:gridCol w:w="1760"/>
        <w:gridCol w:w="560"/>
        <w:gridCol w:w="1760"/>
      </w:tblGrid>
      <w:tr w:rsidR="006F4008" w:rsidRPr="006F4008" w:rsidTr="006F4008">
        <w:trPr>
          <w:trHeight w:val="315"/>
        </w:trPr>
        <w:tc>
          <w:tcPr>
            <w:tcW w:w="4621"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ATIVO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Nota</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Pr>
                <w:rFonts w:ascii="Calibri" w:hAnsi="Calibri" w:cs="Calibri"/>
                <w:snapToGrid/>
                <w:color w:val="000000"/>
                <w:sz w:val="24"/>
                <w:szCs w:val="24"/>
              </w:rPr>
              <w:t>31/03</w:t>
            </w:r>
            <w:r w:rsidRPr="006F4008">
              <w:rPr>
                <w:rFonts w:ascii="Calibri" w:hAnsi="Calibri" w:cs="Calibri"/>
                <w:snapToGrid/>
                <w:color w:val="000000"/>
                <w:sz w:val="24"/>
                <w:szCs w:val="24"/>
              </w:rPr>
              <w:t>/19</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Pr>
                <w:rFonts w:ascii="Calibri" w:hAnsi="Calibri" w:cs="Calibri"/>
                <w:snapToGrid/>
                <w:color w:val="000000"/>
                <w:sz w:val="24"/>
                <w:szCs w:val="24"/>
              </w:rPr>
              <w:t>31/12</w:t>
            </w:r>
            <w:r w:rsidRPr="006F4008">
              <w:rPr>
                <w:rFonts w:ascii="Calibri" w:hAnsi="Calibri" w:cs="Calibri"/>
                <w:snapToGrid/>
                <w:color w:val="000000"/>
                <w:sz w:val="24"/>
                <w:szCs w:val="24"/>
              </w:rPr>
              <w:t>/18</w:t>
            </w:r>
          </w:p>
        </w:tc>
      </w:tr>
      <w:tr w:rsidR="006F4008" w:rsidRPr="006F4008" w:rsidTr="006F4008">
        <w:trPr>
          <w:trHeight w:val="315"/>
        </w:trPr>
        <w:tc>
          <w:tcPr>
            <w:tcW w:w="4621"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Ativo Circulante</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Caixa e equivalentes de caixa</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10.501</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14.520</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Caixa restrito</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3.4</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38.042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37.625</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Contas a Receber de Clientes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4</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13.825</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8.035</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Estoques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438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412</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Créditos Fiscais a Recuperar</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5</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6.736</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6.176</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8.574</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8.272</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3.611</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2.820</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81.727</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77.860</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621"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Ativo Não Circulante</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69"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Realizável a Longo Prazo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Valores a Receber</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6</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41.446</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40.773</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Depósitos Judiciais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7</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342.914</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329.969</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Partes Relacionadas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8</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293.215</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293.215</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Bens em Processo de Cessão</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9</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4.926</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4.926</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Cauções e Depósitos Vinculados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10</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290.519</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284.108</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Outros Ativos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542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539</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973.562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953.530</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69"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Propriedade para Investimento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4.792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4.792</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Imobilizado</w:t>
            </w:r>
          </w:p>
        </w:tc>
        <w:tc>
          <w:tcPr>
            <w:tcW w:w="560" w:type="dxa"/>
            <w:tcBorders>
              <w:top w:val="nil"/>
              <w:left w:val="nil"/>
              <w:bottom w:val="nil"/>
              <w:right w:val="nil"/>
            </w:tcBorders>
            <w:shd w:val="clear" w:color="auto" w:fill="auto"/>
            <w:noWrap/>
            <w:vAlign w:val="bottom"/>
            <w:hideMark/>
          </w:tcPr>
          <w:p w:rsidR="006F4008" w:rsidRPr="00025AB9" w:rsidRDefault="00025AB9" w:rsidP="006F4008">
            <w:pPr>
              <w:widowControl/>
              <w:jc w:val="center"/>
              <w:rPr>
                <w:rFonts w:ascii="Calibri" w:hAnsi="Calibri" w:cs="Calibri"/>
                <w:bCs/>
                <w:snapToGrid/>
                <w:color w:val="000000"/>
                <w:sz w:val="24"/>
                <w:szCs w:val="24"/>
              </w:rPr>
            </w:pPr>
            <w:r w:rsidRPr="00025AB9">
              <w:rPr>
                <w:rFonts w:ascii="Calibri" w:hAnsi="Calibri" w:cs="Calibri"/>
                <w:bCs/>
                <w:snapToGrid/>
                <w:color w:val="000000"/>
                <w:sz w:val="24"/>
                <w:szCs w:val="24"/>
              </w:rPr>
              <w:t>11</w:t>
            </w: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1.066.224</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1.068.889</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569"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Intangível</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30</w:t>
            </w:r>
            <w:r>
              <w:rPr>
                <w:rFonts w:ascii="Calibri" w:hAnsi="Calibri" w:cs="Calibri"/>
                <w:snapToGrid/>
                <w:color w:val="000000"/>
                <w:sz w:val="24"/>
                <w:szCs w:val="24"/>
              </w:rPr>
              <w:t>3</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372</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2.044.88</w:t>
            </w:r>
            <w:r>
              <w:rPr>
                <w:rFonts w:ascii="Calibri" w:hAnsi="Calibri" w:cs="Calibri"/>
                <w:b/>
                <w:bCs/>
                <w:snapToGrid/>
                <w:color w:val="000000"/>
                <w:sz w:val="24"/>
                <w:szCs w:val="24"/>
              </w:rPr>
              <w:t>1</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760" w:type="dxa"/>
            <w:tcBorders>
              <w:top w:val="single" w:sz="4" w:space="0" w:color="auto"/>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2.027.583</w:t>
            </w:r>
          </w:p>
        </w:tc>
      </w:tr>
      <w:tr w:rsidR="006F4008" w:rsidRPr="006F4008" w:rsidTr="006F4008">
        <w:trPr>
          <w:trHeight w:val="315"/>
        </w:trPr>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52"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17"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621"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Total do Ativo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2.126.60</w:t>
            </w:r>
            <w:r>
              <w:rPr>
                <w:rFonts w:ascii="Calibri" w:hAnsi="Calibri" w:cs="Calibri"/>
                <w:b/>
                <w:bCs/>
                <w:snapToGrid/>
                <w:color w:val="000000"/>
                <w:sz w:val="24"/>
                <w:szCs w:val="24"/>
              </w:rPr>
              <w:t>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7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2.105.443</w:t>
            </w:r>
          </w:p>
        </w:tc>
      </w:tr>
    </w:tbl>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B03145" w:rsidRDefault="00B03145">
      <w:pPr>
        <w:jc w:val="center"/>
        <w:rPr>
          <w:rFonts w:ascii="Calibri" w:hAnsi="Calibri" w:cs="Calibri"/>
          <w:sz w:val="22"/>
          <w:szCs w:val="22"/>
        </w:rPr>
      </w:pPr>
    </w:p>
    <w:p w:rsidR="00903551" w:rsidRDefault="00903551">
      <w:pPr>
        <w:jc w:val="center"/>
        <w:rPr>
          <w:rFonts w:ascii="Calibri" w:hAnsi="Calibri" w:cs="Calibri"/>
          <w:sz w:val="22"/>
          <w:szCs w:val="22"/>
        </w:rPr>
      </w:pPr>
    </w:p>
    <w:tbl>
      <w:tblPr>
        <w:tblW w:w="9580" w:type="dxa"/>
        <w:tblCellMar>
          <w:left w:w="70" w:type="dxa"/>
          <w:right w:w="70" w:type="dxa"/>
        </w:tblCellMar>
        <w:tblLook w:val="04A0" w:firstRow="1" w:lastRow="0" w:firstColumn="1" w:lastColumn="0" w:noHBand="0" w:noVBand="1"/>
      </w:tblPr>
      <w:tblGrid>
        <w:gridCol w:w="146"/>
        <w:gridCol w:w="146"/>
        <w:gridCol w:w="4573"/>
        <w:gridCol w:w="617"/>
        <w:gridCol w:w="1900"/>
        <w:gridCol w:w="560"/>
        <w:gridCol w:w="1900"/>
      </w:tblGrid>
      <w:tr w:rsidR="006F4008" w:rsidRPr="006F4008" w:rsidTr="006F4008">
        <w:trPr>
          <w:trHeight w:val="315"/>
        </w:trPr>
        <w:tc>
          <w:tcPr>
            <w:tcW w:w="4660"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PASSIVO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Nota</w:t>
            </w:r>
          </w:p>
        </w:tc>
        <w:tc>
          <w:tcPr>
            <w:tcW w:w="1900" w:type="dxa"/>
            <w:tcBorders>
              <w:top w:val="nil"/>
              <w:left w:val="nil"/>
              <w:bottom w:val="nil"/>
              <w:right w:val="nil"/>
            </w:tcBorders>
            <w:shd w:val="clear" w:color="auto" w:fill="auto"/>
            <w:noWrap/>
            <w:vAlign w:val="bottom"/>
            <w:hideMark/>
          </w:tcPr>
          <w:p w:rsidR="006F4008" w:rsidRPr="006F4008" w:rsidRDefault="00C210BB" w:rsidP="00025AB9">
            <w:pPr>
              <w:widowControl/>
              <w:jc w:val="right"/>
              <w:rPr>
                <w:rFonts w:ascii="Calibri" w:hAnsi="Calibri" w:cs="Calibri"/>
                <w:snapToGrid/>
                <w:color w:val="000000"/>
                <w:sz w:val="24"/>
                <w:szCs w:val="24"/>
              </w:rPr>
            </w:pPr>
            <w:r>
              <w:rPr>
                <w:rFonts w:ascii="Calibri" w:hAnsi="Calibri" w:cs="Calibri"/>
                <w:snapToGrid/>
                <w:color w:val="000000"/>
                <w:sz w:val="24"/>
                <w:szCs w:val="24"/>
              </w:rPr>
              <w:t>31/03/19</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C210BB" w:rsidP="00C210BB">
            <w:pPr>
              <w:widowControl/>
              <w:jc w:val="right"/>
              <w:rPr>
                <w:rFonts w:ascii="Calibri" w:hAnsi="Calibri" w:cs="Calibri"/>
                <w:snapToGrid/>
                <w:color w:val="000000"/>
                <w:sz w:val="24"/>
                <w:szCs w:val="24"/>
              </w:rPr>
            </w:pPr>
            <w:r>
              <w:rPr>
                <w:rFonts w:ascii="Calibri" w:hAnsi="Calibri" w:cs="Calibri"/>
                <w:snapToGrid/>
                <w:color w:val="000000"/>
                <w:sz w:val="24"/>
                <w:szCs w:val="24"/>
              </w:rPr>
              <w:t>31/12</w:t>
            </w:r>
            <w:r w:rsidR="006F4008" w:rsidRPr="006F4008">
              <w:rPr>
                <w:rFonts w:ascii="Calibri" w:hAnsi="Calibri" w:cs="Calibri"/>
                <w:snapToGrid/>
                <w:color w:val="000000"/>
                <w:sz w:val="24"/>
                <w:szCs w:val="24"/>
              </w:rPr>
              <w:t>/18</w:t>
            </w:r>
          </w:p>
        </w:tc>
      </w:tr>
      <w:tr w:rsidR="006F4008" w:rsidRPr="006F4008" w:rsidTr="006F4008">
        <w:trPr>
          <w:trHeight w:val="315"/>
        </w:trPr>
        <w:tc>
          <w:tcPr>
            <w:tcW w:w="4660"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Passivo Circulante</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Fornecedores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4.395</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4.666</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Obrigações Trabalhistas e Assistenciais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12</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25.527</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26.716</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Obrigações Tributárias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105.093</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113.677</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Obrigações Contratuais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189.030</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180.226</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Benefícios Pós Emprego</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285.787</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274.094</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Receitas Diferidas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7.022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7.023</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616.854</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606.402</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660"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Passivo Não Circulante</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Obrigações Tributárias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13</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912.988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924.362</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Obrigações Contratuais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14</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48.872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48.872</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Benefícios Pós Emprego</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15</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323.577</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308.875</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Arrendamento Mercantil</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16</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760.195</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748.760</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Provisão Para Contingências</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17</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252.208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252.635</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Receitas Diferidas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23.412</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25.752</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Adiant</w:t>
            </w:r>
            <w:r>
              <w:rPr>
                <w:rFonts w:ascii="Calibri" w:hAnsi="Calibri" w:cs="Calibri"/>
                <w:snapToGrid/>
                <w:color w:val="000000"/>
                <w:sz w:val="24"/>
                <w:szCs w:val="24"/>
              </w:rPr>
              <w:t>amento P/</w:t>
            </w:r>
            <w:r w:rsidRPr="006F4008">
              <w:rPr>
                <w:rFonts w:ascii="Calibri" w:hAnsi="Calibri" w:cs="Calibri"/>
                <w:snapToGrid/>
                <w:color w:val="000000"/>
                <w:sz w:val="24"/>
                <w:szCs w:val="24"/>
              </w:rPr>
              <w:t xml:space="preserve"> Futuro Aumento de Capital</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18</w:t>
            </w: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198.658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195.697</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2.519.910</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2.504.953</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660"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Patrimônio Líquido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616"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Capital Social</w:t>
            </w:r>
          </w:p>
        </w:tc>
        <w:tc>
          <w:tcPr>
            <w:tcW w:w="560" w:type="dxa"/>
            <w:tcBorders>
              <w:top w:val="nil"/>
              <w:left w:val="nil"/>
              <w:bottom w:val="nil"/>
              <w:right w:val="nil"/>
            </w:tcBorders>
            <w:shd w:val="clear" w:color="auto" w:fill="auto"/>
            <w:noWrap/>
            <w:vAlign w:val="bottom"/>
            <w:hideMark/>
          </w:tcPr>
          <w:p w:rsidR="006F4008" w:rsidRPr="006F4008" w:rsidRDefault="00025AB9" w:rsidP="006F4008">
            <w:pPr>
              <w:widowControl/>
              <w:jc w:val="center"/>
              <w:rPr>
                <w:rFonts w:ascii="Calibri" w:hAnsi="Calibri" w:cs="Calibri"/>
                <w:snapToGrid/>
                <w:color w:val="000000"/>
                <w:sz w:val="24"/>
                <w:szCs w:val="24"/>
              </w:rPr>
            </w:pPr>
            <w:r>
              <w:rPr>
                <w:rFonts w:ascii="Calibri" w:hAnsi="Calibri" w:cs="Calibri"/>
                <w:snapToGrid/>
                <w:color w:val="000000"/>
                <w:sz w:val="24"/>
                <w:szCs w:val="24"/>
              </w:rPr>
              <w:t>19</w:t>
            </w: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2.455.537</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r w:rsidRPr="006F4008">
              <w:rPr>
                <w:rFonts w:ascii="Calibri" w:hAnsi="Calibri" w:cs="Calibri"/>
                <w:snapToGrid/>
                <w:color w:val="000000"/>
                <w:sz w:val="24"/>
                <w:szCs w:val="24"/>
              </w:rPr>
              <w:t>2.455.537</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616" w:type="dxa"/>
            <w:gridSpan w:val="2"/>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snapToGrid/>
                <w:color w:val="000000"/>
                <w:sz w:val="24"/>
                <w:szCs w:val="24"/>
              </w:rPr>
            </w:pPr>
            <w:r w:rsidRPr="006F4008">
              <w:rPr>
                <w:rFonts w:ascii="Calibri" w:hAnsi="Calibri" w:cs="Calibri"/>
                <w:snapToGrid/>
                <w:color w:val="000000"/>
                <w:sz w:val="24"/>
                <w:szCs w:val="24"/>
              </w:rPr>
              <w:t>Prejuízos Acumulados</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5B6140" w:rsidP="006F4008">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F4008" w:rsidRPr="006F4008">
              <w:rPr>
                <w:rFonts w:ascii="Calibri" w:hAnsi="Calibri" w:cs="Calibri"/>
                <w:snapToGrid/>
                <w:color w:val="000000"/>
                <w:sz w:val="24"/>
                <w:szCs w:val="24"/>
              </w:rPr>
              <w:t>3.465.693</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5B6140" w:rsidP="006F4008">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F4008" w:rsidRPr="006F4008">
              <w:rPr>
                <w:rFonts w:ascii="Calibri" w:hAnsi="Calibri" w:cs="Calibri"/>
                <w:snapToGrid/>
                <w:color w:val="000000"/>
                <w:sz w:val="24"/>
                <w:szCs w:val="24"/>
              </w:rPr>
              <w:t>3.461.449</w:t>
            </w:r>
            <w:r>
              <w:rPr>
                <w:rFonts w:ascii="Calibri" w:hAnsi="Calibri" w:cs="Calibri"/>
                <w:snapToGrid/>
                <w:color w:val="000000"/>
                <w:sz w:val="24"/>
                <w:szCs w:val="24"/>
              </w:rPr>
              <w:t>)</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5B6140" w:rsidP="005B614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6F4008" w:rsidRPr="006F4008">
              <w:rPr>
                <w:rFonts w:ascii="Calibri" w:hAnsi="Calibri" w:cs="Calibri"/>
                <w:b/>
                <w:bCs/>
                <w:snapToGrid/>
                <w:color w:val="000000"/>
                <w:sz w:val="24"/>
                <w:szCs w:val="24"/>
              </w:rPr>
              <w:t>1.010.156</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900" w:type="dxa"/>
            <w:tcBorders>
              <w:top w:val="nil"/>
              <w:left w:val="nil"/>
              <w:bottom w:val="single" w:sz="4" w:space="0" w:color="auto"/>
              <w:right w:val="nil"/>
            </w:tcBorders>
            <w:shd w:val="clear" w:color="auto" w:fill="auto"/>
            <w:noWrap/>
            <w:vAlign w:val="bottom"/>
            <w:hideMark/>
          </w:tcPr>
          <w:p w:rsidR="006F4008" w:rsidRPr="006F4008" w:rsidRDefault="005B6140" w:rsidP="005B614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6F4008" w:rsidRPr="006F4008">
              <w:rPr>
                <w:rFonts w:ascii="Calibri" w:hAnsi="Calibri" w:cs="Calibri"/>
                <w:b/>
                <w:bCs/>
                <w:snapToGrid/>
                <w:color w:val="000000"/>
                <w:sz w:val="24"/>
                <w:szCs w:val="24"/>
              </w:rPr>
              <w:t>1.005.912</w:t>
            </w:r>
            <w:r>
              <w:rPr>
                <w:rFonts w:ascii="Calibri" w:hAnsi="Calibri" w:cs="Calibri"/>
                <w:b/>
                <w:bCs/>
                <w:snapToGrid/>
                <w:color w:val="000000"/>
                <w:sz w:val="24"/>
                <w:szCs w:val="24"/>
              </w:rPr>
              <w:t>)</w:t>
            </w:r>
          </w:p>
        </w:tc>
      </w:tr>
      <w:tr w:rsidR="006F4008" w:rsidRPr="006F4008" w:rsidTr="006F4008">
        <w:trPr>
          <w:trHeight w:val="315"/>
        </w:trPr>
        <w:tc>
          <w:tcPr>
            <w:tcW w:w="44"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4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4573"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center"/>
              <w:rPr>
                <w:snapToGrid/>
              </w:rPr>
            </w:pP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rPr>
                <w:snapToGrid/>
              </w:rPr>
            </w:pPr>
          </w:p>
        </w:tc>
      </w:tr>
      <w:tr w:rsidR="006F4008" w:rsidRPr="006F4008" w:rsidTr="006F4008">
        <w:trPr>
          <w:trHeight w:val="315"/>
        </w:trPr>
        <w:tc>
          <w:tcPr>
            <w:tcW w:w="4660" w:type="dxa"/>
            <w:gridSpan w:val="3"/>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r w:rsidRPr="006F4008">
              <w:rPr>
                <w:rFonts w:ascii="Calibri" w:hAnsi="Calibri" w:cs="Calibri"/>
                <w:b/>
                <w:bCs/>
                <w:snapToGrid/>
                <w:color w:val="000000"/>
                <w:sz w:val="24"/>
                <w:szCs w:val="24"/>
              </w:rPr>
              <w:t>Total do Passivo</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2.126.608</w:t>
            </w:r>
          </w:p>
        </w:tc>
        <w:tc>
          <w:tcPr>
            <w:tcW w:w="56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p>
        </w:tc>
        <w:tc>
          <w:tcPr>
            <w:tcW w:w="1900" w:type="dxa"/>
            <w:tcBorders>
              <w:top w:val="nil"/>
              <w:left w:val="nil"/>
              <w:bottom w:val="nil"/>
              <w:right w:val="nil"/>
            </w:tcBorders>
            <w:shd w:val="clear" w:color="auto" w:fill="auto"/>
            <w:noWrap/>
            <w:vAlign w:val="bottom"/>
            <w:hideMark/>
          </w:tcPr>
          <w:p w:rsidR="006F4008" w:rsidRPr="006F4008" w:rsidRDefault="006F4008" w:rsidP="006F4008">
            <w:pPr>
              <w:widowControl/>
              <w:jc w:val="right"/>
              <w:rPr>
                <w:rFonts w:ascii="Calibri" w:hAnsi="Calibri" w:cs="Calibri"/>
                <w:b/>
                <w:bCs/>
                <w:snapToGrid/>
                <w:color w:val="000000"/>
                <w:sz w:val="24"/>
                <w:szCs w:val="24"/>
              </w:rPr>
            </w:pPr>
            <w:r w:rsidRPr="006F4008">
              <w:rPr>
                <w:rFonts w:ascii="Calibri" w:hAnsi="Calibri" w:cs="Calibri"/>
                <w:b/>
                <w:bCs/>
                <w:snapToGrid/>
                <w:color w:val="000000"/>
                <w:sz w:val="24"/>
                <w:szCs w:val="24"/>
              </w:rPr>
              <w:t>2.105.443</w:t>
            </w:r>
          </w:p>
        </w:tc>
      </w:tr>
    </w:tbl>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F4008" w:rsidRDefault="006F4008">
      <w:pPr>
        <w:jc w:val="center"/>
        <w:rPr>
          <w:rFonts w:ascii="Calibri" w:hAnsi="Calibri" w:cs="Calibri"/>
          <w:sz w:val="22"/>
          <w:szCs w:val="22"/>
        </w:rPr>
      </w:pPr>
    </w:p>
    <w:p w:rsidR="00647EF2" w:rsidRPr="00A10DC2" w:rsidRDefault="00647EF2" w:rsidP="00647EF2">
      <w:pP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D842BF" w:rsidRPr="00A10DC2">
        <w:rPr>
          <w:rFonts w:ascii="Calibri" w:hAnsi="Calibri" w:cs="Calibri"/>
          <w:sz w:val="22"/>
          <w:szCs w:val="22"/>
        </w:rPr>
        <w:t>Reais)</w:t>
      </w:r>
    </w:p>
    <w:p w:rsidR="005B6140" w:rsidRPr="00A10DC2" w:rsidRDefault="005B6140">
      <w:pPr>
        <w:jc w:val="center"/>
        <w:rPr>
          <w:rFonts w:ascii="Calibri" w:hAnsi="Calibri" w:cs="Calibri"/>
          <w:sz w:val="22"/>
          <w:szCs w:val="22"/>
        </w:rPr>
      </w:pPr>
    </w:p>
    <w:p w:rsidR="00FD1B30" w:rsidRDefault="00FD1B30">
      <w:pPr>
        <w:jc w:val="center"/>
        <w:rPr>
          <w:rFonts w:ascii="Calibri" w:hAnsi="Calibri" w:cs="Calibri"/>
          <w:sz w:val="22"/>
          <w:szCs w:val="22"/>
        </w:rPr>
      </w:pPr>
    </w:p>
    <w:tbl>
      <w:tblPr>
        <w:tblW w:w="9900" w:type="dxa"/>
        <w:tblCellMar>
          <w:left w:w="70" w:type="dxa"/>
          <w:right w:w="70" w:type="dxa"/>
        </w:tblCellMar>
        <w:tblLook w:val="04A0" w:firstRow="1" w:lastRow="0" w:firstColumn="1" w:lastColumn="0" w:noHBand="0" w:noVBand="1"/>
      </w:tblPr>
      <w:tblGrid>
        <w:gridCol w:w="380"/>
        <w:gridCol w:w="5200"/>
        <w:gridCol w:w="680"/>
        <w:gridCol w:w="1540"/>
        <w:gridCol w:w="560"/>
        <w:gridCol w:w="1540"/>
      </w:tblGrid>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snapToGrid/>
                <w:color w:val="000000"/>
                <w:sz w:val="24"/>
                <w:szCs w:val="24"/>
              </w:rPr>
            </w:pPr>
            <w:r w:rsidRPr="005B6140">
              <w:rPr>
                <w:rFonts w:ascii="Calibri" w:hAnsi="Calibri" w:cs="Calibri"/>
                <w:snapToGrid/>
                <w:color w:val="000000"/>
                <w:sz w:val="24"/>
                <w:szCs w:val="24"/>
              </w:rPr>
              <w:t>Nota</w:t>
            </w: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31/03</w:t>
            </w:r>
            <w:r w:rsidRPr="005B6140">
              <w:rPr>
                <w:rFonts w:ascii="Calibri" w:hAnsi="Calibri" w:cs="Calibri"/>
                <w:snapToGrid/>
                <w:color w:val="000000"/>
                <w:sz w:val="24"/>
                <w:szCs w:val="24"/>
              </w:rPr>
              <w:t>/19</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bottom"/>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31/03</w:t>
            </w:r>
            <w:r w:rsidRPr="005B6140">
              <w:rPr>
                <w:rFonts w:ascii="Calibri" w:hAnsi="Calibri" w:cs="Calibri"/>
                <w:snapToGrid/>
                <w:color w:val="000000"/>
                <w:sz w:val="24"/>
                <w:szCs w:val="24"/>
              </w:rPr>
              <w:t>/18</w:t>
            </w: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Operações Continuadas</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1540" w:type="dxa"/>
            <w:tcBorders>
              <w:top w:val="nil"/>
              <w:left w:val="nil"/>
              <w:bottom w:val="nil"/>
              <w:right w:val="nil"/>
            </w:tcBorders>
            <w:shd w:val="clear" w:color="auto" w:fill="auto"/>
            <w:noWrap/>
            <w:vAlign w:val="bottom"/>
            <w:hideMark/>
          </w:tcPr>
          <w:p w:rsidR="005B6140" w:rsidRPr="005B6140" w:rsidRDefault="005B6140" w:rsidP="005B6140">
            <w:pPr>
              <w:widowControl/>
              <w:jc w:val="center"/>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Receita Operacional Líquida</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127.484</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115.312</w:t>
            </w:r>
          </w:p>
        </w:tc>
      </w:tr>
      <w:tr w:rsidR="005B6140" w:rsidRPr="005B6140" w:rsidTr="005B6140">
        <w:trPr>
          <w:trHeight w:val="315"/>
        </w:trPr>
        <w:tc>
          <w:tcPr>
            <w:tcW w:w="380" w:type="dxa"/>
            <w:tcBorders>
              <w:top w:val="nil"/>
              <w:left w:val="nil"/>
              <w:bottom w:val="nil"/>
              <w:right w:val="nil"/>
            </w:tcBorders>
            <w:shd w:val="clear" w:color="auto" w:fill="auto"/>
            <w:noWrap/>
            <w:vAlign w:val="bottom"/>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Custos da Operação</w:t>
            </w:r>
          </w:p>
        </w:tc>
        <w:tc>
          <w:tcPr>
            <w:tcW w:w="680" w:type="dxa"/>
            <w:tcBorders>
              <w:top w:val="nil"/>
              <w:left w:val="nil"/>
              <w:bottom w:val="nil"/>
              <w:right w:val="nil"/>
            </w:tcBorders>
            <w:shd w:val="clear" w:color="auto" w:fill="auto"/>
            <w:noWrap/>
            <w:vAlign w:val="center"/>
            <w:hideMark/>
          </w:tcPr>
          <w:p w:rsidR="005B6140" w:rsidRPr="005B6140" w:rsidRDefault="00025AB9" w:rsidP="005B6140">
            <w:pPr>
              <w:widowControl/>
              <w:jc w:val="center"/>
              <w:rPr>
                <w:rFonts w:ascii="Calibri" w:hAnsi="Calibri" w:cs="Calibri"/>
                <w:snapToGrid/>
                <w:color w:val="000000"/>
                <w:sz w:val="24"/>
                <w:szCs w:val="24"/>
              </w:rPr>
            </w:pPr>
            <w:r>
              <w:rPr>
                <w:rFonts w:ascii="Calibri" w:hAnsi="Calibri" w:cs="Calibri"/>
                <w:snapToGrid/>
                <w:color w:val="000000"/>
                <w:sz w:val="24"/>
                <w:szCs w:val="24"/>
              </w:rPr>
              <w:t>20</w:t>
            </w: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21.479</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26.479</w:t>
            </w:r>
            <w:r>
              <w:rPr>
                <w:rFonts w:ascii="Calibri" w:hAnsi="Calibri" w:cs="Calibri"/>
                <w:snapToGrid/>
                <w:color w:val="000000"/>
                <w:sz w:val="24"/>
                <w:szCs w:val="24"/>
              </w:rPr>
              <w:t>)</w:t>
            </w: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Lucro Bruto</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sidRPr="005B6140">
              <w:rPr>
                <w:rFonts w:ascii="Calibri" w:hAnsi="Calibri" w:cs="Calibri"/>
                <w:b/>
                <w:bCs/>
                <w:snapToGrid/>
                <w:color w:val="000000"/>
                <w:sz w:val="24"/>
                <w:szCs w:val="24"/>
              </w:rPr>
              <w:t>106.005</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sidRPr="005B6140">
              <w:rPr>
                <w:rFonts w:ascii="Calibri" w:hAnsi="Calibri" w:cs="Calibri"/>
                <w:b/>
                <w:bCs/>
                <w:snapToGrid/>
                <w:color w:val="000000"/>
                <w:sz w:val="24"/>
                <w:szCs w:val="24"/>
              </w:rPr>
              <w:t>88.833</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Resultado Operacional</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Despesas Gerais e Administrativas</w:t>
            </w:r>
          </w:p>
        </w:tc>
        <w:tc>
          <w:tcPr>
            <w:tcW w:w="680" w:type="dxa"/>
            <w:tcBorders>
              <w:top w:val="nil"/>
              <w:left w:val="nil"/>
              <w:bottom w:val="nil"/>
              <w:right w:val="nil"/>
            </w:tcBorders>
            <w:shd w:val="clear" w:color="auto" w:fill="auto"/>
            <w:noWrap/>
            <w:vAlign w:val="center"/>
            <w:hideMark/>
          </w:tcPr>
          <w:p w:rsidR="005B6140" w:rsidRPr="005B6140" w:rsidRDefault="00025AB9" w:rsidP="005B6140">
            <w:pPr>
              <w:widowControl/>
              <w:jc w:val="center"/>
              <w:rPr>
                <w:rFonts w:ascii="Calibri" w:hAnsi="Calibri" w:cs="Calibri"/>
                <w:snapToGrid/>
                <w:color w:val="000000"/>
                <w:sz w:val="24"/>
                <w:szCs w:val="24"/>
              </w:rPr>
            </w:pPr>
            <w:r>
              <w:rPr>
                <w:rFonts w:ascii="Calibri" w:hAnsi="Calibri" w:cs="Calibri"/>
                <w:snapToGrid/>
                <w:color w:val="000000"/>
                <w:sz w:val="24"/>
                <w:szCs w:val="24"/>
              </w:rPr>
              <w:t>21</w:t>
            </w: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46.500</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60.783</w:t>
            </w:r>
            <w:r>
              <w:rPr>
                <w:rFonts w:ascii="Calibri" w:hAnsi="Calibri" w:cs="Calibri"/>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Depreciação</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1.062</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988</w:t>
            </w:r>
            <w:r>
              <w:rPr>
                <w:rFonts w:ascii="Calibri" w:hAnsi="Calibri" w:cs="Calibri"/>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Provisões Contábeis Líquidas</w:t>
            </w:r>
          </w:p>
        </w:tc>
        <w:tc>
          <w:tcPr>
            <w:tcW w:w="680" w:type="dxa"/>
            <w:tcBorders>
              <w:top w:val="nil"/>
              <w:left w:val="nil"/>
              <w:bottom w:val="nil"/>
              <w:right w:val="nil"/>
            </w:tcBorders>
            <w:shd w:val="clear" w:color="auto" w:fill="auto"/>
            <w:noWrap/>
            <w:vAlign w:val="center"/>
            <w:hideMark/>
          </w:tcPr>
          <w:p w:rsidR="005B6140" w:rsidRPr="005B6140" w:rsidRDefault="00025AB9" w:rsidP="005B6140">
            <w:pPr>
              <w:widowControl/>
              <w:jc w:val="center"/>
              <w:rPr>
                <w:rFonts w:ascii="Calibri" w:hAnsi="Calibri" w:cs="Calibri"/>
                <w:snapToGrid/>
                <w:color w:val="000000"/>
                <w:sz w:val="24"/>
                <w:szCs w:val="24"/>
              </w:rPr>
            </w:pPr>
            <w:r>
              <w:rPr>
                <w:rFonts w:ascii="Calibri" w:hAnsi="Calibri" w:cs="Calibri"/>
                <w:snapToGrid/>
                <w:color w:val="000000"/>
                <w:sz w:val="24"/>
                <w:szCs w:val="24"/>
              </w:rPr>
              <w:t>22</w:t>
            </w: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16.848</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1.016</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Outras Receitas Operacionais</w:t>
            </w:r>
          </w:p>
        </w:tc>
        <w:tc>
          <w:tcPr>
            <w:tcW w:w="680" w:type="dxa"/>
            <w:tcBorders>
              <w:top w:val="nil"/>
              <w:left w:val="nil"/>
              <w:bottom w:val="nil"/>
              <w:right w:val="nil"/>
            </w:tcBorders>
            <w:shd w:val="clear" w:color="auto" w:fill="auto"/>
            <w:noWrap/>
            <w:vAlign w:val="center"/>
            <w:hideMark/>
          </w:tcPr>
          <w:p w:rsidR="005B6140" w:rsidRPr="005B6140" w:rsidRDefault="00025AB9" w:rsidP="005B6140">
            <w:pPr>
              <w:widowControl/>
              <w:jc w:val="center"/>
              <w:rPr>
                <w:rFonts w:ascii="Calibri" w:hAnsi="Calibri" w:cs="Calibri"/>
                <w:snapToGrid/>
                <w:color w:val="000000"/>
                <w:sz w:val="24"/>
                <w:szCs w:val="24"/>
              </w:rPr>
            </w:pPr>
            <w:r>
              <w:rPr>
                <w:rFonts w:ascii="Calibri" w:hAnsi="Calibri" w:cs="Calibri"/>
                <w:snapToGrid/>
                <w:color w:val="000000"/>
                <w:sz w:val="24"/>
                <w:szCs w:val="24"/>
              </w:rPr>
              <w:t>23</w:t>
            </w: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3.181</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17.219</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Outras Despesas Operacionais</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1</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5B6140">
              <w:rPr>
                <w:rFonts w:ascii="Calibri" w:hAnsi="Calibri" w:cs="Calibri"/>
                <w:snapToGrid/>
                <w:color w:val="000000"/>
                <w:sz w:val="24"/>
                <w:szCs w:val="24"/>
              </w:rPr>
              <w:t>26</w:t>
            </w:r>
            <w:r>
              <w:rPr>
                <w:rFonts w:ascii="Calibri" w:hAnsi="Calibri" w:cs="Calibri"/>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5B6140">
              <w:rPr>
                <w:rFonts w:ascii="Calibri" w:hAnsi="Calibri" w:cs="Calibri"/>
                <w:b/>
                <w:bCs/>
                <w:snapToGrid/>
                <w:color w:val="000000"/>
                <w:sz w:val="24"/>
                <w:szCs w:val="24"/>
              </w:rPr>
              <w:t>61.230</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Pr="005B6140">
              <w:rPr>
                <w:rFonts w:ascii="Calibri" w:hAnsi="Calibri" w:cs="Calibri"/>
                <w:b/>
                <w:bCs/>
                <w:snapToGrid/>
                <w:color w:val="000000"/>
                <w:sz w:val="24"/>
                <w:szCs w:val="24"/>
              </w:rPr>
              <w:t>43.562</w:t>
            </w:r>
            <w:r>
              <w:rPr>
                <w:rFonts w:ascii="Calibri" w:hAnsi="Calibri" w:cs="Calibri"/>
                <w:b/>
                <w:bCs/>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Resultado Operacional antes do Resultado Financeiro</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sidRPr="005B6140">
              <w:rPr>
                <w:rFonts w:ascii="Calibri" w:hAnsi="Calibri" w:cs="Calibri"/>
                <w:b/>
                <w:bCs/>
                <w:snapToGrid/>
                <w:color w:val="000000"/>
                <w:sz w:val="24"/>
                <w:szCs w:val="24"/>
              </w:rPr>
              <w:t>44.775</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r w:rsidRPr="005B6140">
              <w:rPr>
                <w:rFonts w:ascii="Calibri" w:hAnsi="Calibri" w:cs="Calibri"/>
                <w:b/>
                <w:bCs/>
                <w:snapToGrid/>
                <w:color w:val="000000"/>
                <w:sz w:val="24"/>
                <w:szCs w:val="24"/>
              </w:rPr>
              <w:t>45.271</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Resultado Financeiro</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snapToGrid/>
                <w:color w:val="000000"/>
                <w:sz w:val="24"/>
                <w:szCs w:val="24"/>
              </w:rPr>
            </w:pPr>
            <w:r w:rsidRPr="005B6140">
              <w:rPr>
                <w:rFonts w:ascii="Calibri" w:hAnsi="Calibri" w:cs="Calibri"/>
                <w:snapToGrid/>
                <w:color w:val="000000"/>
                <w:sz w:val="24"/>
                <w:szCs w:val="24"/>
              </w:rPr>
              <w:t>Resultado Financeiro Líquido</w:t>
            </w:r>
          </w:p>
        </w:tc>
        <w:tc>
          <w:tcPr>
            <w:tcW w:w="680" w:type="dxa"/>
            <w:tcBorders>
              <w:top w:val="nil"/>
              <w:left w:val="nil"/>
              <w:bottom w:val="nil"/>
              <w:right w:val="nil"/>
            </w:tcBorders>
            <w:shd w:val="clear" w:color="auto" w:fill="auto"/>
            <w:noWrap/>
            <w:vAlign w:val="center"/>
            <w:hideMark/>
          </w:tcPr>
          <w:p w:rsidR="005B6140" w:rsidRPr="005B6140" w:rsidRDefault="00025AB9" w:rsidP="005B6140">
            <w:pPr>
              <w:widowControl/>
              <w:jc w:val="center"/>
              <w:rPr>
                <w:rFonts w:ascii="Calibri" w:hAnsi="Calibri" w:cs="Calibri"/>
                <w:snapToGrid/>
                <w:color w:val="000000"/>
                <w:sz w:val="24"/>
                <w:szCs w:val="24"/>
              </w:rPr>
            </w:pPr>
            <w:r>
              <w:rPr>
                <w:rFonts w:ascii="Calibri" w:hAnsi="Calibri" w:cs="Calibri"/>
                <w:snapToGrid/>
                <w:color w:val="000000"/>
                <w:sz w:val="24"/>
                <w:szCs w:val="24"/>
              </w:rPr>
              <w:t>24</w:t>
            </w: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5B6140" w:rsidRPr="005B6140">
              <w:rPr>
                <w:rFonts w:ascii="Calibri" w:hAnsi="Calibri" w:cs="Calibri"/>
                <w:b/>
                <w:bCs/>
                <w:snapToGrid/>
                <w:color w:val="000000"/>
                <w:sz w:val="24"/>
                <w:szCs w:val="24"/>
              </w:rPr>
              <w:t>49.019</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5B6140" w:rsidRPr="005B6140">
              <w:rPr>
                <w:rFonts w:ascii="Calibri" w:hAnsi="Calibri" w:cs="Calibri"/>
                <w:b/>
                <w:bCs/>
                <w:snapToGrid/>
                <w:color w:val="000000"/>
                <w:sz w:val="24"/>
                <w:szCs w:val="24"/>
              </w:rPr>
              <w:t>152.756</w:t>
            </w:r>
            <w:r>
              <w:rPr>
                <w:rFonts w:ascii="Calibri" w:hAnsi="Calibri" w:cs="Calibri"/>
                <w:b/>
                <w:bCs/>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Resultado do Exercício</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5B6140" w:rsidRPr="005B6140">
              <w:rPr>
                <w:rFonts w:ascii="Calibri" w:hAnsi="Calibri" w:cs="Calibri"/>
                <w:b/>
                <w:bCs/>
                <w:snapToGrid/>
                <w:color w:val="000000"/>
                <w:sz w:val="24"/>
                <w:szCs w:val="24"/>
              </w:rPr>
              <w:t>4.244</w:t>
            </w:r>
            <w:r>
              <w:rPr>
                <w:rFonts w:ascii="Calibri" w:hAnsi="Calibri" w:cs="Calibri"/>
                <w:b/>
                <w:bCs/>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5B6140" w:rsidRPr="005B6140">
              <w:rPr>
                <w:rFonts w:ascii="Calibri" w:hAnsi="Calibri" w:cs="Calibri"/>
                <w:b/>
                <w:bCs/>
                <w:snapToGrid/>
                <w:color w:val="000000"/>
                <w:sz w:val="24"/>
                <w:szCs w:val="24"/>
              </w:rPr>
              <w:t>107.485</w:t>
            </w:r>
            <w:r>
              <w:rPr>
                <w:rFonts w:ascii="Calibri" w:hAnsi="Calibri" w:cs="Calibri"/>
                <w:b/>
                <w:bCs/>
                <w:snapToGrid/>
                <w:color w:val="000000"/>
                <w:sz w:val="24"/>
                <w:szCs w:val="24"/>
              </w:rPr>
              <w:t>)</w:t>
            </w:r>
          </w:p>
        </w:tc>
      </w:tr>
      <w:tr w:rsidR="005B6140" w:rsidRPr="005B6140" w:rsidTr="005B6140">
        <w:trPr>
          <w:trHeight w:val="315"/>
        </w:trPr>
        <w:tc>
          <w:tcPr>
            <w:tcW w:w="38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b/>
                <w:bCs/>
                <w:snapToGrid/>
                <w:color w:val="000000"/>
                <w:sz w:val="24"/>
                <w:szCs w:val="24"/>
              </w:rPr>
            </w:pPr>
          </w:p>
        </w:tc>
        <w:tc>
          <w:tcPr>
            <w:tcW w:w="520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snapToGrid/>
              </w:rPr>
            </w:pP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rPr>
                <w:snapToGrid/>
              </w:rPr>
            </w:pP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Quantidade de Ações</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1.222.461.484</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r w:rsidRPr="005B6140">
              <w:rPr>
                <w:rFonts w:ascii="Calibri" w:hAnsi="Calibri" w:cs="Calibri"/>
                <w:snapToGrid/>
                <w:color w:val="000000"/>
                <w:sz w:val="24"/>
                <w:szCs w:val="24"/>
              </w:rPr>
              <w:t>1.222.461.484</w:t>
            </w:r>
          </w:p>
        </w:tc>
      </w:tr>
      <w:tr w:rsidR="005B6140" w:rsidRPr="005B6140" w:rsidTr="005B6140">
        <w:trPr>
          <w:trHeight w:val="315"/>
        </w:trPr>
        <w:tc>
          <w:tcPr>
            <w:tcW w:w="5580" w:type="dxa"/>
            <w:gridSpan w:val="2"/>
            <w:tcBorders>
              <w:top w:val="nil"/>
              <w:left w:val="nil"/>
              <w:bottom w:val="nil"/>
              <w:right w:val="nil"/>
            </w:tcBorders>
            <w:shd w:val="clear" w:color="auto" w:fill="auto"/>
            <w:noWrap/>
            <w:vAlign w:val="center"/>
            <w:hideMark/>
          </w:tcPr>
          <w:p w:rsidR="005B6140" w:rsidRPr="005B6140" w:rsidRDefault="005B6140" w:rsidP="005B6140">
            <w:pPr>
              <w:widowControl/>
              <w:rPr>
                <w:rFonts w:ascii="Calibri" w:hAnsi="Calibri" w:cs="Calibri"/>
                <w:b/>
                <w:bCs/>
                <w:snapToGrid/>
                <w:color w:val="000000"/>
                <w:sz w:val="24"/>
                <w:szCs w:val="24"/>
              </w:rPr>
            </w:pPr>
            <w:r w:rsidRPr="005B6140">
              <w:rPr>
                <w:rFonts w:ascii="Calibri" w:hAnsi="Calibri" w:cs="Calibri"/>
                <w:b/>
                <w:bCs/>
                <w:snapToGrid/>
                <w:color w:val="000000"/>
                <w:sz w:val="24"/>
                <w:szCs w:val="24"/>
              </w:rPr>
              <w:t>Prejuízo por Ação do Capital Social (em Reais)</w:t>
            </w:r>
          </w:p>
        </w:tc>
        <w:tc>
          <w:tcPr>
            <w:tcW w:w="680" w:type="dxa"/>
            <w:tcBorders>
              <w:top w:val="nil"/>
              <w:left w:val="nil"/>
              <w:bottom w:val="nil"/>
              <w:right w:val="nil"/>
            </w:tcBorders>
            <w:shd w:val="clear" w:color="auto" w:fill="auto"/>
            <w:noWrap/>
            <w:vAlign w:val="center"/>
            <w:hideMark/>
          </w:tcPr>
          <w:p w:rsidR="005B6140" w:rsidRPr="005B6140" w:rsidRDefault="005B6140" w:rsidP="005B6140">
            <w:pPr>
              <w:widowControl/>
              <w:jc w:val="center"/>
              <w:rPr>
                <w:rFonts w:ascii="Calibri" w:hAnsi="Calibri" w:cs="Calibri"/>
                <w:b/>
                <w:bCs/>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5B6140" w:rsidRPr="005B6140">
              <w:rPr>
                <w:rFonts w:ascii="Calibri" w:hAnsi="Calibri" w:cs="Calibri"/>
                <w:snapToGrid/>
                <w:color w:val="000000"/>
                <w:sz w:val="24"/>
                <w:szCs w:val="24"/>
              </w:rPr>
              <w:t>0,01</w:t>
            </w:r>
            <w:r>
              <w:rPr>
                <w:rFonts w:ascii="Calibri" w:hAnsi="Calibri" w:cs="Calibri"/>
                <w:snapToGrid/>
                <w:color w:val="000000"/>
                <w:sz w:val="24"/>
                <w:szCs w:val="24"/>
              </w:rPr>
              <w:t>)</w:t>
            </w:r>
          </w:p>
        </w:tc>
        <w:tc>
          <w:tcPr>
            <w:tcW w:w="560" w:type="dxa"/>
            <w:tcBorders>
              <w:top w:val="nil"/>
              <w:left w:val="nil"/>
              <w:bottom w:val="nil"/>
              <w:right w:val="nil"/>
            </w:tcBorders>
            <w:shd w:val="clear" w:color="auto" w:fill="auto"/>
            <w:noWrap/>
            <w:vAlign w:val="center"/>
            <w:hideMark/>
          </w:tcPr>
          <w:p w:rsidR="005B6140" w:rsidRPr="005B6140" w:rsidRDefault="005B6140" w:rsidP="005B6140">
            <w:pPr>
              <w:widowControl/>
              <w:jc w:val="right"/>
              <w:rPr>
                <w:rFonts w:ascii="Calibri" w:hAnsi="Calibri" w:cs="Calibri"/>
                <w:snapToGrid/>
                <w:color w:val="000000"/>
                <w:sz w:val="24"/>
                <w:szCs w:val="24"/>
              </w:rPr>
            </w:pPr>
          </w:p>
        </w:tc>
        <w:tc>
          <w:tcPr>
            <w:tcW w:w="1540" w:type="dxa"/>
            <w:tcBorders>
              <w:top w:val="nil"/>
              <w:left w:val="nil"/>
              <w:bottom w:val="nil"/>
              <w:right w:val="nil"/>
            </w:tcBorders>
            <w:shd w:val="clear" w:color="auto" w:fill="auto"/>
            <w:noWrap/>
            <w:vAlign w:val="center"/>
            <w:hideMark/>
          </w:tcPr>
          <w:p w:rsidR="005B6140" w:rsidRPr="005B6140" w:rsidRDefault="000A598D" w:rsidP="000A598D">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5B6140" w:rsidRPr="005B6140">
              <w:rPr>
                <w:rFonts w:ascii="Calibri" w:hAnsi="Calibri" w:cs="Calibri"/>
                <w:snapToGrid/>
                <w:color w:val="000000"/>
                <w:sz w:val="24"/>
                <w:szCs w:val="24"/>
              </w:rPr>
              <w:t>0,09</w:t>
            </w:r>
            <w:r>
              <w:rPr>
                <w:rFonts w:ascii="Calibri" w:hAnsi="Calibri" w:cs="Calibri"/>
                <w:snapToGrid/>
                <w:color w:val="000000"/>
                <w:sz w:val="24"/>
                <w:szCs w:val="24"/>
              </w:rPr>
              <w:t>)</w:t>
            </w:r>
          </w:p>
        </w:tc>
      </w:tr>
    </w:tbl>
    <w:p w:rsidR="005B6140" w:rsidRDefault="005B6140">
      <w:pPr>
        <w:jc w:val="center"/>
        <w:rPr>
          <w:rFonts w:ascii="Calibri" w:hAnsi="Calibri" w:cs="Calibri"/>
          <w:sz w:val="22"/>
          <w:szCs w:val="22"/>
        </w:rPr>
      </w:pPr>
    </w:p>
    <w:p w:rsidR="005B6140" w:rsidRDefault="005B6140">
      <w:pPr>
        <w:jc w:val="center"/>
        <w:rPr>
          <w:rFonts w:ascii="Calibri" w:hAnsi="Calibri" w:cs="Calibri"/>
          <w:sz w:val="22"/>
          <w:szCs w:val="22"/>
        </w:rPr>
      </w:pPr>
    </w:p>
    <w:p w:rsidR="005B6140" w:rsidRDefault="005B6140">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Pr="00A10DC2" w:rsidRDefault="00472724">
      <w:pPr>
        <w:jc w:val="center"/>
        <w:rPr>
          <w:rFonts w:ascii="Calibri" w:hAnsi="Calibri" w:cs="Calibri"/>
          <w:sz w:val="22"/>
          <w:szCs w:val="22"/>
        </w:rPr>
      </w:pPr>
    </w:p>
    <w:p w:rsidR="000A0483" w:rsidRPr="00472724" w:rsidRDefault="000A0483" w:rsidP="000A0483">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151481" w:rsidRDefault="00151481" w:rsidP="00472724">
      <w:pPr>
        <w:jc w:val="center"/>
        <w:rPr>
          <w:rFonts w:ascii="Calibri" w:hAnsi="Calibri" w:cs="Calibri"/>
          <w:sz w:val="22"/>
          <w:szCs w:val="22"/>
        </w:rPr>
      </w:pPr>
    </w:p>
    <w:tbl>
      <w:tblPr>
        <w:tblW w:w="9560" w:type="dxa"/>
        <w:tblCellMar>
          <w:left w:w="70" w:type="dxa"/>
          <w:right w:w="70" w:type="dxa"/>
        </w:tblCellMar>
        <w:tblLook w:val="04A0" w:firstRow="1" w:lastRow="0" w:firstColumn="1" w:lastColumn="0" w:noHBand="0" w:noVBand="1"/>
      </w:tblPr>
      <w:tblGrid>
        <w:gridCol w:w="5300"/>
        <w:gridCol w:w="1880"/>
        <w:gridCol w:w="500"/>
        <w:gridCol w:w="1880"/>
      </w:tblGrid>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FLUXO DAS ATIVIDADES OPERACIONAIS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color w:val="000000"/>
                <w:sz w:val="22"/>
                <w:szCs w:val="22"/>
              </w:rPr>
            </w:pPr>
            <w:r>
              <w:rPr>
                <w:rFonts w:ascii="Calibri" w:hAnsi="Calibri" w:cs="Calibri"/>
                <w:snapToGrid/>
                <w:color w:val="000000"/>
                <w:sz w:val="22"/>
                <w:szCs w:val="22"/>
              </w:rPr>
              <w:t>31/03</w:t>
            </w:r>
            <w:r w:rsidRPr="000A598D">
              <w:rPr>
                <w:rFonts w:ascii="Calibri" w:hAnsi="Calibri" w:cs="Calibri"/>
                <w:snapToGrid/>
                <w:color w:val="000000"/>
                <w:sz w:val="22"/>
                <w:szCs w:val="22"/>
              </w:rPr>
              <w:t>/19</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color w:val="000000"/>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color w:val="000000"/>
                <w:sz w:val="22"/>
                <w:szCs w:val="22"/>
              </w:rPr>
            </w:pPr>
            <w:r>
              <w:rPr>
                <w:rFonts w:ascii="Calibri" w:hAnsi="Calibri" w:cs="Calibri"/>
                <w:snapToGrid/>
                <w:color w:val="000000"/>
                <w:sz w:val="22"/>
                <w:szCs w:val="22"/>
              </w:rPr>
              <w:t>31/03</w:t>
            </w:r>
            <w:r w:rsidRPr="000A598D">
              <w:rPr>
                <w:rFonts w:ascii="Calibri" w:hAnsi="Calibri" w:cs="Calibri"/>
                <w:snapToGrid/>
                <w:color w:val="000000"/>
                <w:sz w:val="22"/>
                <w:szCs w:val="22"/>
              </w:rPr>
              <w:t>/18</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Fluxo da Atividade Principal</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Resultado do Exercício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4.244</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107.485</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 Resultados Anteriores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 Depreciação e Amortização</w:t>
            </w: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2.792</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2.580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Resultado Ajustado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1.452</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104.905</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Contas a Receber</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5.789</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40.747</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Estoques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26</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30</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Créditos Fiscais a Recuperar</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560</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555</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Valores a Receber</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302</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980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Outros Ativos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791</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505</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Fornecedores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271</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1.775</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Obrigações Trabalhistas e Assistenciais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1.189</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122</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Obrigações Tributárias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8.585</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14.106</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Obrigações Contratuais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8.804</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34.322</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color w:val="000000"/>
                <w:sz w:val="22"/>
                <w:szCs w:val="22"/>
              </w:rPr>
            </w:pPr>
            <w:r w:rsidRPr="000A598D">
              <w:rPr>
                <w:rFonts w:ascii="Calibri" w:hAnsi="Calibri" w:cs="Calibri"/>
                <w:snapToGrid/>
                <w:color w:val="000000"/>
                <w:sz w:val="22"/>
                <w:szCs w:val="22"/>
              </w:rPr>
              <w:t>Benefícios Pós Emprego</w:t>
            </w: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11.692</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7.907</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Caixa Líquido Consumido nas Atividades Operacionais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1.531</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-87.530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FLUXO DAS ATIVIDADES DE INVESTIMENTO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Variação do Realizável a Longo Prazo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20.033</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23.464</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Variação do Ativo Permanente</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57</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80</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Propriedade Para Investimentos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Imobilizado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57</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80</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Intangível</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Conta Única do Tesouro Nacional - SIAFI</w:t>
            </w: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417</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406</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Caixa Líquido Gerado nas Atividades de Investimento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20.507</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23.138</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FLUXO DAS ATIVIDADES DE FINANCIAMENTO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Variação do Passivo Financeiro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14.957</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108.825</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Empréstimos e Financiamentos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11.434</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8.119</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Receitas Antecipadas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2.340</w:t>
            </w:r>
            <w:r>
              <w:rPr>
                <w:rFonts w:ascii="Calibri" w:hAnsi="Calibri" w:cs="Calibri"/>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Pr>
                <w:rFonts w:ascii="Calibri" w:hAnsi="Calibri" w:cs="Calibri"/>
                <w:snapToGrid/>
                <w:sz w:val="22"/>
                <w:szCs w:val="22"/>
              </w:rPr>
              <w:t>(</w:t>
            </w:r>
            <w:r w:rsidRPr="000A598D">
              <w:rPr>
                <w:rFonts w:ascii="Calibri" w:hAnsi="Calibri" w:cs="Calibri"/>
                <w:snapToGrid/>
                <w:sz w:val="22"/>
                <w:szCs w:val="22"/>
              </w:rPr>
              <w:t>2.340</w:t>
            </w:r>
            <w:r>
              <w:rPr>
                <w:rFonts w:ascii="Calibri" w:hAnsi="Calibri" w:cs="Calibri"/>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Adiantamento para Futuro Aumento de Capital</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2.961</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3.111</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Outros Passivos</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2.902</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99.935</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Variação do Patrimônio Líquido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snapToGrid/>
                <w:sz w:val="22"/>
                <w:szCs w:val="22"/>
              </w:rPr>
            </w:pPr>
            <w:r w:rsidRPr="000A598D">
              <w:rPr>
                <w:rFonts w:ascii="Calibri" w:hAnsi="Calibri" w:cs="Calibri"/>
                <w:snapToGrid/>
                <w:sz w:val="22"/>
                <w:szCs w:val="22"/>
              </w:rPr>
              <w:t>Aumento de Capital</w:t>
            </w: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p>
        </w:tc>
        <w:tc>
          <w:tcPr>
            <w:tcW w:w="1880" w:type="dxa"/>
            <w:tcBorders>
              <w:top w:val="nil"/>
              <w:left w:val="nil"/>
              <w:bottom w:val="single" w:sz="4" w:space="0" w:color="auto"/>
              <w:right w:val="nil"/>
            </w:tcBorders>
            <w:shd w:val="clear" w:color="auto" w:fill="auto"/>
            <w:noWrap/>
            <w:vAlign w:val="bottom"/>
            <w:hideMark/>
          </w:tcPr>
          <w:p w:rsidR="000A598D" w:rsidRPr="000A598D" w:rsidRDefault="000A598D" w:rsidP="000A598D">
            <w:pPr>
              <w:widowControl/>
              <w:jc w:val="right"/>
              <w:rPr>
                <w:rFonts w:ascii="Calibri" w:hAnsi="Calibri" w:cs="Calibri"/>
                <w:snapToGrid/>
                <w:sz w:val="22"/>
                <w:szCs w:val="22"/>
              </w:rPr>
            </w:pPr>
            <w:r w:rsidRPr="000A598D">
              <w:rPr>
                <w:rFonts w:ascii="Calibri" w:hAnsi="Calibri" w:cs="Calibri"/>
                <w:snapToGrid/>
                <w:sz w:val="22"/>
                <w:szCs w:val="22"/>
              </w:rPr>
              <w:t>0</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Caixa Líquido Gerado nas Atividades de Financiamento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14.957</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108.825</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FLUXO DE CAIXA DO PERÍODO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4.019</w:t>
            </w:r>
            <w:r>
              <w:rPr>
                <w:rFonts w:ascii="Calibri" w:hAnsi="Calibri" w:cs="Calibri"/>
                <w:b/>
                <w:bCs/>
                <w:snapToGrid/>
                <w:sz w:val="22"/>
                <w:szCs w:val="22"/>
              </w:rPr>
              <w:t>)</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Pr>
                <w:rFonts w:ascii="Calibri" w:hAnsi="Calibri" w:cs="Calibri"/>
                <w:b/>
                <w:bCs/>
                <w:snapToGrid/>
                <w:sz w:val="22"/>
                <w:szCs w:val="22"/>
              </w:rPr>
              <w:t>(</w:t>
            </w:r>
            <w:r w:rsidRPr="000A598D">
              <w:rPr>
                <w:rFonts w:ascii="Calibri" w:hAnsi="Calibri" w:cs="Calibri"/>
                <w:b/>
                <w:bCs/>
                <w:snapToGrid/>
                <w:sz w:val="22"/>
                <w:szCs w:val="22"/>
              </w:rPr>
              <w:t>1.843</w:t>
            </w:r>
            <w:r>
              <w:rPr>
                <w:rFonts w:ascii="Calibri" w:hAnsi="Calibri" w:cs="Calibri"/>
                <w:b/>
                <w:bCs/>
                <w:snapToGrid/>
                <w:sz w:val="22"/>
                <w:szCs w:val="22"/>
              </w:rPr>
              <w:t>)</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rPr>
                <w:snapToGrid/>
              </w:rPr>
            </w:pP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Caixa e Equivalentes no Início do Período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14.520</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28.163</w:t>
            </w:r>
          </w:p>
        </w:tc>
      </w:tr>
      <w:tr w:rsidR="000A598D" w:rsidRPr="000A598D" w:rsidTr="000A598D">
        <w:trPr>
          <w:trHeight w:val="300"/>
        </w:trPr>
        <w:tc>
          <w:tcPr>
            <w:tcW w:w="5300" w:type="dxa"/>
            <w:tcBorders>
              <w:top w:val="nil"/>
              <w:left w:val="nil"/>
              <w:bottom w:val="nil"/>
              <w:right w:val="nil"/>
            </w:tcBorders>
            <w:shd w:val="clear" w:color="auto" w:fill="auto"/>
            <w:noWrap/>
            <w:vAlign w:val="bottom"/>
            <w:hideMark/>
          </w:tcPr>
          <w:p w:rsidR="000A598D" w:rsidRPr="000A598D" w:rsidRDefault="000A598D" w:rsidP="000A598D">
            <w:pPr>
              <w:widowControl/>
              <w:rPr>
                <w:rFonts w:ascii="Calibri" w:hAnsi="Calibri" w:cs="Calibri"/>
                <w:b/>
                <w:bCs/>
                <w:snapToGrid/>
                <w:sz w:val="22"/>
                <w:szCs w:val="22"/>
              </w:rPr>
            </w:pPr>
            <w:r w:rsidRPr="000A598D">
              <w:rPr>
                <w:rFonts w:ascii="Calibri" w:hAnsi="Calibri" w:cs="Calibri"/>
                <w:b/>
                <w:bCs/>
                <w:snapToGrid/>
                <w:sz w:val="22"/>
                <w:szCs w:val="22"/>
              </w:rPr>
              <w:t>Caixa e Equivalentes no Fim do Período</w:t>
            </w: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10.501</w:t>
            </w:r>
          </w:p>
        </w:tc>
        <w:tc>
          <w:tcPr>
            <w:tcW w:w="50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p>
        </w:tc>
        <w:tc>
          <w:tcPr>
            <w:tcW w:w="1880" w:type="dxa"/>
            <w:tcBorders>
              <w:top w:val="nil"/>
              <w:left w:val="nil"/>
              <w:bottom w:val="nil"/>
              <w:right w:val="nil"/>
            </w:tcBorders>
            <w:shd w:val="clear" w:color="auto" w:fill="auto"/>
            <w:noWrap/>
            <w:vAlign w:val="bottom"/>
            <w:hideMark/>
          </w:tcPr>
          <w:p w:rsidR="000A598D" w:rsidRPr="000A598D" w:rsidRDefault="000A598D" w:rsidP="000A598D">
            <w:pPr>
              <w:widowControl/>
              <w:jc w:val="right"/>
              <w:rPr>
                <w:rFonts w:ascii="Calibri" w:hAnsi="Calibri" w:cs="Calibri"/>
                <w:b/>
                <w:bCs/>
                <w:snapToGrid/>
                <w:sz w:val="22"/>
                <w:szCs w:val="22"/>
              </w:rPr>
            </w:pPr>
            <w:r w:rsidRPr="000A598D">
              <w:rPr>
                <w:rFonts w:ascii="Calibri" w:hAnsi="Calibri" w:cs="Calibri"/>
                <w:b/>
                <w:bCs/>
                <w:snapToGrid/>
                <w:sz w:val="22"/>
                <w:szCs w:val="22"/>
              </w:rPr>
              <w:t>26.320</w:t>
            </w:r>
          </w:p>
        </w:tc>
      </w:tr>
    </w:tbl>
    <w:p w:rsidR="00951B5D" w:rsidRPr="00951B5D" w:rsidRDefault="00951B5D" w:rsidP="00951B5D"/>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51481" w:rsidRDefault="00151481" w:rsidP="00215501">
      <w:pPr>
        <w:jc w:val="center"/>
        <w:rPr>
          <w:rFonts w:ascii="Calibri" w:hAnsi="Calibri" w:cs="Calibri"/>
          <w:sz w:val="22"/>
          <w:szCs w:val="22"/>
        </w:rPr>
      </w:pPr>
    </w:p>
    <w:p w:rsidR="00151481" w:rsidRDefault="00151481" w:rsidP="00215501">
      <w:pPr>
        <w:jc w:val="center"/>
        <w:rPr>
          <w:rFonts w:ascii="Calibri" w:hAnsi="Calibri" w:cs="Calibri"/>
          <w:sz w:val="22"/>
          <w:szCs w:val="22"/>
        </w:rPr>
      </w:pPr>
    </w:p>
    <w:tbl>
      <w:tblPr>
        <w:tblW w:w="9560" w:type="dxa"/>
        <w:tblCellMar>
          <w:left w:w="70" w:type="dxa"/>
          <w:right w:w="70" w:type="dxa"/>
        </w:tblCellMar>
        <w:tblLook w:val="04A0" w:firstRow="1" w:lastRow="0" w:firstColumn="1" w:lastColumn="0" w:noHBand="0" w:noVBand="1"/>
      </w:tblPr>
      <w:tblGrid>
        <w:gridCol w:w="480"/>
        <w:gridCol w:w="5160"/>
        <w:gridCol w:w="1660"/>
        <w:gridCol w:w="600"/>
        <w:gridCol w:w="1660"/>
      </w:tblGrid>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rPr>
                <w:snapToGrid/>
                <w:sz w:val="24"/>
                <w:szCs w:val="24"/>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31/03</w:t>
            </w:r>
            <w:r w:rsidRPr="000560AC">
              <w:rPr>
                <w:rFonts w:ascii="Calibri" w:hAnsi="Calibri" w:cs="Calibri"/>
                <w:snapToGrid/>
                <w:color w:val="000000"/>
                <w:sz w:val="22"/>
                <w:szCs w:val="22"/>
              </w:rPr>
              <w:t>/19</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center"/>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31/03</w:t>
            </w:r>
            <w:r w:rsidRPr="000560AC">
              <w:rPr>
                <w:rFonts w:ascii="Calibri" w:hAnsi="Calibri" w:cs="Calibri"/>
                <w:snapToGrid/>
                <w:color w:val="000000"/>
                <w:sz w:val="22"/>
                <w:szCs w:val="22"/>
              </w:rPr>
              <w:t>/18</w:t>
            </w: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Receitas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115.496</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121.282</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Tarifas Portuárias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22.613</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23.694</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Arrendamentos Operacionais e Aluguéis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107.980</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94.807</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Provisão para Perdas Estimadas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29.129</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0</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sz w:val="22"/>
                <w:szCs w:val="22"/>
              </w:rPr>
            </w:pPr>
            <w:r w:rsidRPr="000560AC">
              <w:rPr>
                <w:rFonts w:ascii="Calibri" w:hAnsi="Calibri" w:cs="Calibri"/>
                <w:snapToGrid/>
                <w:sz w:val="22"/>
                <w:szCs w:val="22"/>
              </w:rPr>
              <w:t>Reversão de Provisões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14.032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2.781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Insumos Adquiridos de Terceiros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10.932</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11.436</w:t>
            </w:r>
            <w:r>
              <w:rPr>
                <w:rFonts w:ascii="Calibri" w:hAnsi="Calibri" w:cs="Calibri"/>
                <w:b/>
                <w:bCs/>
                <w:snapToGrid/>
                <w:color w:val="000000"/>
                <w:sz w:val="22"/>
                <w:szCs w:val="22"/>
              </w:rPr>
              <w:t>)</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Materiais, Água, Energia e Serviços de Terceiros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4.847</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8.008</w:t>
            </w:r>
            <w:r>
              <w:rPr>
                <w:rFonts w:ascii="Calibri" w:hAnsi="Calibri" w:cs="Calibri"/>
                <w:snapToGrid/>
                <w:color w:val="000000"/>
                <w:sz w:val="22"/>
                <w:szCs w:val="22"/>
              </w:rPr>
              <w:t>)</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Despesas Judiciais e Provisões para Riscos Judiciais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4.318</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919</w:t>
            </w:r>
            <w:r>
              <w:rPr>
                <w:rFonts w:ascii="Calibri" w:hAnsi="Calibri" w:cs="Calibri"/>
                <w:snapToGrid/>
                <w:color w:val="000000"/>
                <w:sz w:val="22"/>
                <w:szCs w:val="22"/>
              </w:rPr>
              <w:t>)</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Outros custos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1.767</w:t>
            </w:r>
            <w:r>
              <w:rPr>
                <w:rFonts w:ascii="Calibri" w:hAnsi="Calibri" w:cs="Calibri"/>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Pr>
                <w:rFonts w:ascii="Calibri" w:hAnsi="Calibri" w:cs="Calibri"/>
                <w:snapToGrid/>
                <w:color w:val="000000"/>
                <w:sz w:val="22"/>
                <w:szCs w:val="22"/>
              </w:rPr>
              <w:t>(</w:t>
            </w:r>
            <w:r w:rsidRPr="000560AC">
              <w:rPr>
                <w:rFonts w:ascii="Calibri" w:hAnsi="Calibri" w:cs="Calibri"/>
                <w:snapToGrid/>
                <w:color w:val="000000"/>
                <w:sz w:val="22"/>
                <w:szCs w:val="22"/>
              </w:rPr>
              <w:t>2.509</w:t>
            </w:r>
            <w:r>
              <w:rPr>
                <w:rFonts w:ascii="Calibri" w:hAnsi="Calibri" w:cs="Calibri"/>
                <w:snapToGrid/>
                <w:color w:val="000000"/>
                <w:sz w:val="22"/>
                <w:szCs w:val="22"/>
              </w:rPr>
              <w:t>)</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Valor adicionado bruto produzido pela entidade</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104.564</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109.846</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Depreciação e Amortização</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2.792</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2.580</w:t>
            </w:r>
            <w:r>
              <w:rPr>
                <w:rFonts w:ascii="Calibri" w:hAnsi="Calibri" w:cs="Calibri"/>
                <w:b/>
                <w:bCs/>
                <w:snapToGrid/>
                <w:color w:val="000000"/>
                <w:sz w:val="22"/>
                <w:szCs w:val="22"/>
              </w:rPr>
              <w:t>)</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Valor adicionado líquido produzido pela entidade</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101.772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107.266</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Valor adicionado recebido em transferência</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47.702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31.825</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Receitas financeiras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47.631</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31.750</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Outras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71</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75</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Valor adicionado a distribuir</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149.474</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139.091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Distribuição do valor adicionado</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149.474</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139.091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Pessoal</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55.123</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51.161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Remuneração Direta (Ativos, Cedidos e Estagiários)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26.621</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19.418</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Benefícios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11.008</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12.396</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Benefícios Pós-emprego</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4.668</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5.041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FGTS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1.679</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2.616</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INSS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7.442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7.965</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Encargos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732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768</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Provisões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2.502</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2.467</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Honorários da Diretoria, CONSAD e CONFIS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471</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490</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Tributos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1.945</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1.539</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Federais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341</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174</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Estaduais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0</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32</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Municipais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1.604</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1.333</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Remuneração de capitais de terceiros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96.650</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sidRPr="000560AC">
              <w:rPr>
                <w:rFonts w:ascii="Calibri" w:hAnsi="Calibri" w:cs="Calibri"/>
                <w:b/>
                <w:bCs/>
                <w:snapToGrid/>
                <w:color w:val="000000"/>
                <w:sz w:val="22"/>
                <w:szCs w:val="22"/>
              </w:rPr>
              <w:t>193.876</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Despesas financeiras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96.650</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184.505</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snapToGrid/>
                <w:color w:val="000000"/>
                <w:sz w:val="22"/>
                <w:szCs w:val="22"/>
              </w:rPr>
            </w:pPr>
            <w:r w:rsidRPr="000560AC">
              <w:rPr>
                <w:rFonts w:ascii="Calibri" w:hAnsi="Calibri" w:cs="Calibri"/>
                <w:snapToGrid/>
                <w:color w:val="000000"/>
                <w:sz w:val="22"/>
                <w:szCs w:val="22"/>
              </w:rPr>
              <w:t>Contratos</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0</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r w:rsidRPr="000560AC">
              <w:rPr>
                <w:rFonts w:ascii="Calibri" w:hAnsi="Calibri" w:cs="Calibri"/>
                <w:snapToGrid/>
                <w:color w:val="000000"/>
                <w:sz w:val="22"/>
                <w:szCs w:val="22"/>
              </w:rPr>
              <w:t>9.371</w:t>
            </w:r>
          </w:p>
        </w:tc>
      </w:tr>
      <w:tr w:rsidR="000560AC" w:rsidRPr="000560AC" w:rsidTr="000560AC">
        <w:trPr>
          <w:trHeight w:val="255"/>
        </w:trPr>
        <w:tc>
          <w:tcPr>
            <w:tcW w:w="48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snapToGrid/>
                <w:color w:val="000000"/>
                <w:sz w:val="22"/>
                <w:szCs w:val="22"/>
              </w:rPr>
            </w:pPr>
          </w:p>
        </w:tc>
        <w:tc>
          <w:tcPr>
            <w:tcW w:w="51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rPr>
                <w:snapToGrid/>
              </w:rPr>
            </w:pPr>
          </w:p>
        </w:tc>
      </w:tr>
      <w:tr w:rsidR="000560AC" w:rsidRPr="000560AC" w:rsidTr="000560AC">
        <w:trPr>
          <w:trHeight w:val="255"/>
        </w:trPr>
        <w:tc>
          <w:tcPr>
            <w:tcW w:w="5640" w:type="dxa"/>
            <w:gridSpan w:val="2"/>
            <w:tcBorders>
              <w:top w:val="nil"/>
              <w:left w:val="nil"/>
              <w:bottom w:val="nil"/>
              <w:right w:val="nil"/>
            </w:tcBorders>
            <w:shd w:val="clear" w:color="auto" w:fill="auto"/>
            <w:noWrap/>
            <w:vAlign w:val="center"/>
            <w:hideMark/>
          </w:tcPr>
          <w:p w:rsidR="000560AC" w:rsidRPr="000560AC" w:rsidRDefault="000560AC" w:rsidP="000560AC">
            <w:pPr>
              <w:widowControl/>
              <w:rPr>
                <w:rFonts w:ascii="Calibri" w:hAnsi="Calibri" w:cs="Calibri"/>
                <w:b/>
                <w:bCs/>
                <w:snapToGrid/>
                <w:color w:val="000000"/>
                <w:sz w:val="22"/>
                <w:szCs w:val="22"/>
              </w:rPr>
            </w:pPr>
            <w:r w:rsidRPr="000560AC">
              <w:rPr>
                <w:rFonts w:ascii="Calibri" w:hAnsi="Calibri" w:cs="Calibri"/>
                <w:b/>
                <w:bCs/>
                <w:snapToGrid/>
                <w:color w:val="000000"/>
                <w:sz w:val="22"/>
                <w:szCs w:val="22"/>
              </w:rPr>
              <w:t>Resultado do Exercício</w:t>
            </w: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4.244</w:t>
            </w:r>
            <w:r>
              <w:rPr>
                <w:rFonts w:ascii="Calibri" w:hAnsi="Calibri" w:cs="Calibri"/>
                <w:b/>
                <w:bCs/>
                <w:snapToGrid/>
                <w:color w:val="000000"/>
                <w:sz w:val="22"/>
                <w:szCs w:val="22"/>
              </w:rPr>
              <w:t>)</w:t>
            </w:r>
          </w:p>
        </w:tc>
        <w:tc>
          <w:tcPr>
            <w:tcW w:w="60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p>
        </w:tc>
        <w:tc>
          <w:tcPr>
            <w:tcW w:w="1660" w:type="dxa"/>
            <w:tcBorders>
              <w:top w:val="nil"/>
              <w:left w:val="nil"/>
              <w:bottom w:val="nil"/>
              <w:right w:val="nil"/>
            </w:tcBorders>
            <w:shd w:val="clear" w:color="auto" w:fill="auto"/>
            <w:noWrap/>
            <w:vAlign w:val="center"/>
            <w:hideMark/>
          </w:tcPr>
          <w:p w:rsidR="000560AC" w:rsidRPr="000560AC" w:rsidRDefault="000560AC" w:rsidP="000560A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w:t>
            </w:r>
            <w:r w:rsidRPr="000560AC">
              <w:rPr>
                <w:rFonts w:ascii="Calibri" w:hAnsi="Calibri" w:cs="Calibri"/>
                <w:b/>
                <w:bCs/>
                <w:snapToGrid/>
                <w:color w:val="000000"/>
                <w:sz w:val="22"/>
                <w:szCs w:val="22"/>
              </w:rPr>
              <w:t>107.485</w:t>
            </w:r>
            <w:r>
              <w:rPr>
                <w:rFonts w:ascii="Calibri" w:hAnsi="Calibri" w:cs="Calibri"/>
                <w:b/>
                <w:bCs/>
                <w:snapToGrid/>
                <w:color w:val="000000"/>
                <w:sz w:val="22"/>
                <w:szCs w:val="22"/>
              </w:rPr>
              <w:t>)</w:t>
            </w:r>
          </w:p>
        </w:tc>
      </w:tr>
    </w:tbl>
    <w:p w:rsidR="00AF538B" w:rsidRPr="00AF538B" w:rsidRDefault="00AF538B" w:rsidP="00AF538B">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AF538B" w:rsidRPr="00AF538B" w:rsidRDefault="00AF538B" w:rsidP="00AF538B">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AF538B" w:rsidRDefault="00AF538B" w:rsidP="00AF538B">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AF538B" w:rsidRDefault="00AF538B"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tbl>
      <w:tblPr>
        <w:tblW w:w="10020" w:type="dxa"/>
        <w:tblCellMar>
          <w:left w:w="70" w:type="dxa"/>
          <w:right w:w="70" w:type="dxa"/>
        </w:tblCellMar>
        <w:tblLook w:val="04A0" w:firstRow="1" w:lastRow="0" w:firstColumn="1" w:lastColumn="0" w:noHBand="0" w:noVBand="1"/>
      </w:tblPr>
      <w:tblGrid>
        <w:gridCol w:w="3691"/>
        <w:gridCol w:w="1558"/>
        <w:gridCol w:w="2551"/>
        <w:gridCol w:w="2220"/>
      </w:tblGrid>
      <w:tr w:rsidR="002076AA" w:rsidRPr="002076AA" w:rsidTr="002076AA">
        <w:trPr>
          <w:trHeight w:val="330"/>
        </w:trPr>
        <w:tc>
          <w:tcPr>
            <w:tcW w:w="10020" w:type="dxa"/>
            <w:gridSpan w:val="4"/>
            <w:tcBorders>
              <w:top w:val="nil"/>
              <w:left w:val="nil"/>
              <w:bottom w:val="nil"/>
              <w:right w:val="nil"/>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DEMONSTRAÇÃO DAS MUTAÇÕES DO PATRIMÔNIO LÍQUIDO EM 31/03/2019</w:t>
            </w:r>
          </w:p>
        </w:tc>
      </w:tr>
      <w:tr w:rsidR="002076AA" w:rsidRPr="002076AA" w:rsidTr="002076AA">
        <w:trPr>
          <w:trHeight w:val="330"/>
        </w:trPr>
        <w:tc>
          <w:tcPr>
            <w:tcW w:w="369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1558"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55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220"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r>
      <w:tr w:rsidR="002076AA" w:rsidRPr="002076AA" w:rsidTr="002076AA">
        <w:trPr>
          <w:trHeight w:val="33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Descrição</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Capital Social</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Prejuízos Acumulados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Totais</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Saldos Iniciais</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2.455.536</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3.461.449</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1.005.913</w:t>
            </w:r>
            <w:r>
              <w:rPr>
                <w:rFonts w:ascii="Calibri" w:hAnsi="Calibri" w:cs="Calibri"/>
                <w:snapToGrid/>
                <w:color w:val="000000"/>
                <w:sz w:val="24"/>
                <w:szCs w:val="24"/>
              </w:rPr>
              <w:t>)</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Aumento de Capital</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Ajustes de Exercícios Anteriores</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Resultado do Exercício</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4.224</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4.224</w:t>
            </w:r>
            <w:r>
              <w:rPr>
                <w:rFonts w:ascii="Calibri" w:hAnsi="Calibri" w:cs="Calibri"/>
                <w:snapToGrid/>
                <w:color w:val="000000"/>
                <w:sz w:val="24"/>
                <w:szCs w:val="24"/>
              </w:rPr>
              <w:t>)</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Saldos em 31 de março de 2019</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2.455.536</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3.465.673</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1.010.137</w:t>
            </w:r>
            <w:r>
              <w:rPr>
                <w:rFonts w:ascii="Calibri" w:hAnsi="Calibri" w:cs="Calibri"/>
                <w:snapToGrid/>
                <w:color w:val="000000"/>
                <w:sz w:val="24"/>
                <w:szCs w:val="24"/>
              </w:rPr>
              <w:t>)</w:t>
            </w:r>
          </w:p>
        </w:tc>
      </w:tr>
      <w:tr w:rsidR="002076AA" w:rsidRPr="002076AA" w:rsidTr="002076AA">
        <w:trPr>
          <w:trHeight w:val="330"/>
        </w:trPr>
        <w:tc>
          <w:tcPr>
            <w:tcW w:w="3691" w:type="dxa"/>
            <w:tcBorders>
              <w:top w:val="nil"/>
              <w:left w:val="nil"/>
              <w:bottom w:val="nil"/>
              <w:right w:val="nil"/>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p>
        </w:tc>
        <w:tc>
          <w:tcPr>
            <w:tcW w:w="1558"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55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220"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r>
      <w:tr w:rsidR="002076AA" w:rsidRPr="002076AA" w:rsidTr="002076AA">
        <w:trPr>
          <w:trHeight w:val="330"/>
        </w:trPr>
        <w:tc>
          <w:tcPr>
            <w:tcW w:w="369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1558"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55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220"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r>
      <w:tr w:rsidR="002076AA" w:rsidRPr="002076AA" w:rsidTr="002076AA">
        <w:trPr>
          <w:trHeight w:val="330"/>
        </w:trPr>
        <w:tc>
          <w:tcPr>
            <w:tcW w:w="10020" w:type="dxa"/>
            <w:gridSpan w:val="4"/>
            <w:tcBorders>
              <w:top w:val="nil"/>
              <w:left w:val="nil"/>
              <w:bottom w:val="nil"/>
              <w:right w:val="nil"/>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DEMONSTRAÇÃO DAS MUTAÇÕES DO PATRIMÔNIO LÍQUIDO EM 31/03/2018</w:t>
            </w:r>
          </w:p>
        </w:tc>
      </w:tr>
      <w:tr w:rsidR="002076AA" w:rsidRPr="002076AA" w:rsidTr="002076AA">
        <w:trPr>
          <w:trHeight w:val="330"/>
        </w:trPr>
        <w:tc>
          <w:tcPr>
            <w:tcW w:w="369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1558"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551"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c>
          <w:tcPr>
            <w:tcW w:w="2220" w:type="dxa"/>
            <w:tcBorders>
              <w:top w:val="nil"/>
              <w:left w:val="nil"/>
              <w:bottom w:val="nil"/>
              <w:right w:val="nil"/>
            </w:tcBorders>
            <w:shd w:val="clear" w:color="auto" w:fill="auto"/>
            <w:noWrap/>
            <w:vAlign w:val="center"/>
            <w:hideMark/>
          </w:tcPr>
          <w:p w:rsidR="002076AA" w:rsidRPr="002076AA" w:rsidRDefault="002076AA" w:rsidP="002076AA">
            <w:pPr>
              <w:widowControl/>
              <w:rPr>
                <w:snapToGrid/>
              </w:rPr>
            </w:pPr>
          </w:p>
        </w:tc>
      </w:tr>
      <w:tr w:rsidR="002076AA" w:rsidRPr="002076AA" w:rsidTr="002076AA">
        <w:trPr>
          <w:trHeight w:val="33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Descrição</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Capital Social</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Prejuízos Acumulados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center"/>
              <w:rPr>
                <w:rFonts w:ascii="Calibri" w:hAnsi="Calibri" w:cs="Calibri"/>
                <w:snapToGrid/>
                <w:color w:val="000000"/>
                <w:sz w:val="24"/>
                <w:szCs w:val="24"/>
              </w:rPr>
            </w:pPr>
            <w:r w:rsidRPr="002076AA">
              <w:rPr>
                <w:rFonts w:ascii="Calibri" w:hAnsi="Calibri" w:cs="Calibri"/>
                <w:snapToGrid/>
                <w:color w:val="000000"/>
                <w:sz w:val="24"/>
                <w:szCs w:val="24"/>
              </w:rPr>
              <w:t>Totais</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Saldos Iniciais</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2.455.536</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3.442.963</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987.427</w:t>
            </w:r>
            <w:r>
              <w:rPr>
                <w:rFonts w:ascii="Calibri" w:hAnsi="Calibri" w:cs="Calibri"/>
                <w:snapToGrid/>
                <w:color w:val="000000"/>
                <w:sz w:val="24"/>
                <w:szCs w:val="24"/>
              </w:rPr>
              <w:t>)</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Aumento de Capital</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Ajustes de Exercícios Anteriores</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Resultado do Exercício</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0</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107.485</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107.485</w:t>
            </w:r>
            <w:r>
              <w:rPr>
                <w:rFonts w:ascii="Calibri" w:hAnsi="Calibri" w:cs="Calibri"/>
                <w:snapToGrid/>
                <w:color w:val="000000"/>
                <w:sz w:val="24"/>
                <w:szCs w:val="24"/>
              </w:rPr>
              <w:t>)</w:t>
            </w:r>
          </w:p>
        </w:tc>
      </w:tr>
      <w:tr w:rsidR="002076AA" w:rsidRPr="002076AA" w:rsidTr="002076AA">
        <w:trPr>
          <w:trHeight w:val="33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2076AA" w:rsidRPr="002076AA" w:rsidRDefault="002076AA" w:rsidP="002076AA">
            <w:pPr>
              <w:widowControl/>
              <w:rPr>
                <w:rFonts w:ascii="Calibri" w:hAnsi="Calibri" w:cs="Calibri"/>
                <w:snapToGrid/>
                <w:color w:val="000000"/>
                <w:sz w:val="24"/>
                <w:szCs w:val="24"/>
              </w:rPr>
            </w:pPr>
            <w:r w:rsidRPr="002076AA">
              <w:rPr>
                <w:rFonts w:ascii="Calibri" w:hAnsi="Calibri" w:cs="Calibri"/>
                <w:snapToGrid/>
                <w:color w:val="000000"/>
                <w:sz w:val="24"/>
                <w:szCs w:val="24"/>
              </w:rPr>
              <w:t>Saldos em 31 de março de 2018</w:t>
            </w:r>
          </w:p>
        </w:tc>
        <w:tc>
          <w:tcPr>
            <w:tcW w:w="1558" w:type="dxa"/>
            <w:tcBorders>
              <w:top w:val="nil"/>
              <w:left w:val="nil"/>
              <w:bottom w:val="single" w:sz="4" w:space="0" w:color="auto"/>
              <w:right w:val="single" w:sz="4" w:space="0" w:color="auto"/>
            </w:tcBorders>
            <w:shd w:val="clear" w:color="auto" w:fill="auto"/>
            <w:noWrap/>
            <w:vAlign w:val="center"/>
            <w:hideMark/>
          </w:tcPr>
          <w:p w:rsidR="002076AA" w:rsidRPr="002076AA" w:rsidRDefault="002076AA" w:rsidP="002076AA">
            <w:pPr>
              <w:widowControl/>
              <w:jc w:val="right"/>
              <w:rPr>
                <w:rFonts w:ascii="Calibri" w:hAnsi="Calibri" w:cs="Calibri"/>
                <w:snapToGrid/>
                <w:color w:val="000000"/>
                <w:sz w:val="24"/>
                <w:szCs w:val="24"/>
              </w:rPr>
            </w:pPr>
            <w:r w:rsidRPr="002076AA">
              <w:rPr>
                <w:rFonts w:ascii="Calibri" w:hAnsi="Calibri" w:cs="Calibri"/>
                <w:snapToGrid/>
                <w:color w:val="000000"/>
                <w:sz w:val="24"/>
                <w:szCs w:val="24"/>
              </w:rPr>
              <w:t>2.455.536</w:t>
            </w:r>
          </w:p>
        </w:tc>
        <w:tc>
          <w:tcPr>
            <w:tcW w:w="2551"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3.550.448</w:t>
            </w:r>
            <w:r>
              <w:rPr>
                <w:rFonts w:ascii="Calibri" w:hAnsi="Calibri" w:cs="Calibri"/>
                <w:snapToGrid/>
                <w:color w:val="000000"/>
                <w:sz w:val="24"/>
                <w:szCs w:val="24"/>
              </w:rPr>
              <w:t>)</w:t>
            </w:r>
          </w:p>
        </w:tc>
        <w:tc>
          <w:tcPr>
            <w:tcW w:w="2220" w:type="dxa"/>
            <w:tcBorders>
              <w:top w:val="nil"/>
              <w:left w:val="nil"/>
              <w:bottom w:val="single" w:sz="4" w:space="0" w:color="auto"/>
              <w:right w:val="single" w:sz="4" w:space="0" w:color="auto"/>
            </w:tcBorders>
            <w:shd w:val="clear" w:color="auto" w:fill="auto"/>
            <w:noWrap/>
            <w:vAlign w:val="center"/>
            <w:hideMark/>
          </w:tcPr>
          <w:p w:rsidR="002076AA" w:rsidRPr="002076AA" w:rsidRDefault="004A7359" w:rsidP="004A7359">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076AA" w:rsidRPr="002076AA">
              <w:rPr>
                <w:rFonts w:ascii="Calibri" w:hAnsi="Calibri" w:cs="Calibri"/>
                <w:snapToGrid/>
                <w:color w:val="000000"/>
                <w:sz w:val="24"/>
                <w:szCs w:val="24"/>
              </w:rPr>
              <w:t>1.094.912</w:t>
            </w:r>
            <w:r>
              <w:rPr>
                <w:rFonts w:ascii="Calibri" w:hAnsi="Calibri" w:cs="Calibri"/>
                <w:snapToGrid/>
                <w:color w:val="000000"/>
                <w:sz w:val="24"/>
                <w:szCs w:val="24"/>
              </w:rPr>
              <w:t>)</w:t>
            </w:r>
          </w:p>
        </w:tc>
      </w:tr>
    </w:tbl>
    <w:p w:rsidR="00AF538B" w:rsidRDefault="00AF538B"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AF538B" w:rsidRDefault="00AF538B"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D61B21" w:rsidRDefault="00D61B21"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4062A5" w:rsidRDefault="004062A5" w:rsidP="00215501">
      <w:pPr>
        <w:jc w:val="center"/>
        <w:rPr>
          <w:rFonts w:ascii="Calibri" w:hAnsi="Calibri" w:cs="Calibri"/>
          <w:sz w:val="22"/>
          <w:szCs w:val="22"/>
        </w:rPr>
      </w:pP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2076AA"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2076AA" w:rsidP="00C16DDB">
      <w:pPr>
        <w:pStyle w:val="Ttulo9"/>
        <w:jc w:val="center"/>
        <w:rPr>
          <w:rFonts w:ascii="Calibri" w:hAnsi="Calibri" w:cs="Calibri"/>
          <w:b w:val="0"/>
          <w:sz w:val="24"/>
          <w:szCs w:val="24"/>
        </w:rPr>
      </w:pPr>
      <w:r>
        <w:rPr>
          <w:rFonts w:ascii="Calibri" w:hAnsi="Calibri" w:cs="Calibri"/>
          <w:b w:val="0"/>
          <w:sz w:val="24"/>
          <w:szCs w:val="24"/>
        </w:rPr>
        <w:t>(Em milhares de reais, exceto se indicado de outra forma)</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Pr="00312424"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a administração e exploração comercial dos portos organizados e demais instalações portuárias do Estado - RJ.</w:t>
      </w:r>
    </w:p>
    <w:p w:rsidR="00C16DDB" w:rsidRPr="00312424" w:rsidRDefault="00C16DDB" w:rsidP="00C16DDB">
      <w:pPr>
        <w:pStyle w:val="Default"/>
        <w:rPr>
          <w:rFonts w:ascii="Calibri" w:hAnsi="Calibri" w:cs="Calibri"/>
          <w:color w:val="auto"/>
        </w:rPr>
      </w:pPr>
    </w:p>
    <w:p w:rsidR="00C16DDB" w:rsidRPr="00921985" w:rsidRDefault="00C16DDB"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C16DDB"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 as quais abrangem a legislação societária, os </w:t>
      </w:r>
      <w:r w:rsidR="00027744">
        <w:rPr>
          <w:rFonts w:ascii="Calibri" w:hAnsi="Calibri" w:cs="Calibri"/>
          <w:sz w:val="24"/>
          <w:szCs w:val="24"/>
        </w:rPr>
        <w:t>p</w:t>
      </w:r>
      <w:r w:rsidRPr="00312424">
        <w:rPr>
          <w:rFonts w:ascii="Calibri" w:hAnsi="Calibri" w:cs="Calibri"/>
          <w:sz w:val="24"/>
          <w:szCs w:val="24"/>
        </w:rPr>
        <w:t xml:space="preserve">ronunciamentos, as </w:t>
      </w:r>
      <w:r w:rsidR="00027744">
        <w:rPr>
          <w:rFonts w:ascii="Calibri" w:hAnsi="Calibri" w:cs="Calibri"/>
          <w:sz w:val="24"/>
          <w:szCs w:val="24"/>
        </w:rPr>
        <w:t>o</w:t>
      </w:r>
      <w:r w:rsidRPr="00312424">
        <w:rPr>
          <w:rFonts w:ascii="Calibri" w:hAnsi="Calibri" w:cs="Calibri"/>
          <w:sz w:val="24"/>
          <w:szCs w:val="24"/>
        </w:rPr>
        <w:t xml:space="preserve">rientações e as </w:t>
      </w:r>
      <w:r w:rsidR="00027744">
        <w:rPr>
          <w:rFonts w:ascii="Calibri" w:hAnsi="Calibri" w:cs="Calibri"/>
          <w:sz w:val="24"/>
          <w:szCs w:val="24"/>
        </w:rPr>
        <w:t>i</w:t>
      </w:r>
      <w:r w:rsidRPr="00312424">
        <w:rPr>
          <w:rFonts w:ascii="Calibri" w:hAnsi="Calibri" w:cs="Calibri"/>
          <w:sz w:val="24"/>
          <w:szCs w:val="24"/>
        </w:rPr>
        <w:t>nterpretações emitidas pelo Comitê de Pronunciamentos Contábeis (CPC) e as normas emitidas pelo Conselho Federal de Contabilidade (CFC). As demonstrações financeiras foram preparadas utilizando o custo histórico como base de valor.</w:t>
      </w:r>
      <w:r w:rsidR="00C25126">
        <w:rPr>
          <w:rFonts w:ascii="Calibri" w:hAnsi="Calibri" w:cs="Calibri"/>
          <w:sz w:val="24"/>
          <w:szCs w:val="24"/>
        </w:rPr>
        <w:t xml:space="preserve"> </w:t>
      </w:r>
    </w:p>
    <w:p w:rsidR="00C25126" w:rsidRDefault="00C25126" w:rsidP="00C16DDB">
      <w:pPr>
        <w:tabs>
          <w:tab w:val="left" w:pos="2552"/>
        </w:tabs>
        <w:jc w:val="both"/>
        <w:rPr>
          <w:rFonts w:ascii="Calibri" w:hAnsi="Calibri" w:cs="Calibri"/>
          <w:sz w:val="24"/>
          <w:szCs w:val="24"/>
        </w:rPr>
      </w:pPr>
    </w:p>
    <w:p w:rsidR="00C25126" w:rsidRPr="00312424" w:rsidRDefault="00C25126" w:rsidP="00C16DDB">
      <w:pPr>
        <w:tabs>
          <w:tab w:val="left" w:pos="2552"/>
        </w:tabs>
        <w:jc w:val="both"/>
        <w:rPr>
          <w:rFonts w:ascii="Calibri" w:hAnsi="Calibri" w:cs="Calibri"/>
          <w:b/>
          <w:sz w:val="24"/>
          <w:szCs w:val="24"/>
        </w:rPr>
      </w:pPr>
      <w:r>
        <w:rPr>
          <w:rFonts w:ascii="Calibri" w:hAnsi="Calibri" w:cs="Calibri"/>
          <w:sz w:val="24"/>
          <w:szCs w:val="24"/>
        </w:rPr>
        <w:t xml:space="preserve">As demonstrações </w:t>
      </w:r>
      <w:r w:rsidR="006715E0">
        <w:rPr>
          <w:rFonts w:ascii="Calibri" w:hAnsi="Calibri" w:cs="Calibri"/>
          <w:sz w:val="24"/>
          <w:szCs w:val="24"/>
        </w:rPr>
        <w:t xml:space="preserve">financeiras </w:t>
      </w:r>
      <w:r>
        <w:rPr>
          <w:rFonts w:ascii="Calibri" w:hAnsi="Calibri" w:cs="Calibri"/>
          <w:sz w:val="24"/>
          <w:szCs w:val="24"/>
        </w:rPr>
        <w:t xml:space="preserve">compreendem os resultados </w:t>
      </w:r>
      <w:r w:rsidR="006715E0">
        <w:rPr>
          <w:rFonts w:ascii="Calibri" w:hAnsi="Calibri" w:cs="Calibri"/>
          <w:sz w:val="24"/>
          <w:szCs w:val="24"/>
        </w:rPr>
        <w:t>apurados n</w:t>
      </w:r>
      <w:r>
        <w:rPr>
          <w:rFonts w:ascii="Calibri" w:hAnsi="Calibri" w:cs="Calibri"/>
          <w:sz w:val="24"/>
          <w:szCs w:val="24"/>
        </w:rPr>
        <w:t xml:space="preserve">o período </w:t>
      </w:r>
      <w:r w:rsidR="006715E0">
        <w:rPr>
          <w:rFonts w:ascii="Calibri" w:hAnsi="Calibri" w:cs="Calibri"/>
          <w:sz w:val="24"/>
          <w:szCs w:val="24"/>
        </w:rPr>
        <w:t xml:space="preserve">compreendido entre </w:t>
      </w:r>
      <w:r>
        <w:rPr>
          <w:rFonts w:ascii="Calibri" w:hAnsi="Calibri" w:cs="Calibri"/>
          <w:sz w:val="24"/>
          <w:szCs w:val="24"/>
        </w:rPr>
        <w:t>1º de janeiro de 2019 a 31 de março de 2019 – primeiro trimestre de 2019 – e estão sendo apresentadas em comparação ao mesmo período do exercício de 2018</w:t>
      </w:r>
      <w:r w:rsidR="00D207C6">
        <w:rPr>
          <w:rFonts w:ascii="Calibri" w:hAnsi="Calibri" w:cs="Calibri"/>
          <w:sz w:val="24"/>
          <w:szCs w:val="24"/>
        </w:rPr>
        <w:t>, nos termos no Pronunciamento Técnico CPC 21 (R1), do Comitê de Pronunciamentos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Nas operações realizadas com moedas estrangeiras, estas são convertidas para a moeda funcional (Real), utilizando as taxas de câmbio vigentes nas datas das transações ou da avaliação na qual os itens são mensurados. Os ganhos e as perdas cambiais resultantes da liquidação dessas transações e da conversão pelas taxas de câmbio do final do exercício</w:t>
      </w:r>
      <w:r w:rsidR="00027744">
        <w:rPr>
          <w:rFonts w:ascii="Calibri" w:hAnsi="Calibri" w:cs="Calibri"/>
          <w:sz w:val="24"/>
          <w:szCs w:val="24"/>
        </w:rPr>
        <w:t>,</w:t>
      </w:r>
      <w:r w:rsidRPr="00312424">
        <w:rPr>
          <w:rFonts w:ascii="Calibri" w:hAnsi="Calibri" w:cs="Calibri"/>
          <w:sz w:val="24"/>
          <w:szCs w:val="24"/>
        </w:rPr>
        <w:t xml:space="preserve"> referentes a ativos e passivos monetários em moedas estrangeiras</w:t>
      </w:r>
      <w:r w:rsidR="00027744">
        <w:rPr>
          <w:rFonts w:ascii="Calibri" w:hAnsi="Calibri" w:cs="Calibri"/>
          <w:sz w:val="24"/>
          <w:szCs w:val="24"/>
        </w:rPr>
        <w:t>,</w:t>
      </w:r>
      <w:r w:rsidRPr="00312424">
        <w:rPr>
          <w:rFonts w:ascii="Calibri" w:hAnsi="Calibri" w:cs="Calibri"/>
          <w:sz w:val="24"/>
          <w:szCs w:val="24"/>
        </w:rPr>
        <w:t xml:space="preserve"> são reconhecidos na demonstração do resultado, exceto nos casos em que forem diferidos no patrimônio, caso ocorr</w:t>
      </w:r>
      <w:r w:rsidR="00027744">
        <w:rPr>
          <w:rFonts w:ascii="Calibri" w:hAnsi="Calibri" w:cs="Calibri"/>
          <w:sz w:val="24"/>
          <w:szCs w:val="24"/>
        </w:rPr>
        <w:t>am</w:t>
      </w:r>
      <w:r w:rsidRPr="00312424">
        <w:rPr>
          <w:rFonts w:ascii="Calibri" w:hAnsi="Calibri" w:cs="Calibri"/>
          <w:sz w:val="24"/>
          <w:szCs w:val="24"/>
        </w:rPr>
        <w:t xml:space="preserve"> operações de hedge de fluxo de caixa. Atualmente, a Companhia possui transações em moeda estrangeira em contratos de arrendamento provenientes da extinta PORTOBRAS, conforme </w:t>
      </w:r>
      <w:r w:rsidRPr="00B93985">
        <w:rPr>
          <w:rFonts w:ascii="Calibri" w:hAnsi="Calibri" w:cs="Calibri"/>
          <w:sz w:val="24"/>
          <w:szCs w:val="24"/>
        </w:rPr>
        <w:t xml:space="preserve">nota explicativa </w:t>
      </w:r>
      <w:r w:rsidR="00462F47" w:rsidRPr="00B93985">
        <w:rPr>
          <w:rFonts w:ascii="Calibri" w:hAnsi="Calibri" w:cs="Calibri"/>
          <w:sz w:val="24"/>
          <w:szCs w:val="24"/>
        </w:rPr>
        <w:t>16</w:t>
      </w:r>
      <w:r w:rsidRPr="00462F47">
        <w:rPr>
          <w:rFonts w:ascii="Calibri" w:hAnsi="Calibri" w:cs="Calibri"/>
          <w:sz w:val="24"/>
          <w:szCs w:val="24"/>
        </w:rPr>
        <w:t>.</w:t>
      </w:r>
    </w:p>
    <w:p w:rsidR="00C16DDB" w:rsidRPr="00312424" w:rsidRDefault="00C16DDB" w:rsidP="00C16DDB">
      <w:pPr>
        <w:tabs>
          <w:tab w:val="left" w:pos="2552"/>
        </w:tabs>
        <w:jc w:val="both"/>
        <w:rPr>
          <w:rFonts w:ascii="Calibri" w:hAnsi="Calibri" w:cs="Calibri"/>
          <w:sz w:val="24"/>
          <w:szCs w:val="24"/>
        </w:rPr>
      </w:pPr>
    </w:p>
    <w:p w:rsidR="00C16DDB" w:rsidRDefault="00C16DDB" w:rsidP="00C16DDB">
      <w:pPr>
        <w:tabs>
          <w:tab w:val="left" w:pos="2552"/>
        </w:tabs>
        <w:jc w:val="both"/>
        <w:rPr>
          <w:rFonts w:ascii="Calibri" w:hAnsi="Calibri" w:cs="Calibri"/>
          <w:sz w:val="24"/>
          <w:szCs w:val="24"/>
        </w:rPr>
      </w:pPr>
    </w:p>
    <w:p w:rsidR="006715E0" w:rsidRPr="00921985" w:rsidRDefault="006715E0"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lastRenderedPageBreak/>
        <w:t xml:space="preserve">3 – </w:t>
      </w:r>
      <w:r w:rsidRPr="00312424">
        <w:rPr>
          <w:rFonts w:ascii="Calibri" w:hAnsi="Calibri" w:cs="Calibri"/>
          <w:b/>
          <w:sz w:val="24"/>
          <w:szCs w:val="24"/>
          <w:u w:val="single"/>
        </w:rPr>
        <w:t>PRINCIPAIS PRÁTICAS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São as seguintes as práticas adotadas para a elaboração destas demonstrações financeiras: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C16DDB">
      <w:pPr>
        <w:pStyle w:val="Recuodecorpodetexto"/>
        <w:widowControl/>
        <w:autoSpaceDE w:val="0"/>
        <w:autoSpaceDN w:val="0"/>
        <w:ind w:left="851"/>
        <w:rPr>
          <w:rFonts w:ascii="Calibri" w:hAnsi="Calibri" w:cs="Calibri"/>
          <w:b/>
          <w:szCs w:val="24"/>
          <w:lang w:val="pt-BR"/>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 xml:space="preserve">prestação dos serviços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Demonstraçã</w:t>
      </w:r>
      <w:r w:rsidR="00947D01">
        <w:rPr>
          <w:rFonts w:ascii="Calibri" w:hAnsi="Calibri" w:cs="Calibri"/>
          <w:b/>
          <w:szCs w:val="24"/>
          <w:lang w:val="pt-BR"/>
        </w:rPr>
        <w:t>o do Resultado Abrangente</w:t>
      </w:r>
    </w:p>
    <w:p w:rsidR="00C16DDB" w:rsidRPr="00312424" w:rsidRDefault="00C16DDB" w:rsidP="00C16DDB">
      <w:pPr>
        <w:pStyle w:val="Recuodecorpodetexto"/>
        <w:widowControl/>
        <w:autoSpaceDE w:val="0"/>
        <w:autoSpaceDN w:val="0"/>
        <w:ind w:left="1637"/>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lang w:val="pt-BR"/>
        </w:rPr>
        <w:t xml:space="preserve">Não houve transações no patrimônio líquido, em todos os aspectos relevantes, que ocasionassem ajustes </w:t>
      </w:r>
      <w:r w:rsidR="00CF6655">
        <w:rPr>
          <w:rFonts w:ascii="Calibri" w:hAnsi="Calibri" w:cs="Calibri"/>
          <w:szCs w:val="24"/>
          <w:lang w:val="pt-BR"/>
        </w:rPr>
        <w:t>os quais</w:t>
      </w:r>
      <w:r w:rsidRPr="00312424">
        <w:rPr>
          <w:rFonts w:ascii="Calibri" w:hAnsi="Calibri" w:cs="Calibri"/>
          <w:szCs w:val="24"/>
          <w:lang w:val="pt-BR"/>
        </w:rPr>
        <w:t xml:space="preserve"> pudessem compor a demonstração do resultado abrangente.</w:t>
      </w:r>
    </w:p>
    <w:p w:rsidR="00C16DDB" w:rsidRPr="00312424" w:rsidRDefault="00C16DDB" w:rsidP="00C16DDB">
      <w:pPr>
        <w:pStyle w:val="Recuodecorpodetexto"/>
        <w:ind w:left="1361"/>
        <w:rPr>
          <w:rFonts w:ascii="Calibri" w:hAnsi="Calibri" w:cs="Calibri"/>
          <w:szCs w:val="24"/>
        </w:rPr>
      </w:pPr>
    </w:p>
    <w:p w:rsidR="00C16DDB" w:rsidRPr="00312424" w:rsidRDefault="00947D01" w:rsidP="00B93985">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C16DDB">
      <w:pPr>
        <w:pStyle w:val="Recuodecorpodetexto"/>
        <w:ind w:left="1389"/>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C16DDB">
      <w:pPr>
        <w:pStyle w:val="Recuodecorpodetexto"/>
        <w:ind w:left="1361"/>
        <w:rPr>
          <w:rFonts w:ascii="Calibri" w:hAnsi="Calibri" w:cs="Calibri"/>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947D01" w:rsidP="00C16DDB">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 Os valores são remetidos por meio do Sistema Integrado de Administração Financeira – SIAFI.</w:t>
      </w:r>
    </w:p>
    <w:p w:rsidR="00C16DDB" w:rsidRPr="00312424" w:rsidRDefault="00C16DDB" w:rsidP="00C16DDB">
      <w:pPr>
        <w:pStyle w:val="Recuodecorpodetexto"/>
        <w:widowControl/>
        <w:autoSpaceDE w:val="0"/>
        <w:autoSpaceDN w:val="0"/>
        <w:ind w:left="360" w:firstLine="1058"/>
        <w:rPr>
          <w:rFonts w:ascii="Calibri" w:hAnsi="Calibri" w:cs="Calibri"/>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Classificação e mensuração</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A Companhia classifica seus ativos financeiros em mensurados ao valor justo por meio do resultado, empréstimos e recebíveis. A Administração determina a classificação dos seus ativos financeiros no reconhecimento inicial.</w:t>
      </w:r>
    </w:p>
    <w:p w:rsidR="00C16DDB" w:rsidRPr="00312424" w:rsidRDefault="00C16DDB"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Ativos financeiros</w:t>
      </w:r>
    </w:p>
    <w:p w:rsidR="00C16DDB" w:rsidRPr="00312424" w:rsidRDefault="00C16DDB" w:rsidP="00C16DDB">
      <w:pPr>
        <w:pStyle w:val="Recuodecorpodetexto"/>
        <w:widowControl/>
        <w:autoSpaceDE w:val="0"/>
        <w:autoSpaceDN w:val="0"/>
        <w:rPr>
          <w:rFonts w:ascii="Calibri" w:hAnsi="Calibri" w:cs="Calibri"/>
          <w:b/>
          <w:szCs w:val="24"/>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inanceiros mensurados ao valor justo por meio do resultado são ativos mantidos para negociação ativa e frequente. Os ativos dessa categoria são classificados como ativos circulantes. Os ganhos e as perdas decorrentes de variações em seu valor justo são apresentados na demonstração do resultado.</w:t>
      </w:r>
    </w:p>
    <w:p w:rsidR="00C16DDB" w:rsidRPr="00312424" w:rsidRDefault="00C16DDB" w:rsidP="00C16DDB">
      <w:pPr>
        <w:pStyle w:val="Recuodecorpodetexto"/>
        <w:widowControl/>
        <w:autoSpaceDE w:val="0"/>
        <w:autoSpaceDN w:val="0"/>
        <w:ind w:left="0"/>
        <w:rPr>
          <w:rFonts w:ascii="Calibri" w:hAnsi="Calibri" w:cs="Calibri"/>
          <w:szCs w:val="24"/>
          <w:lang w:val="pt-BR"/>
        </w:rPr>
      </w:pPr>
    </w:p>
    <w:p w:rsidR="00C16DDB" w:rsidRPr="00312424" w:rsidRDefault="00C16DDB" w:rsidP="00C16DDB">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 Empréstimos e </w:t>
      </w:r>
      <w:r w:rsidR="00947D01">
        <w:rPr>
          <w:rFonts w:ascii="Calibri" w:hAnsi="Calibri" w:cs="Calibri"/>
          <w:b/>
          <w:szCs w:val="24"/>
          <w:lang w:val="pt-BR"/>
        </w:rPr>
        <w:t>R</w:t>
      </w:r>
      <w:r w:rsidRPr="00312424">
        <w:rPr>
          <w:rFonts w:ascii="Calibri" w:hAnsi="Calibri" w:cs="Calibri"/>
          <w:b/>
          <w:szCs w:val="24"/>
          <w:lang w:val="pt-BR"/>
        </w:rPr>
        <w:t>ecebíveis</w:t>
      </w:r>
    </w:p>
    <w:p w:rsidR="00C16DDB" w:rsidRPr="00312424" w:rsidRDefault="00C16DDB" w:rsidP="00C16DDB">
      <w:pPr>
        <w:pStyle w:val="Recuodecorpodetexto"/>
        <w:widowControl/>
        <w:autoSpaceDE w:val="0"/>
        <w:autoSpaceDN w:val="0"/>
        <w:rPr>
          <w:rFonts w:ascii="Calibri" w:hAnsi="Calibri" w:cs="Calibri"/>
          <w:szCs w:val="24"/>
          <w:lang w:val="pt-BR"/>
        </w:rPr>
      </w:pPr>
      <w:r w:rsidRPr="00312424">
        <w:rPr>
          <w:rFonts w:ascii="Calibri" w:hAnsi="Calibri" w:cs="Calibri"/>
          <w:szCs w:val="24"/>
          <w:lang w:val="pt-BR"/>
        </w:rPr>
        <w:t>Os empréstimos concedidos e os recebíveis que são ativos financeiros não derivativos</w:t>
      </w:r>
      <w:r w:rsidR="00CF6655">
        <w:rPr>
          <w:rFonts w:ascii="Calibri" w:hAnsi="Calibri" w:cs="Calibri"/>
          <w:szCs w:val="24"/>
          <w:lang w:val="pt-BR"/>
        </w:rPr>
        <w:t>,</w:t>
      </w:r>
      <w:r w:rsidRPr="00312424">
        <w:rPr>
          <w:rFonts w:ascii="Calibri" w:hAnsi="Calibri" w:cs="Calibri"/>
          <w:szCs w:val="24"/>
          <w:lang w:val="pt-BR"/>
        </w:rPr>
        <w:t xml:space="preserve"> com pagamentos fixos ou determináveis, não estão cotados em um mercado ativo. São incluídos </w:t>
      </w:r>
      <w:r w:rsidRPr="00312424">
        <w:rPr>
          <w:rFonts w:ascii="Calibri" w:hAnsi="Calibri" w:cs="Calibri"/>
          <w:szCs w:val="24"/>
          <w:lang w:val="pt-BR"/>
        </w:rPr>
        <w:lastRenderedPageBreak/>
        <w:t xml:space="preserve">como ativos circulantes todos aqueles com prazo de vencimento até o último dia do exercício seguinte; caso contrário, estes são classificados como não circulantes. Os empréstimos e recebíveis da Companhia compreendem as contas a receber de clientes, demais contas a receber e caixa e equivalentes de caixa. Os empréstimos e recebíveis são contabilizados pelo custo amortizado, usando o método de taxa de juros efetiva. </w:t>
      </w:r>
    </w:p>
    <w:p w:rsidR="00462F47" w:rsidRPr="00312424" w:rsidRDefault="00462F47" w:rsidP="00C16DDB">
      <w:pPr>
        <w:pStyle w:val="Recuodecorpodetexto"/>
        <w:widowControl/>
        <w:autoSpaceDE w:val="0"/>
        <w:autoSpaceDN w:val="0"/>
        <w:rPr>
          <w:rFonts w:ascii="Calibri" w:hAnsi="Calibri" w:cs="Calibri"/>
          <w:szCs w:val="24"/>
          <w:lang w:val="pt-BR"/>
        </w:rPr>
      </w:pPr>
    </w:p>
    <w:p w:rsidR="00C16DDB" w:rsidRPr="00312424" w:rsidRDefault="00C16DDB" w:rsidP="00C16DDB">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para todos os créditos vencidos e não recebidos há mais de 180 dias</w:t>
      </w:r>
      <w:r w:rsidR="00CF6655">
        <w:rPr>
          <w:rFonts w:ascii="Calibri" w:hAnsi="Calibri" w:cs="Calibri"/>
          <w:szCs w:val="24"/>
          <w:lang w:val="pt-BR"/>
        </w:rPr>
        <w:t>,</w:t>
      </w:r>
      <w:r w:rsidRPr="00312424">
        <w:rPr>
          <w:rFonts w:ascii="Calibri" w:hAnsi="Calibri" w:cs="Calibri"/>
          <w:szCs w:val="24"/>
          <w:lang w:val="pt-BR"/>
        </w:rPr>
        <w:t xml:space="preserve"> em montantes considerados suficientes pela Administração para cobrir as possíveis perda</w:t>
      </w:r>
      <w:r w:rsidR="007B3EDF">
        <w:rPr>
          <w:rFonts w:ascii="Calibri" w:hAnsi="Calibri" w:cs="Calibri"/>
          <w:szCs w:val="24"/>
          <w:lang w:val="pt-BR"/>
        </w:rPr>
        <w:t xml:space="preserve">s na realização destes créditos. Também haverá a constituição de perdas para os créditos vencidos há menos de 180 dias, quando for </w:t>
      </w:r>
      <w:r w:rsidR="00AE3EE6">
        <w:rPr>
          <w:rFonts w:ascii="Calibri" w:hAnsi="Calibri" w:cs="Calibri"/>
          <w:szCs w:val="24"/>
          <w:lang w:val="pt-BR"/>
        </w:rPr>
        <w:t>im</w:t>
      </w:r>
      <w:r w:rsidR="007B3EDF">
        <w:rPr>
          <w:rFonts w:ascii="Calibri" w:hAnsi="Calibri" w:cs="Calibri"/>
          <w:szCs w:val="24"/>
          <w:lang w:val="pt-BR"/>
        </w:rPr>
        <w:t>provável a realização do crédito</w:t>
      </w:r>
      <w:r w:rsidR="006715E0">
        <w:rPr>
          <w:rFonts w:ascii="Calibri" w:hAnsi="Calibri" w:cs="Calibri"/>
          <w:szCs w:val="24"/>
          <w:lang w:val="pt-BR"/>
        </w:rPr>
        <w:t>,</w:t>
      </w:r>
      <w:r w:rsidR="007B3EDF">
        <w:rPr>
          <w:rFonts w:ascii="Calibri" w:hAnsi="Calibri" w:cs="Calibri"/>
          <w:szCs w:val="24"/>
          <w:lang w:val="pt-BR"/>
        </w:rPr>
        <w:t xml:space="preserve"> </w:t>
      </w:r>
      <w:r w:rsidR="006715E0">
        <w:rPr>
          <w:rFonts w:ascii="Calibri" w:hAnsi="Calibri" w:cs="Calibri"/>
          <w:szCs w:val="24"/>
          <w:lang w:val="pt-BR"/>
        </w:rPr>
        <w:t xml:space="preserve">dentro do vencimento, </w:t>
      </w:r>
      <w:r w:rsidR="007B3EDF">
        <w:rPr>
          <w:rFonts w:ascii="Calibri" w:hAnsi="Calibri" w:cs="Calibri"/>
          <w:szCs w:val="24"/>
          <w:lang w:val="pt-BR"/>
        </w:rPr>
        <w:t xml:space="preserve">por motivos </w:t>
      </w:r>
      <w:r w:rsidR="006715E0">
        <w:rPr>
          <w:rFonts w:ascii="Calibri" w:hAnsi="Calibri" w:cs="Calibri"/>
          <w:szCs w:val="24"/>
          <w:lang w:val="pt-BR"/>
        </w:rPr>
        <w:t>previamente conhecidos.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Estoques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empresa e estão avaliados ao custo médio de aquisição, não excedendo o valor de mercado.</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E606FD"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s por outros órgãos públicos.</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rPr>
      </w:pPr>
      <w:r w:rsidRPr="00312424">
        <w:rPr>
          <w:rFonts w:ascii="Calibri" w:hAnsi="Calibri" w:cs="Calibri"/>
          <w:szCs w:val="24"/>
          <w:lang w:val="pt-BR"/>
        </w:rPr>
        <w:t xml:space="preserve">Uma vez classificados como bens disponibilizados para vendas e/ou cessão, os ativos não são depreciados e seu registro se dá pelo menor valor entre seu valor residual e seu valor de mercado. Os valores estão sendo informados na </w:t>
      </w:r>
      <w:r w:rsidRPr="00302089">
        <w:rPr>
          <w:rFonts w:ascii="Calibri" w:hAnsi="Calibri" w:cs="Calibri"/>
          <w:szCs w:val="24"/>
          <w:lang w:val="pt-BR"/>
        </w:rPr>
        <w:t xml:space="preserve">nota </w:t>
      </w:r>
      <w:r w:rsidR="00AE3EE6" w:rsidRPr="00302089">
        <w:rPr>
          <w:rFonts w:ascii="Calibri" w:hAnsi="Calibri" w:cs="Calibri"/>
          <w:szCs w:val="24"/>
          <w:lang w:val="pt-BR"/>
        </w:rPr>
        <w:t xml:space="preserve">explicativa </w:t>
      </w:r>
      <w:r w:rsidR="00462F47" w:rsidRPr="00302089">
        <w:rPr>
          <w:rFonts w:ascii="Calibri" w:hAnsi="Calibri" w:cs="Calibri"/>
          <w:szCs w:val="24"/>
          <w:lang w:val="pt-BR"/>
        </w:rPr>
        <w:t>9</w:t>
      </w:r>
      <w:r w:rsidRPr="00302089">
        <w:rPr>
          <w:rFonts w:ascii="Calibri" w:hAnsi="Calibri" w:cs="Calibri"/>
          <w:szCs w:val="24"/>
          <w:lang w:val="pt-BR"/>
        </w:rPr>
        <w:t>.</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E606FD" w:rsidP="00B93985">
      <w:pPr>
        <w:pStyle w:val="Recuodecorpodetexto"/>
        <w:widowControl/>
        <w:numPr>
          <w:ilvl w:val="1"/>
          <w:numId w:val="5"/>
        </w:numPr>
        <w:autoSpaceDE w:val="0"/>
        <w:autoSpaceDN w:val="0"/>
        <w:ind w:left="993" w:hanging="567"/>
        <w:rPr>
          <w:rFonts w:ascii="Calibri" w:hAnsi="Calibri" w:cs="Calibri"/>
          <w:b/>
          <w:szCs w:val="24"/>
        </w:rPr>
      </w:pPr>
      <w:proofErr w:type="gramStart"/>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roofErr w:type="gramEnd"/>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 acerca dos valores envolvidos e sua exigibilidade.</w:t>
      </w:r>
    </w:p>
    <w:p w:rsidR="00C16DDB" w:rsidRDefault="00C16DDB" w:rsidP="00C16DDB">
      <w:pPr>
        <w:pStyle w:val="Recuodecorpodetexto"/>
        <w:widowControl/>
        <w:autoSpaceDE w:val="0"/>
        <w:autoSpaceDN w:val="0"/>
        <w:ind w:left="1353"/>
        <w:rPr>
          <w:rFonts w:ascii="Calibri" w:hAnsi="Calibri" w:cs="Calibri"/>
          <w:b/>
          <w:szCs w:val="24"/>
          <w:lang w:val="pt-BR"/>
        </w:rPr>
      </w:pPr>
    </w:p>
    <w:p w:rsidR="006715E0" w:rsidRDefault="006715E0" w:rsidP="00C16DDB">
      <w:pPr>
        <w:pStyle w:val="Recuodecorpodetexto"/>
        <w:widowControl/>
        <w:autoSpaceDE w:val="0"/>
        <w:autoSpaceDN w:val="0"/>
        <w:ind w:left="1353"/>
        <w:rPr>
          <w:rFonts w:ascii="Calibri" w:hAnsi="Calibri" w:cs="Calibri"/>
          <w:b/>
          <w:szCs w:val="24"/>
          <w:lang w:val="pt-BR"/>
        </w:rPr>
      </w:pPr>
    </w:p>
    <w:p w:rsidR="006715E0" w:rsidRPr="00312424" w:rsidRDefault="006715E0"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lastRenderedPageBreak/>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Alterações no valor justo são reconhecidas no resultado do exercício.</w:t>
      </w:r>
    </w:p>
    <w:p w:rsidR="00AE3EE6" w:rsidRPr="00312424" w:rsidRDefault="00AE3EE6" w:rsidP="00C16DDB">
      <w:pPr>
        <w:rPr>
          <w:rFonts w:ascii="Calibri" w:hAnsi="Calibri" w:cs="Calibri"/>
          <w:sz w:val="24"/>
          <w:szCs w:val="24"/>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está demonstrado ao custo de aquisição, deduzido de depreciação acumulada, corrigido monetariamente até 31 de dezembro de </w:t>
      </w:r>
      <w:smartTag w:uri="urn:schemas-microsoft-com:office:smarttags" w:element="metricconverter">
        <w:smartTagPr>
          <w:attr w:name="ProductID" w:val="1995. A"/>
        </w:smartTagPr>
        <w:r w:rsidRPr="00312424">
          <w:rPr>
            <w:rFonts w:ascii="Calibri" w:hAnsi="Calibri" w:cs="Calibri"/>
            <w:sz w:val="24"/>
            <w:szCs w:val="24"/>
          </w:rPr>
          <w:t>1995. A</w:t>
        </w:r>
      </w:smartTag>
      <w:r w:rsidRPr="00312424">
        <w:rPr>
          <w:rFonts w:ascii="Calibri" w:hAnsi="Calibri" w:cs="Calibri"/>
          <w:sz w:val="24"/>
          <w:szCs w:val="24"/>
        </w:rPr>
        <w:t xml:space="preserve"> depreciação é calculada segundo o método linear, com base em taxas que contemplam a vida útil-econômica estimada para cada classe de bens e não ultrapassa</w:t>
      </w:r>
      <w:r w:rsidR="00E606FD">
        <w:rPr>
          <w:rFonts w:ascii="Calibri" w:hAnsi="Calibri" w:cs="Calibri"/>
          <w:sz w:val="24"/>
          <w:szCs w:val="24"/>
        </w:rPr>
        <w:t xml:space="preserve"> </w:t>
      </w:r>
      <w:r w:rsidRPr="00312424">
        <w:rPr>
          <w:rFonts w:ascii="Calibri" w:hAnsi="Calibri" w:cs="Calibri"/>
          <w:sz w:val="24"/>
          <w:szCs w:val="24"/>
        </w:rPr>
        <w:t>os índices de dedutibilidade admitidos pela legislação fiscal.</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 xml:space="preserve">calculada segundo o método linear, com base em taxas que contemplam a vida útil-econômica estimada para cada classe de bens e não ultrapassam os índices de dedutibilidade admitidos pela legislação fiscal.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Arrendamento </w:t>
      </w:r>
      <w:r w:rsidR="00947D01">
        <w:rPr>
          <w:rFonts w:ascii="Calibri" w:hAnsi="Calibri" w:cs="Calibri"/>
          <w:b/>
          <w:szCs w:val="24"/>
          <w:lang w:val="pt-BR"/>
        </w:rPr>
        <w:t>M</w:t>
      </w:r>
      <w:r w:rsidRPr="00312424">
        <w:rPr>
          <w:rFonts w:ascii="Calibri" w:hAnsi="Calibri" w:cs="Calibri"/>
          <w:b/>
          <w:szCs w:val="24"/>
          <w:lang w:val="pt-BR"/>
        </w:rPr>
        <w:t>ercantil</w:t>
      </w:r>
    </w:p>
    <w:p w:rsidR="00C16DDB" w:rsidRPr="00312424" w:rsidRDefault="00C16DDB" w:rsidP="00C16DDB">
      <w:pPr>
        <w:pStyle w:val="Ttulo3"/>
        <w:ind w:left="851"/>
        <w:jc w:val="both"/>
        <w:rPr>
          <w:rFonts w:ascii="Calibri" w:hAnsi="Calibri" w:cs="Calibri"/>
          <w:sz w:val="24"/>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valores provenientes de contratos de </w:t>
      </w:r>
      <w:r w:rsidRPr="00947D01">
        <w:rPr>
          <w:rFonts w:ascii="Calibri" w:hAnsi="Calibri" w:cs="Calibri"/>
          <w:i/>
          <w:sz w:val="24"/>
          <w:szCs w:val="24"/>
        </w:rPr>
        <w:t>leasing</w:t>
      </w:r>
      <w:r w:rsidR="00947D01" w:rsidRPr="00947D01">
        <w:rPr>
          <w:rFonts w:ascii="Calibri" w:hAnsi="Calibri" w:cs="Calibri"/>
          <w:sz w:val="24"/>
          <w:szCs w:val="24"/>
        </w:rPr>
        <w:t>,</w:t>
      </w:r>
      <w:r w:rsidRPr="00312424">
        <w:rPr>
          <w:rFonts w:ascii="Calibri" w:hAnsi="Calibri" w:cs="Calibri"/>
          <w:sz w:val="24"/>
          <w:szCs w:val="24"/>
        </w:rPr>
        <w:t xml:space="preserve"> recebidos por transferência da extinta Empresa de Portos do Brasil – PORTOBRÁS</w:t>
      </w:r>
      <w:r w:rsidR="00947D01">
        <w:rPr>
          <w:rFonts w:ascii="Calibri" w:hAnsi="Calibri" w:cs="Calibri"/>
          <w:sz w:val="24"/>
          <w:szCs w:val="24"/>
        </w:rPr>
        <w:t>,</w:t>
      </w:r>
      <w:r w:rsidRPr="00312424">
        <w:rPr>
          <w:rFonts w:ascii="Calibri" w:hAnsi="Calibri" w:cs="Calibri"/>
          <w:sz w:val="24"/>
          <w:szCs w:val="24"/>
        </w:rPr>
        <w:t xml:space="preserve"> são atualizados pelas taxas iniciais contratadas, mantidos no passivo até a liquidação da dívida, conforme detalha</w:t>
      </w:r>
      <w:r w:rsidR="00947D01">
        <w:rPr>
          <w:rFonts w:ascii="Calibri" w:hAnsi="Calibri" w:cs="Calibri"/>
          <w:sz w:val="24"/>
          <w:szCs w:val="24"/>
        </w:rPr>
        <w:t>do</w:t>
      </w:r>
      <w:r w:rsidRPr="00312424">
        <w:rPr>
          <w:rFonts w:ascii="Calibri" w:hAnsi="Calibri" w:cs="Calibri"/>
          <w:sz w:val="24"/>
          <w:szCs w:val="24"/>
        </w:rPr>
        <w:t xml:space="preserve"> na </w:t>
      </w:r>
      <w:r w:rsidRPr="00302089">
        <w:rPr>
          <w:rFonts w:ascii="Calibri" w:hAnsi="Calibri" w:cs="Calibri"/>
          <w:sz w:val="24"/>
          <w:szCs w:val="24"/>
        </w:rPr>
        <w:t xml:space="preserve">nota explicativa </w:t>
      </w:r>
      <w:r w:rsidR="00462F47" w:rsidRPr="00302089">
        <w:rPr>
          <w:rFonts w:ascii="Calibri" w:hAnsi="Calibri" w:cs="Calibri"/>
          <w:sz w:val="24"/>
          <w:szCs w:val="24"/>
        </w:rPr>
        <w:t>16</w:t>
      </w:r>
      <w:r w:rsidRPr="00302089">
        <w:rPr>
          <w:rFonts w:ascii="Calibri" w:hAnsi="Calibri" w:cs="Calibri"/>
          <w:sz w:val="24"/>
          <w:szCs w:val="24"/>
        </w:rPr>
        <w:t>.</w:t>
      </w:r>
    </w:p>
    <w:p w:rsidR="00C16DDB" w:rsidRPr="00312424" w:rsidRDefault="00C16DDB" w:rsidP="00C16DDB">
      <w:pPr>
        <w:pStyle w:val="Recuodecorpodetexto"/>
        <w:widowControl/>
        <w:autoSpaceDE w:val="0"/>
        <w:autoSpaceDN w:val="0"/>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As provisões para contingências foram reconhecidas com base nas estimativas de perdas prováveis em ações nas quais a Companhia é parte reclamada, mensuradas através de relatórios gerenciados pela Superintendência Jurídica da CDRJ, sendo o seu reconhecimento, mensuração e divulgação efetuados em atendimento ao CPC 25 – Provisões, passivos contingentes e ativos contingentes.</w:t>
      </w:r>
    </w:p>
    <w:p w:rsidR="00947D01" w:rsidRDefault="00947D01" w:rsidP="00947D01">
      <w:pPr>
        <w:rPr>
          <w:rFonts w:ascii="Calibri" w:hAnsi="Calibri" w:cs="Calibri"/>
          <w:sz w:val="24"/>
          <w:szCs w:val="24"/>
        </w:rPr>
      </w:pPr>
    </w:p>
    <w:p w:rsidR="006715E0" w:rsidRPr="00D15E30" w:rsidRDefault="006715E0" w:rsidP="00947D01">
      <w:pPr>
        <w:rPr>
          <w:rFonts w:ascii="Calibri" w:hAnsi="Calibri" w:cs="Calibri"/>
          <w:sz w:val="24"/>
          <w:szCs w:val="24"/>
        </w:rPr>
      </w:pPr>
    </w:p>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lastRenderedPageBreak/>
        <w:t>Receitas Diferidas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 em atendimento ao regime de competência.</w:t>
      </w:r>
      <w:r w:rsidRPr="00D15E30">
        <w:rPr>
          <w:rFonts w:ascii="Calibri" w:hAnsi="Calibri" w:cs="Calibri"/>
          <w:sz w:val="24"/>
          <w:szCs w:val="24"/>
        </w:rPr>
        <w:t xml:space="preserve"> </w:t>
      </w:r>
    </w:p>
    <w:p w:rsidR="00AE3EE6" w:rsidRPr="00AE3EE6" w:rsidRDefault="00AE3EE6" w:rsidP="00AE3EE6"/>
    <w:p w:rsidR="00D15E30" w:rsidRPr="00D15E30"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D15E30" w:rsidRPr="00D15E30" w:rsidRDefault="00D15E30" w:rsidP="00D15E30">
      <w:pPr>
        <w:pStyle w:val="Ttulo3"/>
        <w:ind w:left="851"/>
        <w:jc w:val="both"/>
        <w:rPr>
          <w:rFonts w:ascii="Calibri" w:hAnsi="Calibri" w:cs="Calibri"/>
          <w:sz w:val="24"/>
          <w:szCs w:val="24"/>
        </w:rPr>
      </w:pPr>
    </w:p>
    <w:p w:rsidR="00D15E30" w:rsidRPr="00921985" w:rsidRDefault="00D15E30" w:rsidP="00D15E30">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w:t>
      </w:r>
      <w:r w:rsidR="00921985">
        <w:rPr>
          <w:rFonts w:ascii="Calibri" w:hAnsi="Calibri" w:cs="Calibri"/>
          <w:sz w:val="24"/>
          <w:szCs w:val="24"/>
        </w:rPr>
        <w:t xml:space="preserve">quando estiverem relacionadas com itens reconhecidos diretamente no patrimônio líquido. Os encargos de imposto de renda e contribuição social, correntes e </w:t>
      </w:r>
      <w:r w:rsidR="00921985" w:rsidRPr="00921985">
        <w:rPr>
          <w:rFonts w:ascii="Calibri" w:hAnsi="Calibri" w:cs="Calibri"/>
          <w:sz w:val="24"/>
          <w:szCs w:val="24"/>
        </w:rPr>
        <w:t>diferidos, são calculados com base nas leis tributárias vigentes</w:t>
      </w:r>
      <w:r w:rsidR="005D7DDB">
        <w:rPr>
          <w:rFonts w:ascii="Calibri" w:hAnsi="Calibri" w:cs="Calibri"/>
          <w:sz w:val="24"/>
          <w:szCs w:val="24"/>
        </w:rPr>
        <w:t>.</w:t>
      </w:r>
    </w:p>
    <w:p w:rsidR="00D207C6" w:rsidRDefault="00D207C6" w:rsidP="00947D01">
      <w:pPr>
        <w:rPr>
          <w:rFonts w:ascii="Calibri" w:hAnsi="Calibri" w:cs="Calibri"/>
          <w:sz w:val="24"/>
          <w:szCs w:val="24"/>
        </w:rPr>
      </w:pPr>
    </w:p>
    <w:p w:rsidR="000E1F2C" w:rsidRDefault="000E1F2C" w:rsidP="00947D01">
      <w:pPr>
        <w:rPr>
          <w:rFonts w:ascii="Calibri" w:hAnsi="Calibri" w:cs="Calibri"/>
          <w:sz w:val="24"/>
          <w:szCs w:val="24"/>
        </w:rPr>
      </w:pPr>
    </w:p>
    <w:p w:rsidR="00C16DDB" w:rsidRPr="00312424" w:rsidRDefault="00921985"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4</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Em contas a receber de clientes, a CDRJ vem reconhecendo em provisão para créditos de liquidação duvidosa todos os valores vencidos </w:t>
      </w:r>
      <w:r w:rsidRPr="00312424">
        <w:rPr>
          <w:rFonts w:ascii="Calibri" w:hAnsi="Calibri" w:cs="Calibri"/>
          <w:szCs w:val="24"/>
          <w:lang w:val="pt-BR"/>
        </w:rPr>
        <w:t>há</w:t>
      </w:r>
      <w:r w:rsidRPr="00312424">
        <w:rPr>
          <w:rFonts w:ascii="Calibri" w:hAnsi="Calibri" w:cs="Calibri"/>
          <w:szCs w:val="24"/>
        </w:rPr>
        <w:t xml:space="preserve"> mais de </w:t>
      </w:r>
      <w:r w:rsidRPr="00312424">
        <w:rPr>
          <w:rFonts w:ascii="Calibri" w:hAnsi="Calibri" w:cs="Calibri"/>
          <w:szCs w:val="24"/>
          <w:lang w:val="pt-BR"/>
        </w:rPr>
        <w:t>180 dias</w:t>
      </w:r>
      <w:r w:rsidR="00AE3EE6">
        <w:rPr>
          <w:rFonts w:ascii="Calibri" w:hAnsi="Calibri" w:cs="Calibri"/>
          <w:szCs w:val="24"/>
          <w:lang w:val="pt-BR"/>
        </w:rPr>
        <w:t xml:space="preserve"> ou antes, caso seja improvável a realização do crédito. </w:t>
      </w:r>
      <w:r w:rsidRPr="00312424">
        <w:rPr>
          <w:rFonts w:ascii="Calibri" w:hAnsi="Calibri" w:cs="Calibri"/>
          <w:szCs w:val="24"/>
        </w:rPr>
        <w:t xml:space="preserve"> 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6715E0">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6715E0">
              <w:rPr>
                <w:rFonts w:ascii="Calibri" w:hAnsi="Calibri" w:cs="Calibri"/>
                <w:b/>
                <w:bCs/>
                <w:snapToGrid/>
                <w:color w:val="000000"/>
                <w:sz w:val="24"/>
                <w:szCs w:val="24"/>
              </w:rPr>
              <w:t>03</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1968AF">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8</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EF690C">
            <w:pPr>
              <w:widowControl/>
              <w:jc w:val="right"/>
              <w:rPr>
                <w:rFonts w:ascii="Calibri" w:hAnsi="Calibri" w:cs="Calibri"/>
                <w:snapToGrid/>
                <w:color w:val="000000"/>
                <w:sz w:val="24"/>
                <w:szCs w:val="24"/>
              </w:rPr>
            </w:pPr>
            <w:r>
              <w:rPr>
                <w:rFonts w:ascii="Calibri" w:hAnsi="Calibri" w:cs="Calibri"/>
                <w:snapToGrid/>
                <w:color w:val="000000"/>
                <w:sz w:val="24"/>
                <w:szCs w:val="24"/>
              </w:rPr>
              <w:t>202.189</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180</w:t>
            </w:r>
            <w:r w:rsidR="00EF690C" w:rsidRPr="00EF690C">
              <w:rPr>
                <w:rFonts w:ascii="Calibri" w:hAnsi="Calibri" w:cs="Calibri"/>
                <w:snapToGrid/>
                <w:color w:val="000000"/>
                <w:sz w:val="24"/>
                <w:szCs w:val="24"/>
              </w:rPr>
              <w:t>.</w:t>
            </w:r>
            <w:r>
              <w:rPr>
                <w:rFonts w:ascii="Calibri" w:hAnsi="Calibri" w:cs="Calibri"/>
                <w:snapToGrid/>
                <w:color w:val="000000"/>
                <w:sz w:val="24"/>
                <w:szCs w:val="24"/>
              </w:rPr>
              <w:t>953</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1968AF">
              <w:rPr>
                <w:rFonts w:ascii="Calibri" w:hAnsi="Calibri" w:cs="Calibri"/>
                <w:snapToGrid/>
                <w:color w:val="000000"/>
                <w:sz w:val="24"/>
                <w:szCs w:val="24"/>
              </w:rPr>
              <w:t>88</w:t>
            </w:r>
            <w:r w:rsidRPr="00EF690C">
              <w:rPr>
                <w:rFonts w:ascii="Calibri" w:hAnsi="Calibri" w:cs="Calibri"/>
                <w:snapToGrid/>
                <w:color w:val="000000"/>
                <w:sz w:val="24"/>
                <w:szCs w:val="24"/>
              </w:rPr>
              <w:t>.</w:t>
            </w:r>
            <w:r w:rsidR="001968AF">
              <w:rPr>
                <w:rFonts w:ascii="Calibri" w:hAnsi="Calibri" w:cs="Calibri"/>
                <w:snapToGrid/>
                <w:color w:val="000000"/>
                <w:sz w:val="24"/>
                <w:szCs w:val="24"/>
              </w:rPr>
              <w:t>364</w:t>
            </w:r>
            <w:r>
              <w:rPr>
                <w:rFonts w:ascii="Calibri" w:hAnsi="Calibri" w:cs="Calibri"/>
                <w:snapToGrid/>
                <w:color w:val="000000"/>
                <w:sz w:val="24"/>
                <w:szCs w:val="24"/>
              </w:rPr>
              <w:t>)</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EF690C"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1968AF">
              <w:rPr>
                <w:rFonts w:ascii="Calibri" w:hAnsi="Calibri" w:cs="Calibri"/>
                <w:snapToGrid/>
                <w:color w:val="000000"/>
                <w:sz w:val="24"/>
                <w:szCs w:val="24"/>
              </w:rPr>
              <w:t>7</w:t>
            </w:r>
            <w:r w:rsidRPr="00EF690C">
              <w:rPr>
                <w:rFonts w:ascii="Calibri" w:hAnsi="Calibri" w:cs="Calibri"/>
                <w:snapToGrid/>
                <w:color w:val="000000"/>
                <w:sz w:val="24"/>
                <w:szCs w:val="24"/>
              </w:rPr>
              <w:t>2.</w:t>
            </w:r>
            <w:r w:rsidR="001968AF">
              <w:rPr>
                <w:rFonts w:ascii="Calibri" w:hAnsi="Calibri" w:cs="Calibri"/>
                <w:snapToGrid/>
                <w:color w:val="000000"/>
                <w:sz w:val="24"/>
                <w:szCs w:val="24"/>
              </w:rPr>
              <w:t>918</w:t>
            </w:r>
            <w:r>
              <w:rPr>
                <w:rFonts w:ascii="Calibri" w:hAnsi="Calibri" w:cs="Calibri"/>
                <w:snapToGrid/>
                <w:color w:val="000000"/>
                <w:sz w:val="24"/>
                <w:szCs w:val="24"/>
              </w:rPr>
              <w:t>)</w:t>
            </w:r>
          </w:p>
        </w:tc>
      </w:tr>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EF690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13.825</w:t>
            </w:r>
          </w:p>
        </w:tc>
        <w:tc>
          <w:tcPr>
            <w:tcW w:w="1820" w:type="dxa"/>
            <w:tcBorders>
              <w:top w:val="nil"/>
              <w:left w:val="nil"/>
              <w:bottom w:val="single" w:sz="4" w:space="0" w:color="auto"/>
              <w:right w:val="nil"/>
            </w:tcBorders>
            <w:shd w:val="clear" w:color="auto" w:fill="auto"/>
            <w:noWrap/>
            <w:vAlign w:val="bottom"/>
            <w:hideMark/>
          </w:tcPr>
          <w:p w:rsidR="00EF690C" w:rsidRPr="00EF690C" w:rsidRDefault="001968AF" w:rsidP="001968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w:t>
            </w:r>
            <w:r w:rsidR="00EF690C" w:rsidRPr="00EF690C">
              <w:rPr>
                <w:rFonts w:ascii="Calibri" w:hAnsi="Calibri" w:cs="Calibri"/>
                <w:b/>
                <w:bCs/>
                <w:snapToGrid/>
                <w:color w:val="000000"/>
                <w:sz w:val="24"/>
                <w:szCs w:val="24"/>
              </w:rPr>
              <w:t>.</w:t>
            </w:r>
            <w:r>
              <w:rPr>
                <w:rFonts w:ascii="Calibri" w:hAnsi="Calibri" w:cs="Calibri"/>
                <w:b/>
                <w:bCs/>
                <w:snapToGrid/>
                <w:color w:val="000000"/>
                <w:sz w:val="24"/>
                <w:szCs w:val="24"/>
              </w:rPr>
              <w:t>035</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1968AF" w:rsidRPr="00312424" w:rsidRDefault="001968AF" w:rsidP="00C16DDB">
      <w:pPr>
        <w:pStyle w:val="Recuodecorpodetexto"/>
        <w:widowControl/>
        <w:autoSpaceDE w:val="0"/>
        <w:autoSpaceDN w:val="0"/>
        <w:ind w:left="0"/>
        <w:rPr>
          <w:rFonts w:ascii="Calibri" w:hAnsi="Calibri" w:cs="Calibri"/>
          <w:szCs w:val="24"/>
          <w:lang w:val="pt-BR"/>
        </w:rPr>
      </w:pPr>
    </w:p>
    <w:p w:rsidR="00C16DDB" w:rsidRPr="00312424" w:rsidRDefault="00083E7F"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5</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1968AF">
              <w:rPr>
                <w:rFonts w:ascii="Calibri" w:hAnsi="Calibri" w:cs="Calibri"/>
                <w:b/>
                <w:bCs/>
                <w:snapToGrid/>
                <w:color w:val="000000"/>
                <w:sz w:val="24"/>
                <w:szCs w:val="24"/>
              </w:rPr>
              <w:t>03</w:t>
            </w:r>
            <w:r w:rsidRPr="00EF690C">
              <w:rPr>
                <w:rFonts w:ascii="Calibri" w:hAnsi="Calibri" w:cs="Calibri"/>
                <w:b/>
                <w:bCs/>
                <w:snapToGrid/>
                <w:color w:val="000000"/>
                <w:sz w:val="24"/>
                <w:szCs w:val="24"/>
              </w:rPr>
              <w:t>/201</w:t>
            </w:r>
            <w:r w:rsidR="001968AF">
              <w:rPr>
                <w:rFonts w:ascii="Calibri" w:hAnsi="Calibri" w:cs="Calibri"/>
                <w:b/>
                <w:bCs/>
                <w:snapToGrid/>
                <w:color w:val="000000"/>
                <w:sz w:val="24"/>
                <w:szCs w:val="24"/>
              </w:rPr>
              <w:t>9</w:t>
            </w:r>
          </w:p>
        </w:tc>
        <w:tc>
          <w:tcPr>
            <w:tcW w:w="1820" w:type="dxa"/>
            <w:tcBorders>
              <w:top w:val="single" w:sz="4" w:space="0" w:color="auto"/>
              <w:left w:val="nil"/>
              <w:bottom w:val="single" w:sz="4" w:space="0" w:color="auto"/>
              <w:right w:val="nil"/>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31/12/201</w:t>
            </w:r>
            <w:r w:rsidR="001968AF">
              <w:rPr>
                <w:rFonts w:ascii="Calibri" w:hAnsi="Calibri" w:cs="Calibri"/>
                <w:b/>
                <w:bCs/>
                <w:snapToGrid/>
                <w:color w:val="000000"/>
                <w:sz w:val="24"/>
                <w:szCs w:val="24"/>
              </w:rPr>
              <w:t>8</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Pr="00EF690C">
              <w:rPr>
                <w:rFonts w:ascii="Calibri" w:hAnsi="Calibri" w:cs="Calibri"/>
                <w:snapToGrid/>
                <w:color w:val="000000"/>
                <w:sz w:val="24"/>
                <w:szCs w:val="24"/>
              </w:rPr>
              <w:t>.</w:t>
            </w:r>
            <w:r>
              <w:rPr>
                <w:rFonts w:ascii="Calibri" w:hAnsi="Calibri" w:cs="Calibri"/>
                <w:snapToGrid/>
                <w:color w:val="000000"/>
                <w:sz w:val="24"/>
                <w:szCs w:val="24"/>
              </w:rPr>
              <w:t>924</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Pr="00EF690C">
              <w:rPr>
                <w:rFonts w:ascii="Calibri" w:hAnsi="Calibri" w:cs="Calibri"/>
                <w:snapToGrid/>
                <w:color w:val="000000"/>
                <w:sz w:val="24"/>
                <w:szCs w:val="24"/>
              </w:rPr>
              <w:t>.455</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812</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sidRPr="00EF690C">
              <w:rPr>
                <w:rFonts w:ascii="Calibri" w:hAnsi="Calibri" w:cs="Calibri"/>
                <w:snapToGrid/>
                <w:color w:val="000000"/>
                <w:sz w:val="24"/>
                <w:szCs w:val="24"/>
              </w:rPr>
              <w:t>721</w:t>
            </w:r>
          </w:p>
        </w:tc>
      </w:tr>
      <w:tr w:rsidR="0023787B" w:rsidRPr="00EF690C" w:rsidTr="00F10FEB">
        <w:trPr>
          <w:trHeight w:val="284"/>
          <w:jc w:val="center"/>
        </w:trPr>
        <w:tc>
          <w:tcPr>
            <w:tcW w:w="23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b/>
                <w:bCs/>
                <w:snapToGrid/>
                <w:color w:val="000000"/>
                <w:sz w:val="24"/>
                <w:szCs w:val="24"/>
              </w:rPr>
            </w:pPr>
            <w:r w:rsidRPr="00EF690C">
              <w:rPr>
                <w:rFonts w:ascii="Calibri" w:hAnsi="Calibri" w:cs="Calibri"/>
                <w:b/>
                <w:bCs/>
                <w:snapToGrid/>
                <w:color w:val="000000"/>
                <w:sz w:val="24"/>
                <w:szCs w:val="24"/>
              </w:rPr>
              <w:t>6.</w:t>
            </w:r>
            <w:r>
              <w:rPr>
                <w:rFonts w:ascii="Calibri" w:hAnsi="Calibri" w:cs="Calibri"/>
                <w:b/>
                <w:bCs/>
                <w:snapToGrid/>
                <w:color w:val="000000"/>
                <w:sz w:val="24"/>
                <w:szCs w:val="24"/>
              </w:rPr>
              <w:t>736</w:t>
            </w:r>
          </w:p>
        </w:tc>
        <w:tc>
          <w:tcPr>
            <w:tcW w:w="1820" w:type="dxa"/>
            <w:tcBorders>
              <w:top w:val="nil"/>
              <w:left w:val="nil"/>
              <w:bottom w:val="single" w:sz="4" w:space="0" w:color="auto"/>
              <w:right w:val="nil"/>
            </w:tcBorders>
            <w:shd w:val="clear" w:color="auto" w:fill="auto"/>
            <w:noWrap/>
            <w:vAlign w:val="bottom"/>
            <w:hideMark/>
          </w:tcPr>
          <w:p w:rsidR="0023787B" w:rsidRPr="00EF690C" w:rsidRDefault="0023787B" w:rsidP="0023787B">
            <w:pPr>
              <w:widowControl/>
              <w:jc w:val="right"/>
              <w:rPr>
                <w:rFonts w:ascii="Calibri" w:hAnsi="Calibri" w:cs="Calibri"/>
                <w:b/>
                <w:bCs/>
                <w:snapToGrid/>
                <w:color w:val="000000"/>
                <w:sz w:val="24"/>
                <w:szCs w:val="24"/>
              </w:rPr>
            </w:pPr>
            <w:r w:rsidRPr="00EF690C">
              <w:rPr>
                <w:rFonts w:ascii="Calibri" w:hAnsi="Calibri" w:cs="Calibri"/>
                <w:b/>
                <w:bCs/>
                <w:snapToGrid/>
                <w:color w:val="000000"/>
                <w:sz w:val="24"/>
                <w:szCs w:val="24"/>
              </w:rPr>
              <w:t>6.176</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C16DDB" w:rsidRPr="00312424" w:rsidRDefault="00BB24F4"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6</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119"/>
        <w:gridCol w:w="1695"/>
        <w:gridCol w:w="1695"/>
        <w:gridCol w:w="1695"/>
        <w:gridCol w:w="1696"/>
      </w:tblGrid>
      <w:tr w:rsidR="009B2C95" w:rsidRPr="005A7065" w:rsidTr="00C068C1">
        <w:trPr>
          <w:trHeight w:val="284"/>
          <w:jc w:val="center"/>
        </w:trPr>
        <w:tc>
          <w:tcPr>
            <w:tcW w:w="3119" w:type="dxa"/>
            <w:tcBorders>
              <w:top w:val="nil"/>
              <w:left w:val="nil"/>
              <w:bottom w:val="nil"/>
              <w:right w:val="nil"/>
            </w:tcBorders>
            <w:shd w:val="clear" w:color="auto" w:fill="auto"/>
            <w:noWrap/>
            <w:vAlign w:val="bottom"/>
            <w:hideMark/>
          </w:tcPr>
          <w:p w:rsidR="009B2C95" w:rsidRPr="005A7065" w:rsidRDefault="009B2C95" w:rsidP="005A7065">
            <w:pPr>
              <w:widowControl/>
              <w:rPr>
                <w:snapToGrid/>
              </w:rPr>
            </w:pPr>
          </w:p>
        </w:tc>
        <w:tc>
          <w:tcPr>
            <w:tcW w:w="3390"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391" w:type="dxa"/>
            <w:gridSpan w:val="2"/>
            <w:tcBorders>
              <w:top w:val="single" w:sz="4" w:space="0" w:color="auto"/>
              <w:left w:val="nil"/>
              <w:bottom w:val="single" w:sz="4" w:space="0" w:color="auto"/>
              <w:right w:val="nil"/>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w:t>
            </w:r>
            <w:r>
              <w:rPr>
                <w:rFonts w:ascii="Calibri" w:hAnsi="Calibri" w:cs="Calibri"/>
                <w:b/>
                <w:bCs/>
                <w:snapToGrid/>
                <w:color w:val="000000"/>
                <w:sz w:val="24"/>
                <w:szCs w:val="24"/>
              </w:rPr>
              <w:t>03</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w:t>
            </w:r>
            <w:r>
              <w:rPr>
                <w:rFonts w:ascii="Calibri" w:hAnsi="Calibri" w:cs="Calibri"/>
                <w:b/>
                <w:bCs/>
                <w:snapToGrid/>
                <w:color w:val="000000"/>
                <w:sz w:val="24"/>
                <w:szCs w:val="24"/>
              </w:rPr>
              <w:t>03</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w:t>
            </w:r>
            <w:r>
              <w:rPr>
                <w:rFonts w:ascii="Calibri" w:hAnsi="Calibri" w:cs="Calibri"/>
                <w:b/>
                <w:bCs/>
                <w:snapToGrid/>
                <w:color w:val="000000"/>
                <w:sz w:val="24"/>
                <w:szCs w:val="24"/>
              </w:rPr>
              <w:t>8</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6.336</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6.306</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40.612</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40.773</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1.200</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tcPr>
          <w:p w:rsidR="0023787B" w:rsidRPr="005A7065" w:rsidRDefault="0023787B" w:rsidP="0023787B">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250</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834</w:t>
            </w:r>
          </w:p>
        </w:tc>
        <w:tc>
          <w:tcPr>
            <w:tcW w:w="1696" w:type="dxa"/>
            <w:tcBorders>
              <w:top w:val="nil"/>
              <w:left w:val="nil"/>
              <w:bottom w:val="single" w:sz="4" w:space="0" w:color="auto"/>
              <w:right w:val="nil"/>
            </w:tcBorders>
            <w:shd w:val="clear" w:color="auto" w:fill="auto"/>
            <w:noWrap/>
            <w:vAlign w:val="bottom"/>
          </w:tcPr>
          <w:p w:rsidR="0023787B"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788</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766</w:t>
            </w:r>
          </w:p>
        </w:tc>
        <w:tc>
          <w:tcPr>
            <w:tcW w:w="1695" w:type="dxa"/>
            <w:tcBorders>
              <w:top w:val="nil"/>
              <w:left w:val="nil"/>
              <w:bottom w:val="single" w:sz="4" w:space="0" w:color="auto"/>
              <w:right w:val="nil"/>
            </w:tcBorders>
            <w:shd w:val="clear" w:color="auto" w:fill="auto"/>
            <w:noWrap/>
            <w:vAlign w:val="bottom"/>
          </w:tcPr>
          <w:p w:rsidR="0023787B" w:rsidRPr="005A7065" w:rsidRDefault="001F63A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1F63A7">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23787B" w:rsidRPr="005A7065" w:rsidTr="009B2C95">
        <w:trPr>
          <w:trHeight w:val="284"/>
          <w:jc w:val="center"/>
        </w:trPr>
        <w:tc>
          <w:tcPr>
            <w:tcW w:w="3119"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9B2C95"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8.574</w:t>
            </w:r>
          </w:p>
        </w:tc>
        <w:tc>
          <w:tcPr>
            <w:tcW w:w="1695"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8.272</w:t>
            </w:r>
          </w:p>
        </w:tc>
        <w:tc>
          <w:tcPr>
            <w:tcW w:w="1695" w:type="dxa"/>
            <w:tcBorders>
              <w:top w:val="nil"/>
              <w:left w:val="nil"/>
              <w:bottom w:val="single" w:sz="4" w:space="0" w:color="auto"/>
              <w:right w:val="nil"/>
            </w:tcBorders>
            <w:shd w:val="clear" w:color="auto" w:fill="auto"/>
            <w:noWrap/>
            <w:vAlign w:val="bottom"/>
          </w:tcPr>
          <w:p w:rsidR="0023787B" w:rsidRPr="005A7065" w:rsidRDefault="009B2C95"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41.446</w:t>
            </w:r>
          </w:p>
        </w:tc>
        <w:tc>
          <w:tcPr>
            <w:tcW w:w="1696" w:type="dxa"/>
            <w:tcBorders>
              <w:top w:val="nil"/>
              <w:left w:val="nil"/>
              <w:bottom w:val="single" w:sz="4" w:space="0" w:color="auto"/>
              <w:right w:val="nil"/>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40.773</w:t>
            </w:r>
          </w:p>
        </w:tc>
      </w:tr>
    </w:tbl>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lastRenderedPageBreak/>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14 (catorze)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xml:space="preserve">, conforme Termo de Convênio nº 120/2012, assinado entre a CDRJ e o INEA, visando ações de despoluição da Praia de </w:t>
      </w:r>
      <w:proofErr w:type="spellStart"/>
      <w:r w:rsidR="00C16DDB" w:rsidRPr="00312424">
        <w:rPr>
          <w:rFonts w:ascii="Calibri" w:hAnsi="Calibri" w:cs="Calibri"/>
          <w:szCs w:val="24"/>
        </w:rPr>
        <w:t>Sepetiba</w:t>
      </w:r>
      <w:proofErr w:type="spellEnd"/>
      <w:r w:rsidR="00C16DDB" w:rsidRPr="00312424">
        <w:rPr>
          <w:rFonts w:ascii="Calibri" w:hAnsi="Calibri" w:cs="Calibri"/>
          <w:szCs w:val="24"/>
        </w:rPr>
        <w:t>.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Pr="00312424" w:rsidRDefault="009B2C95" w:rsidP="009B2C95">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w:t>
      </w:r>
      <w:r w:rsidR="008A6042">
        <w:rPr>
          <w:rFonts w:ascii="Calibri" w:hAnsi="Calibri" w:cs="Calibri"/>
          <w:szCs w:val="24"/>
          <w:lang w:val="pt-BR"/>
        </w:rPr>
        <w:t>s</w:t>
      </w:r>
      <w:r>
        <w:rPr>
          <w:rFonts w:ascii="Calibri" w:hAnsi="Calibri" w:cs="Calibri"/>
          <w:szCs w:val="24"/>
          <w:lang w:val="pt-BR"/>
        </w:rPr>
        <w:t xml:space="preserve"> acordos de confissão de dívidas </w:t>
      </w:r>
      <w:r w:rsidR="000E1F2C">
        <w:rPr>
          <w:rFonts w:ascii="Calibri" w:hAnsi="Calibri" w:cs="Calibri"/>
          <w:szCs w:val="24"/>
          <w:lang w:val="pt-BR"/>
        </w:rPr>
        <w:t xml:space="preserve">firmados </w:t>
      </w:r>
      <w:r>
        <w:rPr>
          <w:rFonts w:ascii="Calibri" w:hAnsi="Calibri" w:cs="Calibri"/>
          <w:szCs w:val="24"/>
          <w:lang w:val="pt-BR"/>
        </w:rPr>
        <w:t>com clientes.</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b/>
          <w:szCs w:val="24"/>
          <w:lang w:val="pt-BR"/>
        </w:rPr>
      </w:pPr>
    </w:p>
    <w:p w:rsidR="009B2C95" w:rsidRDefault="009B2C95" w:rsidP="00C16DDB">
      <w:pPr>
        <w:pStyle w:val="Recuodecorpodetexto"/>
        <w:widowControl/>
        <w:autoSpaceDE w:val="0"/>
        <w:autoSpaceDN w:val="0"/>
        <w:ind w:left="0"/>
        <w:rPr>
          <w:rFonts w:ascii="Calibri" w:hAnsi="Calibri" w:cs="Calibri"/>
          <w:b/>
          <w:szCs w:val="24"/>
          <w:lang w:val="pt-BR"/>
        </w:rPr>
      </w:pPr>
    </w:p>
    <w:p w:rsidR="00C16DDB" w:rsidRPr="00312424" w:rsidRDefault="00B4501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B4501B" w:rsidRDefault="00B4501B"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9B2C95" w:rsidRPr="005A7065" w:rsidRDefault="009B2C95" w:rsidP="009B2C9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w:t>
            </w:r>
            <w:r>
              <w:rPr>
                <w:rFonts w:ascii="Calibri" w:hAnsi="Calibri" w:cs="Calibri"/>
                <w:b/>
                <w:bCs/>
                <w:snapToGrid/>
                <w:color w:val="000000"/>
                <w:sz w:val="24"/>
                <w:szCs w:val="24"/>
              </w:rPr>
              <w:t>03</w:t>
            </w:r>
            <w:r w:rsidRPr="005A7065">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tcPr>
          <w:p w:rsidR="009B2C95" w:rsidRPr="005A7065" w:rsidRDefault="009B2C95" w:rsidP="009B2C9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13.408</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234.496</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230.881</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95.010</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85.680</w:t>
            </w:r>
          </w:p>
        </w:tc>
      </w:tr>
      <w:tr w:rsidR="009B2C95" w:rsidRPr="005A7065" w:rsidTr="009B2C95">
        <w:trPr>
          <w:trHeight w:val="284"/>
          <w:jc w:val="center"/>
        </w:trPr>
        <w:tc>
          <w:tcPr>
            <w:tcW w:w="28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hideMark/>
          </w:tcPr>
          <w:p w:rsidR="009B2C95" w:rsidRPr="005A7065" w:rsidRDefault="009B2C95" w:rsidP="009B2C9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342.914</w:t>
            </w:r>
          </w:p>
        </w:tc>
        <w:tc>
          <w:tcPr>
            <w:tcW w:w="1760" w:type="dxa"/>
            <w:tcBorders>
              <w:top w:val="nil"/>
              <w:left w:val="nil"/>
              <w:bottom w:val="single" w:sz="4" w:space="0" w:color="auto"/>
              <w:right w:val="nil"/>
            </w:tcBorders>
            <w:shd w:val="clear" w:color="auto" w:fill="auto"/>
            <w:noWrap/>
            <w:vAlign w:val="bottom"/>
          </w:tcPr>
          <w:p w:rsidR="009B2C95" w:rsidRPr="005A7065" w:rsidRDefault="009B2C95" w:rsidP="009B2C95">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329.969</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 Itaguaí e Angra dos Reis, nas quais foram depositados em juízo os valores correspondentes ao Imposto Predial Territorial Urbano – IPTU dos exercícios de 2013 a 2015.</w:t>
      </w:r>
    </w:p>
    <w:p w:rsidR="004D2CAA" w:rsidRDefault="004D2CAA"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0105594-59.2004.8.19.0001 – 21ª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0038850-87.2001.8.19.0001 – 33ª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0148310-43.2000.8.19.0001 – 49ª Vara Cível do Rio de Janeiro</w:t>
      </w:r>
    </w:p>
    <w:p w:rsidR="004B5133" w:rsidRDefault="004B5133"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0019587-82.2013.4.02.5101 – 18ª Vara Federal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4D2CAA"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Outras Ações Judiciais</w:t>
      </w:r>
      <w:r>
        <w:rPr>
          <w:rFonts w:ascii="Calibri" w:hAnsi="Calibri" w:cs="Calibri"/>
          <w:szCs w:val="24"/>
          <w:lang w:val="pt-BR"/>
        </w:rPr>
        <w:t xml:space="preserve"> 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da verba salarial denominada VPNI, no valor aproximado de R$ </w:t>
      </w:r>
      <w:r w:rsidR="001F62A0">
        <w:rPr>
          <w:rFonts w:ascii="Calibri" w:hAnsi="Calibri" w:cs="Calibri"/>
          <w:szCs w:val="24"/>
          <w:lang w:val="pt-BR"/>
        </w:rPr>
        <w:t>2</w:t>
      </w:r>
      <w:r w:rsidR="002A2E73">
        <w:rPr>
          <w:rFonts w:ascii="Calibri" w:hAnsi="Calibri" w:cs="Calibri"/>
          <w:szCs w:val="24"/>
          <w:lang w:val="pt-BR"/>
        </w:rPr>
        <w:t>7</w:t>
      </w:r>
      <w:r w:rsidR="001F62A0">
        <w:rPr>
          <w:rFonts w:ascii="Calibri" w:hAnsi="Calibri" w:cs="Calibri"/>
          <w:szCs w:val="24"/>
          <w:lang w:val="pt-BR"/>
        </w:rPr>
        <w:t>.</w:t>
      </w:r>
      <w:r w:rsidR="002A2E73">
        <w:rPr>
          <w:rFonts w:ascii="Calibri" w:hAnsi="Calibri" w:cs="Calibri"/>
          <w:szCs w:val="24"/>
          <w:lang w:val="pt-BR"/>
        </w:rPr>
        <w:t>878</w:t>
      </w:r>
      <w:r w:rsidR="009703B0">
        <w:rPr>
          <w:rFonts w:ascii="Calibri" w:hAnsi="Calibri" w:cs="Calibri"/>
          <w:szCs w:val="24"/>
          <w:lang w:val="pt-BR"/>
        </w:rPr>
        <w:t xml:space="preserve"> mil (R$ </w:t>
      </w:r>
      <w:r w:rsidR="002A2E73">
        <w:rPr>
          <w:rFonts w:ascii="Calibri" w:hAnsi="Calibri" w:cs="Calibri"/>
          <w:szCs w:val="24"/>
          <w:lang w:val="pt-BR"/>
        </w:rPr>
        <w:t>22</w:t>
      </w:r>
      <w:r w:rsidR="001F62A0">
        <w:rPr>
          <w:rFonts w:ascii="Calibri" w:hAnsi="Calibri" w:cs="Calibri"/>
          <w:szCs w:val="24"/>
          <w:lang w:val="pt-BR"/>
        </w:rPr>
        <w:t>.</w:t>
      </w:r>
      <w:r w:rsidR="002A2E73">
        <w:rPr>
          <w:rFonts w:ascii="Calibri" w:hAnsi="Calibri" w:cs="Calibri"/>
          <w:szCs w:val="24"/>
          <w:lang w:val="pt-BR"/>
        </w:rPr>
        <w:t>468</w:t>
      </w:r>
      <w:r w:rsidR="001F62A0">
        <w:rPr>
          <w:rFonts w:ascii="Calibri" w:hAnsi="Calibri" w:cs="Calibri"/>
          <w:szCs w:val="24"/>
          <w:lang w:val="pt-BR"/>
        </w:rPr>
        <w:t xml:space="preserve"> </w:t>
      </w:r>
      <w:r w:rsidR="009703B0">
        <w:rPr>
          <w:rFonts w:ascii="Calibri" w:hAnsi="Calibri" w:cs="Calibri"/>
          <w:szCs w:val="24"/>
          <w:lang w:val="pt-BR"/>
        </w:rPr>
        <w:t xml:space="preserve">mil, em </w:t>
      </w:r>
      <w:r w:rsidR="001F62A0">
        <w:rPr>
          <w:rFonts w:ascii="Calibri" w:hAnsi="Calibri" w:cs="Calibri"/>
          <w:szCs w:val="24"/>
          <w:lang w:val="pt-BR"/>
        </w:rPr>
        <w:t>201</w:t>
      </w:r>
      <w:r w:rsidR="008A6042">
        <w:rPr>
          <w:rFonts w:ascii="Calibri" w:hAnsi="Calibri" w:cs="Calibri"/>
          <w:szCs w:val="24"/>
          <w:lang w:val="pt-BR"/>
        </w:rPr>
        <w:t>8</w:t>
      </w:r>
      <w:r w:rsidR="009703B0">
        <w:rPr>
          <w:rFonts w:ascii="Calibri" w:hAnsi="Calibri" w:cs="Calibri"/>
          <w:szCs w:val="24"/>
          <w:lang w:val="pt-BR"/>
        </w:rPr>
        <w:t>), além dos bloqueios em processos da</w:t>
      </w:r>
      <w:r w:rsidR="001F62A0">
        <w:rPr>
          <w:rFonts w:ascii="Calibri" w:hAnsi="Calibri" w:cs="Calibri"/>
          <w:szCs w:val="24"/>
          <w:lang w:val="pt-BR"/>
        </w:rPr>
        <w:t>s</w:t>
      </w:r>
      <w:r w:rsidR="009703B0">
        <w:rPr>
          <w:rFonts w:ascii="Calibri" w:hAnsi="Calibri" w:cs="Calibri"/>
          <w:szCs w:val="24"/>
          <w:lang w:val="pt-BR"/>
        </w:rPr>
        <w:t xml:space="preserve"> Vara</w:t>
      </w:r>
      <w:r w:rsidR="001F62A0">
        <w:rPr>
          <w:rFonts w:ascii="Calibri" w:hAnsi="Calibri" w:cs="Calibri"/>
          <w:szCs w:val="24"/>
          <w:lang w:val="pt-BR"/>
        </w:rPr>
        <w:t>s</w:t>
      </w:r>
      <w:r w:rsidR="009703B0">
        <w:rPr>
          <w:rFonts w:ascii="Calibri" w:hAnsi="Calibri" w:cs="Calibri"/>
          <w:szCs w:val="24"/>
          <w:lang w:val="pt-BR"/>
        </w:rPr>
        <w:t xml:space="preserve"> do Trabalho.</w:t>
      </w:r>
    </w:p>
    <w:p w:rsidR="004D2CAA" w:rsidRDefault="004D2CAA" w:rsidP="00C16DDB">
      <w:pPr>
        <w:pStyle w:val="Recuodecorpodetexto"/>
        <w:widowControl/>
        <w:autoSpaceDE w:val="0"/>
        <w:autoSpaceDN w:val="0"/>
        <w:ind w:left="0"/>
        <w:rPr>
          <w:rFonts w:ascii="Calibri" w:hAnsi="Calibri" w:cs="Calibri"/>
          <w:szCs w:val="24"/>
          <w:lang w:val="pt-BR"/>
        </w:rPr>
      </w:pPr>
    </w:p>
    <w:p w:rsidR="00C16DDB" w:rsidRDefault="00C16DDB" w:rsidP="00C16DDB">
      <w:pPr>
        <w:pStyle w:val="Recuodecorpodetexto"/>
        <w:widowControl/>
        <w:autoSpaceDE w:val="0"/>
        <w:autoSpaceDN w:val="0"/>
        <w:ind w:left="0"/>
        <w:rPr>
          <w:rFonts w:ascii="Calibri" w:hAnsi="Calibri" w:cs="Calibri"/>
          <w:b/>
          <w:szCs w:val="24"/>
          <w:lang w:val="pt-BR"/>
        </w:rPr>
      </w:pPr>
    </w:p>
    <w:p w:rsidR="004A7359" w:rsidRDefault="004A7359" w:rsidP="00C16DDB">
      <w:pPr>
        <w:pStyle w:val="Recuodecorpodetexto"/>
        <w:widowControl/>
        <w:autoSpaceDE w:val="0"/>
        <w:autoSpaceDN w:val="0"/>
        <w:ind w:left="0"/>
        <w:rPr>
          <w:rFonts w:ascii="Calibri" w:hAnsi="Calibri" w:cs="Calibri"/>
          <w:b/>
          <w:szCs w:val="24"/>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lastRenderedPageBreak/>
        <w:t>8</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PARTES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Pr>
          <w:rFonts w:ascii="Calibri" w:hAnsi="Calibri" w:cs="Calibri"/>
          <w:szCs w:val="24"/>
          <w:lang w:val="pt-BR"/>
        </w:rPr>
        <w:t xml:space="preserve">, segundo </w:t>
      </w:r>
      <w:r w:rsidRPr="00302089">
        <w:rPr>
          <w:rFonts w:ascii="Calibri" w:hAnsi="Calibri" w:cs="Calibri"/>
          <w:szCs w:val="24"/>
          <w:lang w:val="pt-BR"/>
        </w:rPr>
        <w:t>nota explicativa 3.4</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Pr>
          <w:rFonts w:ascii="Calibri" w:hAnsi="Calibri" w:cs="Calibri"/>
          <w:szCs w:val="24"/>
          <w:lang w:val="pt-BR"/>
        </w:rPr>
        <w:t xml:space="preserve">transferidos, </w:t>
      </w:r>
      <w:r w:rsidR="00C16DDB" w:rsidRPr="00312424">
        <w:rPr>
          <w:rFonts w:ascii="Calibri" w:hAnsi="Calibri" w:cs="Calibri"/>
          <w:szCs w:val="24"/>
          <w:lang w:val="pt-BR"/>
        </w:rPr>
        <w:t>através do SIAFI,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2A2E73" w:rsidRDefault="002A2E73"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9</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B00D0B" w:rsidRPr="00312424" w:rsidRDefault="00B00D0B"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B00D0B"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10</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A2E73" w:rsidRPr="00790F34" w:rsidRDefault="002A2E73" w:rsidP="002A2E73">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w:t>
            </w:r>
            <w:r>
              <w:rPr>
                <w:rFonts w:ascii="Calibri" w:hAnsi="Calibri" w:cs="Calibri"/>
                <w:b/>
                <w:bCs/>
                <w:snapToGrid/>
                <w:color w:val="000000"/>
                <w:sz w:val="24"/>
                <w:szCs w:val="24"/>
              </w:rPr>
              <w:t>03</w:t>
            </w:r>
            <w:r w:rsidRPr="00790F34">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vAlign w:val="bottom"/>
          </w:tcPr>
          <w:p w:rsidR="002A2E73" w:rsidRPr="00790F34" w:rsidRDefault="002A2E73" w:rsidP="002A2E73">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31/12/2018</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9.232</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132.331</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126.266</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137.197</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137.197</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11.759</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11.413</w:t>
            </w:r>
          </w:p>
        </w:tc>
      </w:tr>
      <w:tr w:rsidR="002A2E73" w:rsidRPr="00790F34" w:rsidTr="002A2E73">
        <w:trPr>
          <w:trHeight w:val="284"/>
          <w:jc w:val="center"/>
        </w:trPr>
        <w:tc>
          <w:tcPr>
            <w:tcW w:w="3260" w:type="dxa"/>
            <w:tcBorders>
              <w:top w:val="nil"/>
              <w:left w:val="nil"/>
              <w:bottom w:val="single" w:sz="4" w:space="0" w:color="auto"/>
              <w:right w:val="nil"/>
            </w:tcBorders>
            <w:shd w:val="clear" w:color="auto" w:fill="auto"/>
            <w:noWrap/>
            <w:vAlign w:val="bottom"/>
            <w:hideMark/>
          </w:tcPr>
          <w:p w:rsidR="002A2E73" w:rsidRPr="00790F34" w:rsidRDefault="002A2E73" w:rsidP="002A2E73">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A2E73" w:rsidRPr="00790F34" w:rsidRDefault="002A2E73" w:rsidP="002A2E7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290.519</w:t>
            </w:r>
          </w:p>
        </w:tc>
        <w:tc>
          <w:tcPr>
            <w:tcW w:w="1760" w:type="dxa"/>
            <w:tcBorders>
              <w:top w:val="nil"/>
              <w:left w:val="nil"/>
              <w:bottom w:val="single" w:sz="4" w:space="0" w:color="auto"/>
              <w:right w:val="nil"/>
            </w:tcBorders>
            <w:vAlign w:val="bottom"/>
          </w:tcPr>
          <w:p w:rsidR="002A2E73" w:rsidRPr="00790F34" w:rsidRDefault="002A2E73" w:rsidP="002A2E73">
            <w:pPr>
              <w:widowControl/>
              <w:jc w:val="right"/>
              <w:rPr>
                <w:rFonts w:ascii="Calibri" w:hAnsi="Calibri" w:cs="Calibri"/>
                <w:b/>
                <w:bCs/>
                <w:snapToGrid/>
                <w:color w:val="000000"/>
                <w:sz w:val="24"/>
                <w:szCs w:val="24"/>
              </w:rPr>
            </w:pPr>
            <w:r w:rsidRPr="00790F34">
              <w:rPr>
                <w:rFonts w:ascii="Calibri" w:hAnsi="Calibri" w:cs="Calibri"/>
                <w:b/>
                <w:bCs/>
                <w:snapToGrid/>
                <w:color w:val="000000"/>
                <w:sz w:val="24"/>
                <w:szCs w:val="24"/>
              </w:rPr>
              <w:t>284.108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 xml:space="preserve">diversas ações trabalhistas </w:t>
      </w:r>
      <w:r>
        <w:rPr>
          <w:rFonts w:ascii="Calibri" w:hAnsi="Calibri" w:cs="Calibri"/>
          <w:szCs w:val="24"/>
          <w:lang w:val="pt-BR"/>
        </w:rPr>
        <w:t xml:space="preserve">e algumas cíveis,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C16DDB"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processos judiciais nº 1998.001.185286-0, movido pela Companhia </w:t>
      </w:r>
      <w:proofErr w:type="spellStart"/>
      <w:r w:rsidR="00C16DDB" w:rsidRPr="00312424">
        <w:rPr>
          <w:rFonts w:ascii="Calibri" w:hAnsi="Calibri" w:cs="Calibri"/>
          <w:sz w:val="24"/>
          <w:szCs w:val="24"/>
        </w:rPr>
        <w:t>Inter-Atlântico</w:t>
      </w:r>
      <w:proofErr w:type="spellEnd"/>
      <w:r w:rsidR="00C16DDB" w:rsidRPr="00312424">
        <w:rPr>
          <w:rFonts w:ascii="Calibri" w:hAnsi="Calibri" w:cs="Calibri"/>
          <w:sz w:val="24"/>
          <w:szCs w:val="24"/>
        </w:rPr>
        <w:t xml:space="preserve"> de Arrendamento Mercantil, e nº 0102697-82.2009.8.19.000, movido pela Companhi</w:t>
      </w:r>
      <w:r w:rsidR="00F10FEB">
        <w:rPr>
          <w:rFonts w:ascii="Calibri" w:hAnsi="Calibri" w:cs="Calibri"/>
          <w:sz w:val="24"/>
          <w:szCs w:val="24"/>
        </w:rPr>
        <w:t>a Brooklin Empreendimentos S/A.</w:t>
      </w:r>
    </w:p>
    <w:p w:rsidR="00994937" w:rsidRDefault="00994937" w:rsidP="00C16DDB">
      <w:pPr>
        <w:jc w:val="both"/>
        <w:rPr>
          <w:rFonts w:ascii="Calibri" w:hAnsi="Calibri" w:cs="Calibri"/>
          <w:sz w:val="24"/>
          <w:szCs w:val="24"/>
        </w:rPr>
      </w:pP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Pr>
          <w:rFonts w:ascii="Calibri" w:hAnsi="Calibri" w:cs="Calibri"/>
          <w:szCs w:val="24"/>
          <w:lang w:val="pt-BR"/>
        </w:rPr>
        <w:t>.</w:t>
      </w:r>
    </w:p>
    <w:p w:rsidR="00F10FEB" w:rsidRDefault="00F10FEB" w:rsidP="00C16DDB">
      <w:pPr>
        <w:jc w:val="both"/>
        <w:rPr>
          <w:rFonts w:ascii="Calibri" w:hAnsi="Calibri" w:cs="Calibri"/>
          <w:b/>
          <w:sz w:val="24"/>
          <w:szCs w:val="24"/>
        </w:rPr>
      </w:pPr>
    </w:p>
    <w:p w:rsidR="00775DDF" w:rsidRDefault="00775DDF" w:rsidP="00C16DDB">
      <w:pPr>
        <w:jc w:val="both"/>
        <w:rPr>
          <w:rFonts w:ascii="Calibri" w:hAnsi="Calibri" w:cs="Calibri"/>
          <w:b/>
          <w:sz w:val="24"/>
          <w:szCs w:val="24"/>
        </w:rPr>
      </w:pPr>
    </w:p>
    <w:p w:rsidR="00994937" w:rsidRDefault="00994937"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rPr>
      </w:pPr>
      <w:r w:rsidRPr="00312424">
        <w:rPr>
          <w:rFonts w:ascii="Calibri" w:hAnsi="Calibri" w:cs="Calibri"/>
          <w:b/>
          <w:sz w:val="24"/>
          <w:szCs w:val="24"/>
        </w:rPr>
        <w:lastRenderedPageBreak/>
        <w:t>1</w:t>
      </w:r>
      <w:r w:rsidR="00DA6CEE">
        <w:rPr>
          <w:rFonts w:ascii="Calibri" w:hAnsi="Calibri" w:cs="Calibri"/>
          <w:b/>
          <w:sz w:val="24"/>
          <w:szCs w:val="24"/>
        </w:rPr>
        <w:t>1</w:t>
      </w:r>
      <w:r w:rsidRPr="00312424">
        <w:rPr>
          <w:rFonts w:ascii="Calibri" w:hAnsi="Calibri" w:cs="Calibri"/>
          <w:b/>
          <w:sz w:val="24"/>
          <w:szCs w:val="24"/>
        </w:rPr>
        <w:t xml:space="preserve"> – </w:t>
      </w:r>
      <w:r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137FAC">
        <w:trPr>
          <w:trHeight w:val="284"/>
        </w:trPr>
        <w:tc>
          <w:tcPr>
            <w:tcW w:w="2860" w:type="dxa"/>
            <w:tcBorders>
              <w:top w:val="nil"/>
              <w:left w:val="nil"/>
              <w:bottom w:val="nil"/>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2E7F4A" w:rsidP="00C068C1">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31/</w:t>
            </w:r>
            <w:r w:rsidR="00C068C1">
              <w:rPr>
                <w:rFonts w:ascii="Calibri" w:hAnsi="Calibri" w:cs="Calibri"/>
                <w:b/>
                <w:bCs/>
                <w:snapToGrid/>
                <w:color w:val="000000"/>
                <w:sz w:val="24"/>
                <w:szCs w:val="24"/>
              </w:rPr>
              <w:t>03</w:t>
            </w:r>
            <w:r w:rsidRPr="002E7F4A">
              <w:rPr>
                <w:rFonts w:ascii="Calibri" w:hAnsi="Calibri" w:cs="Calibri"/>
                <w:b/>
                <w:bCs/>
                <w:snapToGrid/>
                <w:color w:val="000000"/>
                <w:sz w:val="24"/>
                <w:szCs w:val="24"/>
              </w:rPr>
              <w:t>/201</w:t>
            </w:r>
            <w:r w:rsidR="00C068C1">
              <w:rPr>
                <w:rFonts w:ascii="Calibri" w:hAnsi="Calibri" w:cs="Calibri"/>
                <w:b/>
                <w:bCs/>
                <w:snapToGrid/>
                <w:color w:val="000000"/>
                <w:sz w:val="24"/>
                <w:szCs w:val="24"/>
              </w:rPr>
              <w:t>9</w:t>
            </w:r>
          </w:p>
        </w:tc>
        <w:tc>
          <w:tcPr>
            <w:tcW w:w="1760" w:type="dxa"/>
            <w:vMerge w:val="restart"/>
            <w:tcBorders>
              <w:top w:val="single" w:sz="4" w:space="0" w:color="auto"/>
              <w:left w:val="nil"/>
              <w:bottom w:val="single" w:sz="4" w:space="0" w:color="000000"/>
              <w:right w:val="nil"/>
            </w:tcBorders>
            <w:shd w:val="clear" w:color="auto" w:fill="auto"/>
            <w:vAlign w:val="center"/>
            <w:hideMark/>
          </w:tcPr>
          <w:p w:rsidR="002E7F4A" w:rsidRPr="002E7F4A" w:rsidRDefault="00C068C1"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31/12/2018</w:t>
            </w:r>
          </w:p>
        </w:tc>
      </w:tr>
      <w:tr w:rsidR="002E7F4A" w:rsidRPr="002E7F4A" w:rsidTr="00857F3A">
        <w:trPr>
          <w:trHeight w:val="284"/>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nil"/>
              <w:left w:val="nil"/>
              <w:bottom w:val="single" w:sz="4" w:space="0" w:color="000000"/>
              <w:right w:val="nil"/>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287.350</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1A44D1">
            <w:pPr>
              <w:widowControl/>
              <w:jc w:val="right"/>
              <w:rPr>
                <w:rFonts w:ascii="Calibri" w:hAnsi="Calibri" w:cs="Calibri"/>
                <w:snapToGrid/>
                <w:color w:val="000000"/>
                <w:sz w:val="24"/>
                <w:szCs w:val="24"/>
              </w:rPr>
            </w:pPr>
            <w:r>
              <w:rPr>
                <w:rFonts w:ascii="Calibri" w:hAnsi="Calibri" w:cs="Calibri"/>
                <w:snapToGrid/>
                <w:color w:val="000000"/>
                <w:sz w:val="24"/>
                <w:szCs w:val="24"/>
              </w:rPr>
              <w:t>(144.41</w:t>
            </w:r>
            <w:r w:rsidR="001A44D1">
              <w:rPr>
                <w:rFonts w:ascii="Calibri" w:hAnsi="Calibri" w:cs="Calibri"/>
                <w:snapToGrid/>
                <w:color w:val="000000"/>
                <w:sz w:val="24"/>
                <w:szCs w:val="24"/>
              </w:rPr>
              <w:t>1</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142.939</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143.397</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985.375</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(128.953)</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856.422</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858.629</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51.292</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1F63A7"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0</w:t>
            </w:r>
            <w:r w:rsidR="00C068C1">
              <w:rPr>
                <w:rFonts w:ascii="Calibri" w:hAnsi="Calibri" w:cs="Calibri"/>
                <w:snapToGrid/>
                <w:color w:val="000000"/>
                <w:sz w:val="24"/>
                <w:szCs w:val="24"/>
              </w:rPr>
              <w:t>-</w:t>
            </w:r>
            <w:r w:rsidR="00C068C1" w:rsidRPr="002E7F4A">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51.292</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51.292</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16.321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(750)</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15.571</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15.571</w:t>
            </w:r>
          </w:p>
        </w:tc>
      </w:tr>
      <w:tr w:rsidR="00C068C1" w:rsidRPr="002E7F4A" w:rsidTr="00C068C1">
        <w:trPr>
          <w:trHeight w:val="284"/>
        </w:trPr>
        <w:tc>
          <w:tcPr>
            <w:tcW w:w="28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068C1" w:rsidRPr="002E7F4A" w:rsidRDefault="00EC32B4" w:rsidP="00C068C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1.340.338</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068C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(274.114)</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EC32B4" w:rsidP="00C068C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1.066.224</w:t>
            </w:r>
          </w:p>
        </w:tc>
        <w:tc>
          <w:tcPr>
            <w:tcW w:w="1760" w:type="dxa"/>
            <w:tcBorders>
              <w:top w:val="nil"/>
              <w:left w:val="nil"/>
              <w:bottom w:val="single" w:sz="4" w:space="0" w:color="auto"/>
              <w:right w:val="nil"/>
            </w:tcBorders>
            <w:shd w:val="clear" w:color="auto" w:fill="auto"/>
            <w:noWrap/>
            <w:vAlign w:val="bottom"/>
            <w:hideMark/>
          </w:tcPr>
          <w:p w:rsidR="00C068C1" w:rsidRPr="002E7F4A" w:rsidRDefault="00C068C1" w:rsidP="00C068C1">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1.068.889</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1</w:t>
      </w:r>
      <w:r w:rsidR="000604CA">
        <w:rPr>
          <w:rFonts w:ascii="Calibri" w:hAnsi="Calibri" w:cs="Calibri"/>
          <w:b/>
          <w:sz w:val="24"/>
          <w:szCs w:val="24"/>
        </w:rPr>
        <w:t>2</w:t>
      </w:r>
      <w:r w:rsidRPr="00312424">
        <w:rPr>
          <w:rFonts w:ascii="Calibri" w:hAnsi="Calibri" w:cs="Calibri"/>
          <w:b/>
          <w:sz w:val="24"/>
          <w:szCs w:val="24"/>
        </w:rPr>
        <w:t xml:space="preserve"> – </w:t>
      </w:r>
      <w:r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 xml:space="preserve">rupo </w:t>
      </w:r>
      <w:r w:rsidR="000604CA">
        <w:rPr>
          <w:rFonts w:ascii="Calibri" w:hAnsi="Calibri" w:cs="Calibri"/>
          <w:sz w:val="24"/>
          <w:szCs w:val="24"/>
        </w:rPr>
        <w:t>está composto da seguinte maneira:</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2E7F4A" w:rsidRPr="002E7F4A" w:rsidTr="00137FAC">
        <w:trPr>
          <w:trHeight w:val="315"/>
          <w:jc w:val="center"/>
        </w:trPr>
        <w:tc>
          <w:tcPr>
            <w:tcW w:w="2860" w:type="dxa"/>
            <w:tcBorders>
              <w:top w:val="nil"/>
              <w:left w:val="nil"/>
              <w:bottom w:val="single" w:sz="4" w:space="0" w:color="auto"/>
              <w:right w:val="nil"/>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0E1F2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w:t>
            </w:r>
            <w:r w:rsidR="000E1F2C">
              <w:rPr>
                <w:rFonts w:ascii="Calibri" w:hAnsi="Calibri" w:cs="Calibri"/>
                <w:b/>
                <w:bCs/>
                <w:snapToGrid/>
                <w:color w:val="000000"/>
                <w:sz w:val="24"/>
                <w:szCs w:val="24"/>
              </w:rPr>
              <w:t>03</w:t>
            </w:r>
            <w:r w:rsidRPr="002E7F4A">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E7F4A" w:rsidRPr="002E7F4A" w:rsidRDefault="002E7F4A" w:rsidP="000E1F2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8.970</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10.05</w:t>
            </w:r>
            <w:r>
              <w:rPr>
                <w:rFonts w:ascii="Calibri" w:hAnsi="Calibri" w:cs="Calibri"/>
                <w:snapToGrid/>
                <w:color w:val="000000"/>
                <w:sz w:val="24"/>
                <w:szCs w:val="24"/>
              </w:rPr>
              <w:t>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444</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391</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267</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284</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15.846</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15.987</w:t>
            </w:r>
          </w:p>
        </w:tc>
      </w:tr>
      <w:tr w:rsidR="000E1F2C" w:rsidRPr="002E7F4A" w:rsidTr="000E1F2C">
        <w:trPr>
          <w:trHeight w:val="315"/>
          <w:jc w:val="center"/>
        </w:trPr>
        <w:tc>
          <w:tcPr>
            <w:tcW w:w="28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2E7F4A" w:rsidRDefault="000E1F2C" w:rsidP="000E1F2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25.527</w:t>
            </w:r>
          </w:p>
        </w:tc>
        <w:tc>
          <w:tcPr>
            <w:tcW w:w="1760" w:type="dxa"/>
            <w:tcBorders>
              <w:top w:val="nil"/>
              <w:left w:val="nil"/>
              <w:bottom w:val="single" w:sz="4" w:space="0" w:color="auto"/>
              <w:right w:val="nil"/>
            </w:tcBorders>
            <w:shd w:val="clear" w:color="auto" w:fill="auto"/>
            <w:noWrap/>
            <w:vAlign w:val="bottom"/>
            <w:hideMark/>
          </w:tcPr>
          <w:p w:rsidR="000E1F2C" w:rsidRPr="002E7F4A" w:rsidRDefault="000E1F2C" w:rsidP="000E1F2C">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26.716</w:t>
            </w:r>
          </w:p>
        </w:tc>
      </w:tr>
    </w:tbl>
    <w:p w:rsidR="000E1F2C" w:rsidRDefault="000E1F2C" w:rsidP="00C16DDB">
      <w:pPr>
        <w:jc w:val="both"/>
        <w:rPr>
          <w:rFonts w:ascii="Calibri" w:hAnsi="Calibri" w:cs="Calibri"/>
          <w:b/>
          <w:sz w:val="24"/>
          <w:szCs w:val="24"/>
        </w:rPr>
      </w:pPr>
    </w:p>
    <w:p w:rsidR="000E1F2C" w:rsidRDefault="000E1F2C" w:rsidP="00C16DDB">
      <w:pPr>
        <w:jc w:val="both"/>
        <w:rPr>
          <w:rFonts w:ascii="Calibri" w:hAnsi="Calibri" w:cs="Calibri"/>
          <w:b/>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1</w:t>
      </w:r>
      <w:r w:rsidR="00DE5674">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w:t>
            </w:r>
            <w:r w:rsidR="000E1F2C">
              <w:rPr>
                <w:rFonts w:ascii="Calibri" w:hAnsi="Calibri" w:cs="Calibri"/>
                <w:b/>
                <w:bCs/>
                <w:snapToGrid/>
                <w:color w:val="000000"/>
                <w:sz w:val="24"/>
                <w:szCs w:val="24"/>
              </w:rPr>
              <w:t>03</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w:t>
            </w:r>
            <w:r w:rsidR="000E1F2C">
              <w:rPr>
                <w:rFonts w:ascii="Calibri" w:hAnsi="Calibri" w:cs="Calibri"/>
                <w:b/>
                <w:bCs/>
                <w:snapToGrid/>
                <w:color w:val="000000"/>
                <w:sz w:val="24"/>
                <w:szCs w:val="24"/>
              </w:rPr>
              <w:t>03</w:t>
            </w:r>
            <w:r w:rsidRPr="001A3B52">
              <w:rPr>
                <w:rFonts w:ascii="Calibri" w:hAnsi="Calibri" w:cs="Calibri"/>
                <w:b/>
                <w:bCs/>
                <w:snapToGrid/>
                <w:color w:val="000000"/>
                <w:sz w:val="24"/>
                <w:szCs w:val="24"/>
              </w:rPr>
              <w:t>/201</w:t>
            </w:r>
            <w:r w:rsidR="000E1F2C">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13.732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13.191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3.395</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3.382</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469.334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469.334</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Parcelamentos Federais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38.488</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37.730</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443.654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455.02</w:t>
            </w:r>
            <w:r>
              <w:rPr>
                <w:rFonts w:ascii="Calibri" w:hAnsi="Calibri" w:cs="Calibri"/>
                <w:snapToGrid/>
                <w:color w:val="000000"/>
                <w:sz w:val="24"/>
                <w:szCs w:val="24"/>
              </w:rPr>
              <w:t>8</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20.006</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27.709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7.311</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7.690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3.344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5.099</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6.820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11.322</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675</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734</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1F63A7">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1F63A7">
              <w:rPr>
                <w:rFonts w:ascii="Calibri" w:hAnsi="Calibri" w:cs="Calibri"/>
                <w:snapToGrid/>
                <w:color w:val="000000"/>
                <w:sz w:val="24"/>
                <w:szCs w:val="24"/>
              </w:rPr>
              <w:t>0</w:t>
            </w:r>
          </w:p>
        </w:tc>
      </w:tr>
      <w:tr w:rsidR="000E1F2C" w:rsidRPr="001A3B52" w:rsidTr="000E1F2C">
        <w:trPr>
          <w:trHeight w:val="284"/>
        </w:trPr>
        <w:tc>
          <w:tcPr>
            <w:tcW w:w="28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0E1F2C" w:rsidRPr="001A3B52" w:rsidRDefault="008967A6" w:rsidP="000E1F2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105.093</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113.677</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8967A6" w:rsidP="000E1F2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912.988</w:t>
            </w:r>
          </w:p>
        </w:tc>
        <w:tc>
          <w:tcPr>
            <w:tcW w:w="1760" w:type="dxa"/>
            <w:tcBorders>
              <w:top w:val="nil"/>
              <w:left w:val="nil"/>
              <w:bottom w:val="single" w:sz="4" w:space="0" w:color="auto"/>
              <w:right w:val="nil"/>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924.362</w:t>
            </w:r>
          </w:p>
        </w:tc>
      </w:tr>
    </w:tbl>
    <w:p w:rsidR="001A3B52" w:rsidRDefault="001A3B52"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1A44D1" w:rsidRDefault="001A44D1" w:rsidP="00C16DDB">
      <w:pPr>
        <w:jc w:val="both"/>
        <w:rPr>
          <w:rFonts w:ascii="Calibri" w:hAnsi="Calibri" w:cs="Calibri"/>
          <w:sz w:val="24"/>
          <w:szCs w:val="24"/>
        </w:rPr>
      </w:pPr>
    </w:p>
    <w:p w:rsidR="006D1F1A" w:rsidRDefault="008F6488" w:rsidP="00C16DDB">
      <w:pPr>
        <w:jc w:val="both"/>
        <w:rPr>
          <w:rFonts w:ascii="Calibri" w:hAnsi="Calibri" w:cs="Calibri"/>
          <w:sz w:val="24"/>
          <w:szCs w:val="24"/>
        </w:rPr>
      </w:pPr>
      <w:r>
        <w:rPr>
          <w:rFonts w:ascii="Calibri" w:hAnsi="Calibri" w:cs="Calibri"/>
          <w:sz w:val="24"/>
          <w:szCs w:val="24"/>
        </w:rPr>
        <w:lastRenderedPageBreak/>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Parcelamentos Federais</w:t>
      </w:r>
      <w:r w:rsidR="0011024F">
        <w:rPr>
          <w:rFonts w:ascii="Calibri" w:hAnsi="Calibri" w:cs="Calibri"/>
          <w:sz w:val="24"/>
          <w:szCs w:val="24"/>
        </w:rPr>
        <w:t xml:space="preserve"> 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D4421">
        <w:rPr>
          <w:rFonts w:ascii="Calibri" w:hAnsi="Calibri" w:cs="Calibri"/>
          <w:sz w:val="24"/>
          <w:szCs w:val="24"/>
        </w:rPr>
        <w:t xml:space="preserve">além </w:t>
      </w:r>
      <w:r w:rsidR="0011024F">
        <w:rPr>
          <w:rFonts w:ascii="Calibri" w:hAnsi="Calibri" w:cs="Calibri"/>
          <w:sz w:val="24"/>
          <w:szCs w:val="24"/>
        </w:rPr>
        <w:t>de dois p</w:t>
      </w:r>
      <w:r w:rsidR="00ED4421">
        <w:rPr>
          <w:rFonts w:ascii="Calibri" w:hAnsi="Calibri" w:cs="Calibri"/>
          <w:sz w:val="24"/>
          <w:szCs w:val="24"/>
        </w:rPr>
        <w:t>rocessos de pagamento mensal de multas aplicadas pela ANTAQ.</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C16DDB" w:rsidRDefault="00C16DDB" w:rsidP="00C16DDB">
      <w:pPr>
        <w:jc w:val="both"/>
        <w:rPr>
          <w:rFonts w:ascii="Calibri" w:hAnsi="Calibri" w:cs="Calibri"/>
          <w:b/>
          <w:sz w:val="24"/>
          <w:szCs w:val="24"/>
        </w:rPr>
      </w:pPr>
    </w:p>
    <w:p w:rsidR="006350A8" w:rsidRPr="00312424" w:rsidRDefault="006350A8"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As obrigações contratuais são demonstradas por valores conhecidos ou calculáveis,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e 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857F3A">
        <w:trPr>
          <w:trHeight w:val="284"/>
        </w:trPr>
        <w:tc>
          <w:tcPr>
            <w:tcW w:w="2860" w:type="dxa"/>
            <w:tcBorders>
              <w:top w:val="nil"/>
              <w:left w:val="nil"/>
              <w:bottom w:val="nil"/>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857F3A">
        <w:trPr>
          <w:trHeight w:val="284"/>
        </w:trPr>
        <w:tc>
          <w:tcPr>
            <w:tcW w:w="2860" w:type="dxa"/>
            <w:tcBorders>
              <w:top w:val="nil"/>
              <w:left w:val="nil"/>
              <w:bottom w:val="single" w:sz="4" w:space="0" w:color="auto"/>
              <w:right w:val="nil"/>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w:t>
            </w:r>
            <w:r w:rsidR="00ED5AC8">
              <w:rPr>
                <w:rFonts w:ascii="Calibri" w:hAnsi="Calibri" w:cs="Calibri"/>
                <w:b/>
                <w:bCs/>
                <w:snapToGrid/>
                <w:color w:val="000000"/>
                <w:sz w:val="24"/>
                <w:szCs w:val="24"/>
              </w:rPr>
              <w:t>03</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w:t>
            </w:r>
            <w:r w:rsidR="00ED5AC8">
              <w:rPr>
                <w:rFonts w:ascii="Calibri" w:hAnsi="Calibri" w:cs="Calibri"/>
                <w:b/>
                <w:bCs/>
                <w:snapToGrid/>
                <w:color w:val="000000"/>
                <w:sz w:val="24"/>
                <w:szCs w:val="24"/>
              </w:rPr>
              <w:t>03</w:t>
            </w:r>
            <w:r w:rsidRPr="001A3B52">
              <w:rPr>
                <w:rFonts w:ascii="Calibri" w:hAnsi="Calibri" w:cs="Calibri"/>
                <w:b/>
                <w:bCs/>
                <w:snapToGrid/>
                <w:color w:val="000000"/>
                <w:sz w:val="24"/>
                <w:szCs w:val="24"/>
              </w:rPr>
              <w:t>/201</w:t>
            </w:r>
            <w:r w:rsidR="00ED5AC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Depósito Caucionado</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7.373</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6.481</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16.619</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21.081</w:t>
            </w:r>
          </w:p>
        </w:tc>
        <w:tc>
          <w:tcPr>
            <w:tcW w:w="1760" w:type="dxa"/>
            <w:tcBorders>
              <w:top w:val="nil"/>
              <w:left w:val="nil"/>
              <w:bottom w:val="single" w:sz="4" w:space="0" w:color="auto"/>
              <w:right w:val="nil"/>
            </w:tcBorders>
            <w:shd w:val="clear" w:color="auto" w:fill="auto"/>
            <w:noWrap/>
            <w:vAlign w:val="bottom"/>
          </w:tcPr>
          <w:p w:rsidR="00ED5AC8" w:rsidRPr="001A3B52" w:rsidRDefault="006350A8"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48.872</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48.872</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162.210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149.898</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2.766</w:t>
            </w:r>
          </w:p>
        </w:tc>
        <w:tc>
          <w:tcPr>
            <w:tcW w:w="1760" w:type="dxa"/>
            <w:tcBorders>
              <w:top w:val="nil"/>
              <w:left w:val="nil"/>
              <w:bottom w:val="single" w:sz="4" w:space="0" w:color="auto"/>
              <w:right w:val="nil"/>
            </w:tcBorders>
            <w:shd w:val="clear" w:color="auto" w:fill="auto"/>
            <w:noWrap/>
            <w:vAlign w:val="bottom"/>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ED5AC8" w:rsidRPr="001A3B52" w:rsidTr="00ED5AC8">
        <w:trPr>
          <w:trHeight w:val="284"/>
        </w:trPr>
        <w:tc>
          <w:tcPr>
            <w:tcW w:w="28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D5AC8" w:rsidRPr="001A3B52" w:rsidRDefault="00ED5AC8" w:rsidP="00ED5AC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189.030</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180.226</w:t>
            </w:r>
          </w:p>
        </w:tc>
        <w:tc>
          <w:tcPr>
            <w:tcW w:w="1760" w:type="dxa"/>
            <w:tcBorders>
              <w:top w:val="nil"/>
              <w:left w:val="nil"/>
              <w:bottom w:val="single" w:sz="4" w:space="0" w:color="auto"/>
              <w:right w:val="nil"/>
            </w:tcBorders>
            <w:shd w:val="clear" w:color="auto" w:fill="auto"/>
            <w:noWrap/>
            <w:vAlign w:val="bottom"/>
          </w:tcPr>
          <w:p w:rsidR="00ED5AC8" w:rsidRPr="001A3B52" w:rsidRDefault="006350A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48.872</w:t>
            </w:r>
          </w:p>
        </w:tc>
        <w:tc>
          <w:tcPr>
            <w:tcW w:w="1760" w:type="dxa"/>
            <w:tcBorders>
              <w:top w:val="nil"/>
              <w:left w:val="nil"/>
              <w:bottom w:val="single" w:sz="4" w:space="0" w:color="auto"/>
              <w:right w:val="nil"/>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48.872</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 parte fixa e variável do arrendamento.</w:t>
      </w:r>
    </w:p>
    <w:p w:rsidR="008706A4" w:rsidRDefault="008706A4"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lastRenderedPageBreak/>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 xml:space="preserve">nos quais a CDRJ transferiu à União parte dos direitos de créditos decorrentes dos contratos de arrendamento firmados com a Libra Terminal Rio e </w:t>
      </w:r>
      <w:proofErr w:type="spellStart"/>
      <w:r w:rsidR="008706A4">
        <w:rPr>
          <w:rFonts w:ascii="Calibri" w:hAnsi="Calibri" w:cs="Calibri"/>
          <w:sz w:val="24"/>
          <w:szCs w:val="24"/>
        </w:rPr>
        <w:t>Sepetiba</w:t>
      </w:r>
      <w:proofErr w:type="spellEnd"/>
      <w:r w:rsidR="008706A4">
        <w:rPr>
          <w:rFonts w:ascii="Calibri" w:hAnsi="Calibri" w:cs="Calibri"/>
          <w:sz w:val="24"/>
          <w:szCs w:val="24"/>
        </w:rPr>
        <w:t xml:space="preserve"> </w:t>
      </w:r>
      <w:proofErr w:type="spellStart"/>
      <w:r w:rsidR="008706A4">
        <w:rPr>
          <w:rFonts w:ascii="Calibri" w:hAnsi="Calibri" w:cs="Calibri"/>
          <w:sz w:val="24"/>
          <w:szCs w:val="24"/>
        </w:rPr>
        <w:t>Tecon</w:t>
      </w:r>
      <w:proofErr w:type="spellEnd"/>
      <w:r w:rsidR="008706A4">
        <w:rPr>
          <w:rFonts w:ascii="Calibri" w:hAnsi="Calibri" w:cs="Calibri"/>
          <w:sz w:val="24"/>
          <w:szCs w:val="24"/>
        </w:rPr>
        <w:t>, vencíveis até o exercício de 2023</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r w:rsidR="004730A3">
        <w:rPr>
          <w:rFonts w:ascii="Calibri" w:hAnsi="Calibri" w:cs="Calibri"/>
          <w:sz w:val="24"/>
          <w:szCs w:val="24"/>
        </w:rPr>
        <w:t xml:space="preserve"> </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de previdência </w:t>
      </w:r>
      <w:r>
        <w:rPr>
          <w:rFonts w:ascii="Calibri" w:hAnsi="Calibri" w:cs="Calibri"/>
          <w:sz w:val="24"/>
          <w:szCs w:val="24"/>
        </w:rPr>
        <w:t>complementar</w:t>
      </w:r>
      <w:r w:rsidRPr="00312424">
        <w:rPr>
          <w:rFonts w:ascii="Calibri" w:hAnsi="Calibri" w:cs="Calibri"/>
          <w:sz w:val="24"/>
          <w:szCs w:val="24"/>
        </w:rPr>
        <w:t xml:space="preserve">, fiscalizada pela Secretaria de Previdência Complementar do Ministério da Previdência e Assistência Social. </w:t>
      </w:r>
      <w:r>
        <w:rPr>
          <w:rFonts w:ascii="Calibri" w:hAnsi="Calibri" w:cs="Calibri"/>
          <w:sz w:val="24"/>
          <w:szCs w:val="24"/>
        </w:rPr>
        <w:t>A CDRJ contribui com uma parcela mensal sobre a massa de salários dos empregados participantes, paritária aos valores por eles recolhidos.</w:t>
      </w: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responsabilidade da patrocinadora CDRJ, incluindo o déficit atuarial, conforme informações apresentadas pelo </w:t>
      </w:r>
      <w:proofErr w:type="spellStart"/>
      <w:r w:rsidRPr="00312424">
        <w:rPr>
          <w:rFonts w:ascii="Calibri" w:hAnsi="Calibri" w:cs="Calibri"/>
          <w:sz w:val="24"/>
          <w:szCs w:val="24"/>
        </w:rPr>
        <w:t>Portus</w:t>
      </w:r>
      <w:proofErr w:type="spellEnd"/>
      <w:r>
        <w:rPr>
          <w:rFonts w:ascii="Calibri" w:hAnsi="Calibri" w:cs="Calibri"/>
          <w:sz w:val="24"/>
          <w:szCs w:val="24"/>
        </w:rPr>
        <w:t xml:space="preserve"> no seu relatório referente ao exercício de 201</w:t>
      </w:r>
      <w:r w:rsidR="00547369">
        <w:rPr>
          <w:rFonts w:ascii="Calibri" w:hAnsi="Calibri" w:cs="Calibri"/>
          <w:sz w:val="24"/>
          <w:szCs w:val="24"/>
        </w:rPr>
        <w:t>8</w:t>
      </w:r>
      <w:r w:rsidRPr="00312424">
        <w:rPr>
          <w:rFonts w:ascii="Calibri" w:hAnsi="Calibri" w:cs="Calibri"/>
          <w:sz w:val="24"/>
          <w:szCs w:val="24"/>
        </w:rPr>
        <w:t>, é de</w:t>
      </w:r>
      <w:r>
        <w:rPr>
          <w:rFonts w:ascii="Calibri" w:hAnsi="Calibri" w:cs="Calibri"/>
          <w:sz w:val="24"/>
          <w:szCs w:val="24"/>
        </w:rPr>
        <w:t>, aproximadamente,</w:t>
      </w:r>
      <w:r w:rsidRPr="00312424">
        <w:rPr>
          <w:rFonts w:ascii="Calibri" w:hAnsi="Calibri" w:cs="Calibri"/>
          <w:sz w:val="24"/>
          <w:szCs w:val="24"/>
        </w:rPr>
        <w:t xml:space="preserve"> R$ </w:t>
      </w:r>
      <w:r w:rsidR="004A4BE6">
        <w:rPr>
          <w:rFonts w:ascii="Calibri" w:hAnsi="Calibri" w:cs="Calibri"/>
          <w:sz w:val="24"/>
          <w:szCs w:val="24"/>
        </w:rPr>
        <w:t xml:space="preserve">701.611 mil (R$ 954.493 mil em 2017). </w:t>
      </w:r>
      <w:r w:rsidRPr="004A4BE6">
        <w:rPr>
          <w:rFonts w:ascii="Calibri" w:hAnsi="Calibri" w:cs="Calibri"/>
          <w:sz w:val="24"/>
          <w:szCs w:val="24"/>
        </w:rPr>
        <w:t>Faz-se necessário registrar que a diferença entre os valores</w:t>
      </w:r>
      <w:r w:rsidRPr="00312424">
        <w:rPr>
          <w:rFonts w:ascii="Calibri" w:hAnsi="Calibri" w:cs="Calibri"/>
          <w:sz w:val="24"/>
          <w:szCs w:val="24"/>
        </w:rPr>
        <w:t xml:space="preserve"> apresentados pelo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e aqueles reconhecidos pela CDRJ continuam em controvérsia, motivo pelo qu</w:t>
      </w:r>
      <w:r>
        <w:rPr>
          <w:rFonts w:ascii="Calibri" w:hAnsi="Calibri" w:cs="Calibri"/>
          <w:sz w:val="24"/>
          <w:szCs w:val="24"/>
        </w:rPr>
        <w:t>al a questão está sendo discutida na esfera judicial.</w:t>
      </w:r>
    </w:p>
    <w:p w:rsidR="00E70A67" w:rsidRPr="00312424" w:rsidRDefault="00E70A67" w:rsidP="00E70A67">
      <w:pPr>
        <w:jc w:val="both"/>
        <w:rPr>
          <w:rFonts w:ascii="Calibri" w:hAnsi="Calibri" w:cs="Calibri"/>
          <w:sz w:val="24"/>
          <w:szCs w:val="24"/>
        </w:rPr>
      </w:pPr>
    </w:p>
    <w:p w:rsidR="00E70A67" w:rsidRPr="00312424" w:rsidRDefault="00E70A67" w:rsidP="00E70A67">
      <w:pPr>
        <w:jc w:val="both"/>
        <w:rPr>
          <w:rFonts w:ascii="Calibri" w:hAnsi="Calibri" w:cs="Calibri"/>
          <w:sz w:val="24"/>
          <w:szCs w:val="24"/>
        </w:rPr>
      </w:pPr>
      <w:r w:rsidRPr="00312424">
        <w:rPr>
          <w:rFonts w:ascii="Calibri" w:hAnsi="Calibri" w:cs="Calibri"/>
          <w:sz w:val="24"/>
          <w:szCs w:val="24"/>
        </w:rPr>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w:t>
      </w:r>
      <w:r w:rsidR="009E33A7">
        <w:rPr>
          <w:rFonts w:ascii="Calibri" w:hAnsi="Calibri" w:cs="Calibri"/>
          <w:sz w:val="24"/>
          <w:szCs w:val="24"/>
        </w:rPr>
        <w:t>Entretanto, os repasses da União ocorreram apenas no exercício de 2016 e não foram suficientes para liquidar o débito confessado.</w:t>
      </w:r>
    </w:p>
    <w:p w:rsidR="00E70A67" w:rsidRDefault="00E70A67"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9E33A7" w:rsidRDefault="009E33A7" w:rsidP="00E70A67">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547369" w:rsidRPr="00547369" w:rsidTr="00857F3A">
        <w:trPr>
          <w:trHeight w:val="284"/>
        </w:trPr>
        <w:tc>
          <w:tcPr>
            <w:tcW w:w="2860" w:type="dxa"/>
            <w:tcBorders>
              <w:top w:val="nil"/>
              <w:left w:val="nil"/>
              <w:bottom w:val="nil"/>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Circulante</w:t>
            </w: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Não Circulante</w:t>
            </w:r>
          </w:p>
        </w:tc>
      </w:tr>
      <w:tr w:rsidR="00547369" w:rsidRPr="00547369" w:rsidTr="00857F3A">
        <w:trPr>
          <w:trHeight w:val="284"/>
        </w:trPr>
        <w:tc>
          <w:tcPr>
            <w:tcW w:w="2860" w:type="dxa"/>
            <w:tcBorders>
              <w:top w:val="nil"/>
              <w:left w:val="nil"/>
              <w:bottom w:val="single" w:sz="4" w:space="0" w:color="auto"/>
              <w:right w:val="nil"/>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w:t>
            </w:r>
            <w:r w:rsidR="006350A8">
              <w:rPr>
                <w:rFonts w:ascii="Calibri" w:hAnsi="Calibri" w:cs="Calibri"/>
                <w:b/>
                <w:bCs/>
                <w:snapToGrid/>
                <w:color w:val="000000"/>
                <w:sz w:val="24"/>
                <w:szCs w:val="24"/>
              </w:rPr>
              <w:t>03</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w:t>
            </w:r>
            <w:r w:rsidR="006350A8">
              <w:rPr>
                <w:rFonts w:ascii="Calibri" w:hAnsi="Calibri" w:cs="Calibri"/>
                <w:b/>
                <w:bCs/>
                <w:snapToGrid/>
                <w:color w:val="000000"/>
                <w:sz w:val="24"/>
                <w:szCs w:val="24"/>
              </w:rPr>
              <w:t>03</w:t>
            </w:r>
            <w:r w:rsidRPr="00547369">
              <w:rPr>
                <w:rFonts w:ascii="Calibri" w:hAnsi="Calibri" w:cs="Calibri"/>
                <w:b/>
                <w:bCs/>
                <w:snapToGrid/>
                <w:color w:val="000000"/>
                <w:sz w:val="24"/>
                <w:szCs w:val="24"/>
              </w:rPr>
              <w:t>/201</w:t>
            </w:r>
            <w:r w:rsidR="006350A8">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1.624</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2.842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284.163</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271.252</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RTSA</w:t>
            </w:r>
          </w:p>
        </w:tc>
        <w:tc>
          <w:tcPr>
            <w:tcW w:w="1760" w:type="dxa"/>
            <w:tcBorders>
              <w:top w:val="nil"/>
              <w:left w:val="nil"/>
              <w:bottom w:val="single" w:sz="4" w:space="0" w:color="auto"/>
              <w:right w:val="nil"/>
            </w:tcBorders>
            <w:shd w:val="clear" w:color="auto" w:fill="auto"/>
            <w:noWrap/>
            <w:vAlign w:val="bottom"/>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323.577</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308.875</w:t>
            </w:r>
          </w:p>
        </w:tc>
      </w:tr>
      <w:tr w:rsidR="006350A8" w:rsidRPr="00547369" w:rsidTr="006350A8">
        <w:trPr>
          <w:trHeight w:val="284"/>
        </w:trPr>
        <w:tc>
          <w:tcPr>
            <w:tcW w:w="28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6350A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285.787</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274.094</w:t>
            </w:r>
          </w:p>
        </w:tc>
        <w:tc>
          <w:tcPr>
            <w:tcW w:w="1760" w:type="dxa"/>
            <w:tcBorders>
              <w:top w:val="nil"/>
              <w:left w:val="nil"/>
              <w:bottom w:val="single" w:sz="4" w:space="0" w:color="auto"/>
              <w:right w:val="nil"/>
            </w:tcBorders>
            <w:shd w:val="clear" w:color="auto" w:fill="auto"/>
            <w:noWrap/>
            <w:vAlign w:val="bottom"/>
          </w:tcPr>
          <w:p w:rsidR="006350A8" w:rsidRPr="00547369" w:rsidRDefault="00BF4639" w:rsidP="006350A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323.577</w:t>
            </w:r>
          </w:p>
        </w:tc>
        <w:tc>
          <w:tcPr>
            <w:tcW w:w="1760" w:type="dxa"/>
            <w:tcBorders>
              <w:top w:val="nil"/>
              <w:left w:val="nil"/>
              <w:bottom w:val="single" w:sz="4" w:space="0" w:color="auto"/>
              <w:right w:val="nil"/>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308.875</w:t>
            </w:r>
          </w:p>
        </w:tc>
      </w:tr>
    </w:tbl>
    <w:p w:rsidR="00547369" w:rsidRDefault="00547369" w:rsidP="00E70A67">
      <w:pPr>
        <w:jc w:val="both"/>
        <w:rPr>
          <w:rFonts w:ascii="Calibri" w:hAnsi="Calibri" w:cs="Calibri"/>
          <w:sz w:val="24"/>
          <w:szCs w:val="24"/>
        </w:rPr>
      </w:pPr>
    </w:p>
    <w:p w:rsidR="006350A8" w:rsidRDefault="006350A8" w:rsidP="00E70A67">
      <w:pPr>
        <w:jc w:val="both"/>
        <w:rPr>
          <w:rFonts w:ascii="Calibri" w:hAnsi="Calibri" w:cs="Calibri"/>
          <w:sz w:val="24"/>
          <w:szCs w:val="24"/>
        </w:rPr>
      </w:pPr>
    </w:p>
    <w:p w:rsidR="00C16DDB" w:rsidRPr="00003BDB" w:rsidRDefault="009E33A7" w:rsidP="00C16DDB">
      <w:pPr>
        <w:jc w:val="both"/>
        <w:rPr>
          <w:rFonts w:ascii="Calibri" w:hAnsi="Calibri" w:cs="Calibri"/>
          <w:b/>
          <w:sz w:val="24"/>
          <w:szCs w:val="24"/>
          <w:u w:val="single"/>
        </w:rPr>
      </w:pPr>
      <w:r w:rsidRPr="00003BDB">
        <w:rPr>
          <w:rFonts w:ascii="Calibri" w:hAnsi="Calibri" w:cs="Calibri"/>
          <w:b/>
          <w:sz w:val="24"/>
          <w:szCs w:val="24"/>
        </w:rPr>
        <w:t>16</w:t>
      </w:r>
      <w:r w:rsidR="00C16DDB" w:rsidRPr="00003BDB">
        <w:rPr>
          <w:rFonts w:ascii="Calibri" w:hAnsi="Calibri" w:cs="Calibri"/>
          <w:b/>
          <w:sz w:val="24"/>
          <w:szCs w:val="24"/>
        </w:rPr>
        <w:t xml:space="preserve"> – </w:t>
      </w:r>
      <w:r w:rsidR="00C16DDB" w:rsidRPr="00003BDB">
        <w:rPr>
          <w:rFonts w:ascii="Calibri" w:hAnsi="Calibri" w:cs="Calibri"/>
          <w:b/>
          <w:sz w:val="24"/>
          <w:szCs w:val="24"/>
          <w:u w:val="single"/>
        </w:rPr>
        <w:t>ARRENDAMENTO MERCANTIL</w:t>
      </w:r>
    </w:p>
    <w:p w:rsidR="00C16DDB" w:rsidRPr="00003BDB" w:rsidRDefault="00C16DDB" w:rsidP="00C16DDB">
      <w:pPr>
        <w:ind w:left="993"/>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Trata-se de contratos de </w:t>
      </w:r>
      <w:r w:rsidRPr="00003BDB">
        <w:rPr>
          <w:rFonts w:ascii="Calibri" w:hAnsi="Calibri" w:cs="Calibri"/>
          <w:i/>
          <w:sz w:val="24"/>
          <w:szCs w:val="24"/>
        </w:rPr>
        <w:t>leasing</w:t>
      </w:r>
      <w:r w:rsidRPr="00003BDB">
        <w:rPr>
          <w:rFonts w:ascii="Calibri" w:hAnsi="Calibri" w:cs="Calibri"/>
          <w:sz w:val="24"/>
          <w:szCs w:val="24"/>
        </w:rPr>
        <w:t xml:space="preserve"> de equipamentos portuários transferidos da extinta Empresa de Portos do Brasil – PORTOBRAS para a CDRJ, administrados pelas seguintes empresas:</w:t>
      </w:r>
    </w:p>
    <w:p w:rsidR="00003BDB" w:rsidRPr="00003BDB" w:rsidRDefault="00C16DDB" w:rsidP="00003BDB">
      <w:pPr>
        <w:numPr>
          <w:ilvl w:val="0"/>
          <w:numId w:val="9"/>
        </w:numPr>
        <w:jc w:val="both"/>
        <w:rPr>
          <w:rFonts w:ascii="Calibri" w:hAnsi="Calibri" w:cs="Calibri"/>
          <w:sz w:val="24"/>
          <w:szCs w:val="24"/>
        </w:rPr>
      </w:pPr>
      <w:r w:rsidRPr="00003BDB">
        <w:rPr>
          <w:rFonts w:ascii="Calibri" w:hAnsi="Calibri" w:cs="Calibri"/>
          <w:sz w:val="24"/>
          <w:szCs w:val="24"/>
        </w:rPr>
        <w:t>Companhia Inter Atlâ</w:t>
      </w:r>
      <w:r w:rsidR="00003BDB">
        <w:rPr>
          <w:rFonts w:ascii="Calibri" w:hAnsi="Calibri" w:cs="Calibri"/>
          <w:sz w:val="24"/>
          <w:szCs w:val="24"/>
        </w:rPr>
        <w:t>ntico de Arrendamento Mercantil (</w:t>
      </w:r>
      <w:r w:rsidR="00F851F3">
        <w:rPr>
          <w:rFonts w:ascii="Calibri" w:hAnsi="Calibri" w:cs="Calibri"/>
          <w:sz w:val="24"/>
          <w:szCs w:val="24"/>
        </w:rPr>
        <w:t xml:space="preserve">Banco </w:t>
      </w:r>
      <w:r w:rsidR="00003BDB">
        <w:rPr>
          <w:rFonts w:ascii="Calibri" w:hAnsi="Calibri" w:cs="Calibri"/>
          <w:sz w:val="24"/>
          <w:szCs w:val="24"/>
        </w:rPr>
        <w:t>J.P. Morgan</w:t>
      </w:r>
      <w:r w:rsidR="00F851F3">
        <w:rPr>
          <w:rFonts w:ascii="Calibri" w:hAnsi="Calibri" w:cs="Calibri"/>
          <w:sz w:val="24"/>
          <w:szCs w:val="24"/>
        </w:rPr>
        <w:t xml:space="preserve"> S/A</w:t>
      </w:r>
      <w:r w:rsidR="00003BDB">
        <w:rPr>
          <w:rFonts w:ascii="Calibri" w:hAnsi="Calibri" w:cs="Calibri"/>
          <w:sz w:val="24"/>
          <w:szCs w:val="24"/>
        </w:rPr>
        <w:t>)</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Comind</w:t>
      </w:r>
      <w:proofErr w:type="spellEnd"/>
      <w:r w:rsidRPr="00003BDB">
        <w:rPr>
          <w:rFonts w:ascii="Calibri" w:hAnsi="Calibri" w:cs="Calibri"/>
          <w:i/>
          <w:sz w:val="24"/>
          <w:szCs w:val="24"/>
          <w:lang w:val="en-US"/>
        </w:rPr>
        <w:t xml:space="preserve"> Leasing</w:t>
      </w:r>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Arrendamento</w:t>
      </w:r>
      <w:proofErr w:type="spellEnd"/>
      <w:r w:rsidRPr="00003BDB">
        <w:rPr>
          <w:rFonts w:ascii="Calibri" w:hAnsi="Calibri" w:cs="Calibri"/>
          <w:sz w:val="24"/>
          <w:szCs w:val="24"/>
          <w:lang w:val="en-US"/>
        </w:rPr>
        <w:t xml:space="preserve"> </w:t>
      </w:r>
      <w:proofErr w:type="spellStart"/>
      <w:r w:rsidRPr="00003BDB">
        <w:rPr>
          <w:rFonts w:ascii="Calibri" w:hAnsi="Calibri" w:cs="Calibri"/>
          <w:sz w:val="24"/>
          <w:szCs w:val="24"/>
          <w:lang w:val="en-US"/>
        </w:rPr>
        <w:t>Mercantil</w:t>
      </w:r>
      <w:proofErr w:type="spellEnd"/>
      <w:r w:rsidRPr="00003BDB">
        <w:rPr>
          <w:rFonts w:ascii="Calibri" w:hAnsi="Calibri" w:cs="Calibri"/>
          <w:sz w:val="24"/>
          <w:szCs w:val="24"/>
          <w:lang w:val="en-US"/>
        </w:rPr>
        <w:t xml:space="preserve"> S/A;</w:t>
      </w:r>
      <w:r w:rsidR="00F851F3">
        <w:rPr>
          <w:rFonts w:ascii="Calibri" w:hAnsi="Calibri" w:cs="Calibri"/>
          <w:sz w:val="24"/>
          <w:szCs w:val="24"/>
          <w:lang w:val="en-US"/>
        </w:rPr>
        <w:t xml:space="preserve"> (</w:t>
      </w:r>
      <w:proofErr w:type="spellStart"/>
      <w:r w:rsidR="00F851F3">
        <w:rPr>
          <w:rFonts w:ascii="Calibri" w:hAnsi="Calibri" w:cs="Calibri"/>
          <w:sz w:val="24"/>
          <w:szCs w:val="24"/>
          <w:lang w:val="en-US"/>
        </w:rPr>
        <w:t>Brooklin</w:t>
      </w:r>
      <w:proofErr w:type="spellEnd"/>
      <w:r w:rsidR="00F851F3">
        <w:rPr>
          <w:rFonts w:ascii="Calibri" w:hAnsi="Calibri" w:cs="Calibri"/>
          <w:sz w:val="24"/>
          <w:szCs w:val="24"/>
          <w:lang w:val="en-US"/>
        </w:rPr>
        <w:t xml:space="preserve"> </w:t>
      </w:r>
      <w:r w:rsidR="00F851F3" w:rsidRPr="00003BDB">
        <w:rPr>
          <w:rFonts w:ascii="Calibri" w:hAnsi="Calibri" w:cs="Calibri"/>
          <w:sz w:val="24"/>
          <w:szCs w:val="24"/>
        </w:rPr>
        <w:t>Empreendimentos</w:t>
      </w:r>
      <w:r w:rsidR="00F851F3">
        <w:rPr>
          <w:rFonts w:ascii="Calibri" w:hAnsi="Calibri" w:cs="Calibri"/>
          <w:sz w:val="24"/>
          <w:szCs w:val="24"/>
        </w:rPr>
        <w:t xml:space="preserve"> S/A)</w:t>
      </w:r>
    </w:p>
    <w:p w:rsidR="00C16DDB" w:rsidRPr="00003BDB" w:rsidRDefault="00C16DDB" w:rsidP="00C16DDB">
      <w:pPr>
        <w:numPr>
          <w:ilvl w:val="0"/>
          <w:numId w:val="9"/>
        </w:numPr>
        <w:jc w:val="both"/>
        <w:rPr>
          <w:rFonts w:ascii="Calibri" w:hAnsi="Calibri" w:cs="Calibri"/>
          <w:sz w:val="24"/>
          <w:szCs w:val="24"/>
          <w:lang w:val="en-US"/>
        </w:rPr>
      </w:pPr>
      <w:proofErr w:type="spellStart"/>
      <w:r w:rsidRPr="00003BDB">
        <w:rPr>
          <w:rFonts w:ascii="Calibri" w:hAnsi="Calibri" w:cs="Calibri"/>
          <w:sz w:val="24"/>
          <w:szCs w:val="24"/>
          <w:lang w:val="en-US"/>
        </w:rPr>
        <w:t>Unibanco</w:t>
      </w:r>
      <w:proofErr w:type="spellEnd"/>
      <w:r w:rsidRPr="00003BDB">
        <w:rPr>
          <w:rFonts w:ascii="Calibri" w:hAnsi="Calibri" w:cs="Calibri"/>
          <w:sz w:val="24"/>
          <w:szCs w:val="24"/>
          <w:lang w:val="en-US"/>
        </w:rPr>
        <w:t xml:space="preserve"> </w:t>
      </w:r>
      <w:r w:rsidRPr="00003BDB">
        <w:rPr>
          <w:rFonts w:ascii="Calibri" w:hAnsi="Calibri" w:cs="Calibri"/>
          <w:i/>
          <w:sz w:val="24"/>
          <w:szCs w:val="24"/>
          <w:lang w:val="en-US"/>
        </w:rPr>
        <w:t>Leasing</w:t>
      </w:r>
      <w:r w:rsidR="00F851F3">
        <w:rPr>
          <w:rFonts w:ascii="Calibri" w:hAnsi="Calibri" w:cs="Calibri"/>
          <w:sz w:val="24"/>
          <w:szCs w:val="24"/>
          <w:lang w:val="en-US"/>
        </w:rPr>
        <w:t xml:space="preserve"> S/A (DIBENS Leasing S.A)</w:t>
      </w:r>
    </w:p>
    <w:p w:rsidR="00C16DDB" w:rsidRPr="00003BDB" w:rsidRDefault="00F851F3" w:rsidP="00C16DDB">
      <w:pPr>
        <w:numPr>
          <w:ilvl w:val="0"/>
          <w:numId w:val="9"/>
        </w:numPr>
        <w:jc w:val="both"/>
        <w:rPr>
          <w:rFonts w:ascii="Calibri" w:hAnsi="Calibri" w:cs="Calibri"/>
          <w:i/>
          <w:sz w:val="24"/>
          <w:szCs w:val="24"/>
          <w:lang w:val="en-US"/>
        </w:rPr>
      </w:pPr>
      <w:r w:rsidRPr="00961A86">
        <w:rPr>
          <w:rFonts w:ascii="Calibri" w:hAnsi="Calibri" w:cs="Calibri"/>
          <w:sz w:val="24"/>
          <w:szCs w:val="24"/>
          <w:lang w:val="en-US"/>
        </w:rPr>
        <w:t>Manufactures Hannover</w:t>
      </w:r>
      <w:r>
        <w:rPr>
          <w:rFonts w:ascii="Calibri" w:hAnsi="Calibri" w:cs="Calibri"/>
          <w:i/>
          <w:sz w:val="24"/>
          <w:szCs w:val="24"/>
          <w:lang w:val="en-US"/>
        </w:rPr>
        <w:t xml:space="preserve"> </w:t>
      </w:r>
      <w:r>
        <w:rPr>
          <w:rFonts w:ascii="Calibri" w:hAnsi="Calibri" w:cs="Calibri"/>
          <w:sz w:val="24"/>
          <w:szCs w:val="24"/>
          <w:lang w:val="en-US"/>
        </w:rPr>
        <w:t>(Banco J.P. Morgan S/A)</w:t>
      </w:r>
    </w:p>
    <w:p w:rsidR="00C16DDB" w:rsidRDefault="00C16DDB" w:rsidP="00C16DDB">
      <w:pPr>
        <w:jc w:val="both"/>
        <w:rPr>
          <w:rFonts w:ascii="Calibri" w:hAnsi="Calibri" w:cs="Calibri"/>
          <w:sz w:val="24"/>
          <w:szCs w:val="24"/>
        </w:rPr>
      </w:pPr>
      <w:r w:rsidRPr="00003BDB">
        <w:rPr>
          <w:rFonts w:ascii="Calibri" w:hAnsi="Calibri" w:cs="Calibri"/>
          <w:sz w:val="24"/>
          <w:szCs w:val="24"/>
        </w:rPr>
        <w:lastRenderedPageBreak/>
        <w:t xml:space="preserve">Em relação ao contrato firmado com a Companhia Inter Atlântico, em 03 de janeiro de 2006, o Tribunal de Justiça do Estado do Rio de Janeiro decidiu pelo bloqueio de 40% </w:t>
      </w:r>
      <w:r w:rsidR="00003BDB">
        <w:rPr>
          <w:rFonts w:ascii="Calibri" w:hAnsi="Calibri" w:cs="Calibri"/>
          <w:sz w:val="24"/>
          <w:szCs w:val="24"/>
        </w:rPr>
        <w:t xml:space="preserve">(quarenta por cento) </w:t>
      </w:r>
      <w:r w:rsidRPr="00003BDB">
        <w:rPr>
          <w:rFonts w:ascii="Calibri" w:hAnsi="Calibri" w:cs="Calibri"/>
          <w:sz w:val="24"/>
          <w:szCs w:val="24"/>
        </w:rPr>
        <w:t xml:space="preserve">da receita bruta da CDRJ, até o valor </w:t>
      </w:r>
      <w:r w:rsidR="00003BDB">
        <w:rPr>
          <w:rFonts w:ascii="Calibri" w:hAnsi="Calibri" w:cs="Calibri"/>
          <w:sz w:val="24"/>
          <w:szCs w:val="24"/>
        </w:rPr>
        <w:t xml:space="preserve">aproximado </w:t>
      </w:r>
      <w:r w:rsidRPr="00003BDB">
        <w:rPr>
          <w:rFonts w:ascii="Calibri" w:hAnsi="Calibri" w:cs="Calibri"/>
          <w:sz w:val="24"/>
          <w:szCs w:val="24"/>
        </w:rPr>
        <w:t>de R$ 135</w:t>
      </w:r>
      <w:r w:rsidR="00003BDB">
        <w:rPr>
          <w:rFonts w:ascii="Calibri" w:hAnsi="Calibri" w:cs="Calibri"/>
          <w:sz w:val="24"/>
          <w:szCs w:val="24"/>
        </w:rPr>
        <w:t>,</w:t>
      </w:r>
      <w:r w:rsidRPr="00003BDB">
        <w:rPr>
          <w:rFonts w:ascii="Calibri" w:hAnsi="Calibri" w:cs="Calibri"/>
          <w:sz w:val="24"/>
          <w:szCs w:val="24"/>
        </w:rPr>
        <w:t>6</w:t>
      </w:r>
      <w:r w:rsidR="00003BDB">
        <w:rPr>
          <w:rFonts w:ascii="Calibri" w:hAnsi="Calibri" w:cs="Calibri"/>
          <w:sz w:val="24"/>
          <w:szCs w:val="24"/>
        </w:rPr>
        <w:t xml:space="preserve"> </w:t>
      </w:r>
      <w:r w:rsidRPr="00003BDB">
        <w:rPr>
          <w:rFonts w:ascii="Calibri" w:hAnsi="Calibri" w:cs="Calibri"/>
          <w:sz w:val="24"/>
          <w:szCs w:val="24"/>
        </w:rPr>
        <w:t>mil</w:t>
      </w:r>
      <w:r w:rsidR="00003BDB">
        <w:rPr>
          <w:rFonts w:ascii="Calibri" w:hAnsi="Calibri" w:cs="Calibri"/>
          <w:sz w:val="24"/>
          <w:szCs w:val="24"/>
        </w:rPr>
        <w:t>hões</w:t>
      </w:r>
      <w:r w:rsidRPr="00003BDB">
        <w:rPr>
          <w:rFonts w:ascii="Calibri" w:hAnsi="Calibri" w:cs="Calibri"/>
          <w:sz w:val="24"/>
          <w:szCs w:val="24"/>
        </w:rPr>
        <w:t xml:space="preserve">, para garantia do processo judicial nº </w:t>
      </w:r>
      <w:r w:rsidR="00CD17B1">
        <w:rPr>
          <w:rFonts w:ascii="Calibri" w:hAnsi="Calibri" w:cs="Calibri"/>
          <w:sz w:val="24"/>
          <w:szCs w:val="24"/>
        </w:rPr>
        <w:t>0190316-36.1998.8.19.0001</w:t>
      </w:r>
      <w:r w:rsidRPr="00003BDB">
        <w:rPr>
          <w:rFonts w:ascii="Calibri" w:hAnsi="Calibri" w:cs="Calibri"/>
          <w:sz w:val="24"/>
          <w:szCs w:val="24"/>
        </w:rPr>
        <w:t xml:space="preserve">, em cumprimento ao mandado de intimação expedido pela 11ª Vara Cível. </w:t>
      </w:r>
      <w:r w:rsidR="00003BDB">
        <w:rPr>
          <w:rFonts w:ascii="Calibri" w:hAnsi="Calibri" w:cs="Calibri"/>
          <w:sz w:val="24"/>
          <w:szCs w:val="24"/>
        </w:rPr>
        <w:t xml:space="preserve">No exercício de 2011, houve liberação de recursos ao Banco J.P.  Morgan, agente financeiro da Credora. A execução foi extinta em 22 de novembro de 2015, </w:t>
      </w:r>
      <w:r w:rsidR="00A05CB8">
        <w:rPr>
          <w:rFonts w:ascii="Calibri" w:hAnsi="Calibri" w:cs="Calibri"/>
          <w:sz w:val="24"/>
          <w:szCs w:val="24"/>
        </w:rPr>
        <w:t>época em que</w:t>
      </w:r>
      <w:r w:rsidR="00003BDB">
        <w:rPr>
          <w:rFonts w:ascii="Calibri" w:hAnsi="Calibri" w:cs="Calibri"/>
          <w:sz w:val="24"/>
          <w:szCs w:val="24"/>
        </w:rPr>
        <w:t xml:space="preserve"> a credora deu quitação da dívida.</w:t>
      </w:r>
    </w:p>
    <w:p w:rsidR="00C16DDB" w:rsidRPr="00003BDB" w:rsidRDefault="00C16DDB" w:rsidP="00C16DDB">
      <w:pPr>
        <w:jc w:val="both"/>
        <w:rPr>
          <w:rFonts w:ascii="Calibri" w:hAnsi="Calibri" w:cs="Calibri"/>
          <w:sz w:val="24"/>
          <w:szCs w:val="24"/>
        </w:rPr>
      </w:pPr>
    </w:p>
    <w:p w:rsidR="00C16DDB" w:rsidRPr="00003BDB" w:rsidRDefault="00C16DDB" w:rsidP="00C16DDB">
      <w:pPr>
        <w:jc w:val="both"/>
        <w:rPr>
          <w:rFonts w:ascii="Calibri" w:hAnsi="Calibri" w:cs="Calibri"/>
          <w:sz w:val="24"/>
          <w:szCs w:val="24"/>
        </w:rPr>
      </w:pPr>
      <w:r w:rsidRPr="00003BDB">
        <w:rPr>
          <w:rFonts w:ascii="Calibri" w:hAnsi="Calibri" w:cs="Calibri"/>
          <w:sz w:val="24"/>
          <w:szCs w:val="24"/>
        </w:rPr>
        <w:t xml:space="preserve">Quanto ao contrato firmado com o </w:t>
      </w:r>
      <w:proofErr w:type="spellStart"/>
      <w:r w:rsidRPr="00003BDB">
        <w:rPr>
          <w:rFonts w:ascii="Calibri" w:hAnsi="Calibri" w:cs="Calibri"/>
          <w:sz w:val="24"/>
          <w:szCs w:val="24"/>
        </w:rPr>
        <w:t>Comind</w:t>
      </w:r>
      <w:proofErr w:type="spellEnd"/>
      <w:r w:rsidRPr="00003BDB">
        <w:rPr>
          <w:rFonts w:ascii="Calibri" w:hAnsi="Calibri" w:cs="Calibri"/>
          <w:sz w:val="24"/>
          <w:szCs w:val="24"/>
        </w:rPr>
        <w:t>, em 21</w:t>
      </w:r>
      <w:r w:rsidR="00003BDB">
        <w:rPr>
          <w:rFonts w:ascii="Calibri" w:hAnsi="Calibri" w:cs="Calibri"/>
          <w:sz w:val="24"/>
          <w:szCs w:val="24"/>
        </w:rPr>
        <w:t xml:space="preserve"> de setembro de </w:t>
      </w:r>
      <w:r w:rsidRPr="00003BDB">
        <w:rPr>
          <w:rFonts w:ascii="Calibri" w:hAnsi="Calibri" w:cs="Calibri"/>
          <w:sz w:val="24"/>
          <w:szCs w:val="24"/>
        </w:rPr>
        <w:t xml:space="preserve">2010 foi expedida </w:t>
      </w:r>
      <w:r w:rsidR="00003BDB">
        <w:rPr>
          <w:rFonts w:ascii="Calibri" w:hAnsi="Calibri" w:cs="Calibri"/>
          <w:sz w:val="24"/>
          <w:szCs w:val="24"/>
        </w:rPr>
        <w:t>i</w:t>
      </w:r>
      <w:r w:rsidRPr="00003BDB">
        <w:rPr>
          <w:rFonts w:ascii="Calibri" w:hAnsi="Calibri" w:cs="Calibri"/>
          <w:sz w:val="24"/>
          <w:szCs w:val="24"/>
        </w:rPr>
        <w:t>ntimação</w:t>
      </w:r>
      <w:r w:rsidR="00516C4E">
        <w:rPr>
          <w:rFonts w:ascii="Calibri" w:hAnsi="Calibri" w:cs="Calibri"/>
          <w:sz w:val="24"/>
          <w:szCs w:val="24"/>
        </w:rPr>
        <w:t xml:space="preserve"> pelo </w:t>
      </w:r>
      <w:r w:rsidRPr="00003BDB">
        <w:rPr>
          <w:rFonts w:ascii="Calibri" w:hAnsi="Calibri" w:cs="Calibri"/>
          <w:sz w:val="24"/>
          <w:szCs w:val="24"/>
        </w:rPr>
        <w:t>TJ</w:t>
      </w:r>
      <w:r w:rsidR="00516C4E">
        <w:rPr>
          <w:rFonts w:ascii="Calibri" w:hAnsi="Calibri" w:cs="Calibri"/>
          <w:sz w:val="24"/>
          <w:szCs w:val="24"/>
        </w:rPr>
        <w:t>/</w:t>
      </w:r>
      <w:r w:rsidRPr="00003BDB">
        <w:rPr>
          <w:rFonts w:ascii="Calibri" w:hAnsi="Calibri" w:cs="Calibri"/>
          <w:sz w:val="24"/>
          <w:szCs w:val="24"/>
        </w:rPr>
        <w:t xml:space="preserve">RJ, determinando o bloqueio de 20% da receita devida pelos arrendatários, para garantia do processo judicial nº 0102697-82.2009.8.19.000, movido pela Companhia Brooklin Empreendimentos S/A, adquirente dos direitos creditórios da </w:t>
      </w:r>
      <w:proofErr w:type="spellStart"/>
      <w:r w:rsidRPr="00003BDB">
        <w:rPr>
          <w:rFonts w:ascii="Calibri" w:hAnsi="Calibri" w:cs="Calibri"/>
          <w:sz w:val="24"/>
          <w:szCs w:val="24"/>
        </w:rPr>
        <w:t>Comind</w:t>
      </w:r>
      <w:proofErr w:type="spellEnd"/>
      <w:r w:rsidRPr="00003BDB">
        <w:rPr>
          <w:rFonts w:ascii="Calibri" w:hAnsi="Calibri" w:cs="Calibri"/>
          <w:sz w:val="24"/>
          <w:szCs w:val="24"/>
        </w:rPr>
        <w:t>.</w:t>
      </w:r>
      <w:r w:rsidR="00F851F3">
        <w:rPr>
          <w:rFonts w:ascii="Calibri" w:hAnsi="Calibri" w:cs="Calibri"/>
          <w:sz w:val="24"/>
          <w:szCs w:val="24"/>
        </w:rPr>
        <w:t xml:space="preserve"> Também houve liberação de recursos bloqueados no exercício de 2011. A execução foi extinta em 30 de janeiro de 2017.</w:t>
      </w:r>
    </w:p>
    <w:p w:rsidR="008A3F40" w:rsidRDefault="008A3F40" w:rsidP="00C16DDB">
      <w:pPr>
        <w:jc w:val="both"/>
        <w:rPr>
          <w:rFonts w:ascii="Calibri" w:hAnsi="Calibri" w:cs="Calibri"/>
          <w:sz w:val="24"/>
          <w:szCs w:val="24"/>
        </w:rPr>
      </w:pPr>
    </w:p>
    <w:p w:rsidR="00F851F3" w:rsidRDefault="00C16DDB" w:rsidP="00C16DDB">
      <w:pPr>
        <w:jc w:val="both"/>
        <w:rPr>
          <w:rFonts w:ascii="Calibri" w:hAnsi="Calibri" w:cs="Calibri"/>
          <w:sz w:val="24"/>
          <w:szCs w:val="24"/>
        </w:rPr>
      </w:pPr>
      <w:r w:rsidRPr="00003BDB">
        <w:rPr>
          <w:rFonts w:ascii="Calibri" w:hAnsi="Calibri" w:cs="Calibri"/>
          <w:sz w:val="24"/>
          <w:szCs w:val="24"/>
        </w:rPr>
        <w:t xml:space="preserve">A CDRJ </w:t>
      </w:r>
      <w:r w:rsidR="00F851F3">
        <w:rPr>
          <w:rFonts w:ascii="Calibri" w:hAnsi="Calibri" w:cs="Calibri"/>
          <w:sz w:val="24"/>
          <w:szCs w:val="24"/>
        </w:rPr>
        <w:t xml:space="preserve">entendeu que os valores bloqueados superaram as ordens de bloqueio e entrou com pedido junto à 11ª Vara Cível do Rio de Janeiro para a liberação do saldo remanescente. Apesar do pedido, os valores foram transferidos para as demais execuções judiciais </w:t>
      </w:r>
      <w:r w:rsidR="00961A86">
        <w:rPr>
          <w:rFonts w:ascii="Calibri" w:hAnsi="Calibri" w:cs="Calibri"/>
          <w:sz w:val="24"/>
          <w:szCs w:val="24"/>
        </w:rPr>
        <w:t xml:space="preserve">movidas pela DIBENS Leasing S.A (sucessora da Unibanco Leasing) e pelo Banco J.P. Morgan, detentora dos direitos da </w:t>
      </w:r>
      <w:proofErr w:type="spellStart"/>
      <w:r w:rsidR="00961A86">
        <w:rPr>
          <w:rFonts w:ascii="Calibri" w:hAnsi="Calibri" w:cs="Calibri"/>
          <w:sz w:val="24"/>
          <w:szCs w:val="24"/>
        </w:rPr>
        <w:t>Manufactures</w:t>
      </w:r>
      <w:proofErr w:type="spellEnd"/>
      <w:r w:rsidR="00961A86">
        <w:rPr>
          <w:rFonts w:ascii="Calibri" w:hAnsi="Calibri" w:cs="Calibri"/>
          <w:sz w:val="24"/>
          <w:szCs w:val="24"/>
        </w:rPr>
        <w:t xml:space="preserve"> Hannover.</w:t>
      </w:r>
    </w:p>
    <w:p w:rsidR="00CD17B1" w:rsidRDefault="00CD17B1" w:rsidP="00C16DDB">
      <w:pPr>
        <w:jc w:val="both"/>
        <w:rPr>
          <w:rFonts w:ascii="Calibri" w:hAnsi="Calibri" w:cs="Calibri"/>
          <w:sz w:val="24"/>
          <w:szCs w:val="24"/>
        </w:rPr>
      </w:pPr>
    </w:p>
    <w:p w:rsidR="00961A86" w:rsidRDefault="00CD17B1" w:rsidP="00C16DDB">
      <w:pPr>
        <w:jc w:val="both"/>
        <w:rPr>
          <w:rFonts w:ascii="Calibri" w:hAnsi="Calibri" w:cs="Calibri"/>
          <w:sz w:val="24"/>
          <w:szCs w:val="24"/>
        </w:rPr>
      </w:pPr>
      <w:r>
        <w:rPr>
          <w:rFonts w:ascii="Calibri" w:hAnsi="Calibri" w:cs="Calibri"/>
          <w:sz w:val="24"/>
          <w:szCs w:val="24"/>
        </w:rPr>
        <w:t>A</w:t>
      </w:r>
      <w:r w:rsidR="00961A86">
        <w:rPr>
          <w:rFonts w:ascii="Calibri" w:hAnsi="Calibri" w:cs="Calibri"/>
          <w:sz w:val="24"/>
          <w:szCs w:val="24"/>
        </w:rPr>
        <w:t xml:space="preserve">s execuções em curso (DIBENS e J. P. Morgan) </w:t>
      </w:r>
      <w:r w:rsidR="00E830B7">
        <w:rPr>
          <w:rFonts w:ascii="Calibri" w:hAnsi="Calibri" w:cs="Calibri"/>
          <w:sz w:val="24"/>
          <w:szCs w:val="24"/>
        </w:rPr>
        <w:t>tramitam na 3º Vara Federal da Seção Judiciária do Rio de Janeiro, com ordem de penhora no faturamento da CDRJ.</w:t>
      </w:r>
    </w:p>
    <w:p w:rsidR="009E33A7" w:rsidRDefault="009E33A7" w:rsidP="00C16DDB">
      <w:pPr>
        <w:jc w:val="both"/>
        <w:rPr>
          <w:rFonts w:ascii="Calibri" w:hAnsi="Calibri" w:cs="Calibri"/>
          <w:sz w:val="24"/>
          <w:szCs w:val="24"/>
        </w:rPr>
      </w:pPr>
    </w:p>
    <w:p w:rsidR="00C16DDB" w:rsidRPr="00312424" w:rsidRDefault="00C16DDB" w:rsidP="00C16DDB">
      <w:pPr>
        <w:jc w:val="both"/>
        <w:rPr>
          <w:rFonts w:ascii="Calibri" w:hAnsi="Calibri" w:cs="Calibri"/>
          <w:sz w:val="24"/>
          <w:szCs w:val="24"/>
        </w:rPr>
      </w:pPr>
      <w:r w:rsidRPr="00003BDB">
        <w:rPr>
          <w:rFonts w:ascii="Calibri" w:hAnsi="Calibri" w:cs="Calibri"/>
          <w:sz w:val="24"/>
          <w:szCs w:val="24"/>
        </w:rPr>
        <w:t>Os valores foram contratados em moeda estrangeira e permanecem registrados na contabilidade, devidamente atualizados:</w:t>
      </w:r>
    </w:p>
    <w:p w:rsidR="00722C51" w:rsidRDefault="00722C51" w:rsidP="00C16DDB">
      <w:pPr>
        <w:jc w:val="both"/>
        <w:rPr>
          <w:rFonts w:ascii="Calibri" w:hAnsi="Calibri" w:cs="Calibri"/>
          <w:b/>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857F3A">
        <w:trPr>
          <w:trHeight w:val="284"/>
          <w:jc w:val="center"/>
        </w:trPr>
        <w:tc>
          <w:tcPr>
            <w:tcW w:w="2860" w:type="dxa"/>
            <w:tcBorders>
              <w:top w:val="nil"/>
              <w:left w:val="nil"/>
              <w:bottom w:val="nil"/>
              <w:right w:val="nil"/>
            </w:tcBorders>
            <w:shd w:val="clear" w:color="auto" w:fill="auto"/>
            <w:noWrap/>
            <w:vAlign w:val="bottom"/>
            <w:hideMark/>
          </w:tcPr>
          <w:p w:rsidR="004B7AFD" w:rsidRPr="004B7AFD" w:rsidRDefault="004B7AFD" w:rsidP="004B7AFD">
            <w:pPr>
              <w:widowControl/>
              <w:jc w:val="center"/>
              <w:rPr>
                <w:rFonts w:ascii="Calibri" w:hAnsi="Calibri" w:cs="Calibri"/>
                <w:snapToGrid/>
                <w:color w:val="000000"/>
                <w:sz w:val="24"/>
                <w:szCs w:val="24"/>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rsidR="004B7AFD" w:rsidRPr="004B7AFD" w:rsidRDefault="004B7AFD" w:rsidP="004B7AFD">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Não Circulante</w:t>
            </w:r>
          </w:p>
        </w:tc>
      </w:tr>
      <w:tr w:rsidR="004B7AFD" w:rsidRPr="004B7AFD" w:rsidTr="00857F3A">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A579BF">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w:t>
            </w:r>
            <w:r w:rsidR="00A579BF">
              <w:rPr>
                <w:rFonts w:ascii="Calibri" w:hAnsi="Calibri" w:cs="Calibri"/>
                <w:b/>
                <w:bCs/>
                <w:snapToGrid/>
                <w:color w:val="000000"/>
                <w:sz w:val="24"/>
                <w:szCs w:val="24"/>
              </w:rPr>
              <w:t>03</w:t>
            </w:r>
            <w:r w:rsidRPr="004B7AFD">
              <w:rPr>
                <w:rFonts w:ascii="Calibri" w:hAnsi="Calibri" w:cs="Calibri"/>
                <w:b/>
                <w:bCs/>
                <w:snapToGrid/>
                <w:color w:val="000000"/>
                <w:sz w:val="24"/>
                <w:szCs w:val="24"/>
              </w:rPr>
              <w:t>/201</w:t>
            </w:r>
            <w:r w:rsidR="00A579BF">
              <w:rPr>
                <w:rFonts w:ascii="Calibri" w:hAnsi="Calibri" w:cs="Calibri"/>
                <w:b/>
                <w:bCs/>
                <w:snapToGrid/>
                <w:color w:val="000000"/>
                <w:sz w:val="24"/>
                <w:szCs w:val="24"/>
              </w:rPr>
              <w:t>9</w:t>
            </w:r>
          </w:p>
        </w:tc>
        <w:tc>
          <w:tcPr>
            <w:tcW w:w="1760" w:type="dxa"/>
            <w:tcBorders>
              <w:top w:val="nil"/>
              <w:left w:val="nil"/>
              <w:bottom w:val="single" w:sz="4" w:space="0" w:color="auto"/>
              <w:right w:val="nil"/>
            </w:tcBorders>
            <w:shd w:val="clear" w:color="auto" w:fill="auto"/>
            <w:noWrap/>
            <w:vAlign w:val="bottom"/>
            <w:hideMark/>
          </w:tcPr>
          <w:p w:rsidR="004B7AFD" w:rsidRPr="004B7AFD" w:rsidRDefault="004B7AFD" w:rsidP="00E830B7">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E830B7">
              <w:rPr>
                <w:rFonts w:ascii="Calibri" w:hAnsi="Calibri" w:cs="Calibri"/>
                <w:b/>
                <w:bCs/>
                <w:snapToGrid/>
                <w:color w:val="000000"/>
                <w:sz w:val="24"/>
                <w:szCs w:val="24"/>
              </w:rPr>
              <w:t>8</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Unibanco</w:t>
            </w:r>
          </w:p>
        </w:tc>
        <w:tc>
          <w:tcPr>
            <w:tcW w:w="1760" w:type="dxa"/>
            <w:tcBorders>
              <w:top w:val="nil"/>
              <w:left w:val="nil"/>
              <w:bottom w:val="single" w:sz="4" w:space="0" w:color="auto"/>
              <w:right w:val="nil"/>
            </w:tcBorders>
            <w:shd w:val="clear" w:color="auto" w:fill="auto"/>
            <w:noWrap/>
            <w:vAlign w:val="bottom"/>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143.831</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141.661</w:t>
            </w:r>
          </w:p>
        </w:tc>
      </w:tr>
      <w:tr w:rsidR="00A579BF"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rPr>
                <w:rFonts w:ascii="Calibri" w:hAnsi="Calibri" w:cs="Calibri"/>
                <w:snapToGrid/>
                <w:color w:val="000000"/>
                <w:sz w:val="24"/>
                <w:szCs w:val="24"/>
              </w:rPr>
            </w:pPr>
            <w:r w:rsidRPr="004B7AFD">
              <w:rPr>
                <w:rFonts w:ascii="Calibri" w:hAnsi="Calibri" w:cs="Calibri"/>
                <w:snapToGrid/>
                <w:color w:val="000000"/>
                <w:sz w:val="24"/>
                <w:szCs w:val="24"/>
              </w:rPr>
              <w:t>Hannover</w:t>
            </w:r>
          </w:p>
        </w:tc>
        <w:tc>
          <w:tcPr>
            <w:tcW w:w="1760" w:type="dxa"/>
            <w:tcBorders>
              <w:top w:val="nil"/>
              <w:left w:val="nil"/>
              <w:bottom w:val="single" w:sz="4" w:space="0" w:color="auto"/>
              <w:right w:val="nil"/>
            </w:tcBorders>
            <w:shd w:val="clear" w:color="auto" w:fill="auto"/>
            <w:noWrap/>
            <w:vAlign w:val="bottom"/>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616.364</w:t>
            </w:r>
          </w:p>
        </w:tc>
        <w:tc>
          <w:tcPr>
            <w:tcW w:w="1760" w:type="dxa"/>
            <w:tcBorders>
              <w:top w:val="nil"/>
              <w:left w:val="nil"/>
              <w:bottom w:val="single" w:sz="4" w:space="0" w:color="auto"/>
              <w:right w:val="nil"/>
            </w:tcBorders>
            <w:shd w:val="clear" w:color="auto" w:fill="auto"/>
            <w:noWrap/>
            <w:vAlign w:val="bottom"/>
            <w:hideMark/>
          </w:tcPr>
          <w:p w:rsidR="00A579BF" w:rsidRPr="004B7AFD" w:rsidRDefault="00A579BF" w:rsidP="00A579BF">
            <w:pPr>
              <w:widowControl/>
              <w:jc w:val="right"/>
              <w:rPr>
                <w:rFonts w:ascii="Calibri" w:hAnsi="Calibri" w:cs="Calibri"/>
                <w:snapToGrid/>
                <w:color w:val="000000"/>
                <w:sz w:val="24"/>
                <w:szCs w:val="24"/>
              </w:rPr>
            </w:pPr>
            <w:r>
              <w:rPr>
                <w:rFonts w:ascii="Calibri" w:hAnsi="Calibri" w:cs="Calibri"/>
                <w:snapToGrid/>
                <w:color w:val="000000"/>
                <w:sz w:val="24"/>
                <w:szCs w:val="24"/>
              </w:rPr>
              <w:t>607.099</w:t>
            </w:r>
          </w:p>
        </w:tc>
      </w:tr>
      <w:tr w:rsidR="00E830B7" w:rsidRPr="004B7AFD" w:rsidTr="00E830B7">
        <w:trPr>
          <w:trHeight w:val="284"/>
          <w:jc w:val="center"/>
        </w:trPr>
        <w:tc>
          <w:tcPr>
            <w:tcW w:w="28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E830B7" w:rsidRPr="004B7AFD" w:rsidRDefault="00A579BF" w:rsidP="00E830B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760.195</w:t>
            </w:r>
          </w:p>
        </w:tc>
        <w:tc>
          <w:tcPr>
            <w:tcW w:w="1760" w:type="dxa"/>
            <w:tcBorders>
              <w:top w:val="nil"/>
              <w:left w:val="nil"/>
              <w:bottom w:val="single" w:sz="4" w:space="0" w:color="auto"/>
              <w:right w:val="nil"/>
            </w:tcBorders>
            <w:shd w:val="clear" w:color="auto" w:fill="auto"/>
            <w:noWrap/>
            <w:vAlign w:val="bottom"/>
            <w:hideMark/>
          </w:tcPr>
          <w:p w:rsidR="00E830B7" w:rsidRPr="004B7AFD" w:rsidRDefault="00E830B7" w:rsidP="00E830B7">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748.760</w:t>
            </w:r>
          </w:p>
        </w:tc>
      </w:tr>
    </w:tbl>
    <w:p w:rsidR="00547369" w:rsidRDefault="00547369" w:rsidP="00C16DDB">
      <w:pPr>
        <w:jc w:val="both"/>
        <w:rPr>
          <w:rFonts w:ascii="Calibri" w:hAnsi="Calibri" w:cs="Calibri"/>
          <w:b/>
          <w:sz w:val="24"/>
          <w:szCs w:val="24"/>
        </w:rPr>
      </w:pPr>
    </w:p>
    <w:p w:rsidR="00A579BF" w:rsidRDefault="00A579BF" w:rsidP="00C16DDB">
      <w:pPr>
        <w:jc w:val="both"/>
        <w:rPr>
          <w:rFonts w:ascii="Calibri" w:hAnsi="Calibri" w:cs="Calibri"/>
          <w:b/>
          <w:sz w:val="24"/>
          <w:szCs w:val="24"/>
        </w:rPr>
      </w:pPr>
    </w:p>
    <w:p w:rsidR="00C16DDB" w:rsidRPr="00312424" w:rsidRDefault="00D26FE5" w:rsidP="00C16DDB">
      <w:pPr>
        <w:jc w:val="both"/>
        <w:rPr>
          <w:rFonts w:ascii="Calibri" w:hAnsi="Calibri" w:cs="Calibri"/>
          <w:b/>
          <w:sz w:val="24"/>
          <w:szCs w:val="24"/>
        </w:rPr>
      </w:pPr>
      <w:r>
        <w:rPr>
          <w:rFonts w:ascii="Calibri" w:hAnsi="Calibri" w:cs="Calibri"/>
          <w:b/>
          <w:sz w:val="24"/>
          <w:szCs w:val="24"/>
        </w:rPr>
        <w:t>17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4B7AFD" w:rsidRDefault="004B7AFD" w:rsidP="00C16DDB">
      <w:pPr>
        <w:jc w:val="both"/>
        <w:rPr>
          <w:rFonts w:ascii="Calibri" w:hAnsi="Calibri" w:cs="Calibri"/>
          <w:sz w:val="24"/>
          <w:szCs w:val="24"/>
        </w:rPr>
      </w:pP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B7AFD" w:rsidRPr="004B7AFD" w:rsidTr="00137FAC">
        <w:trPr>
          <w:trHeight w:val="284"/>
          <w:jc w:val="center"/>
        </w:trPr>
        <w:tc>
          <w:tcPr>
            <w:tcW w:w="2860" w:type="dxa"/>
            <w:tcBorders>
              <w:top w:val="nil"/>
              <w:left w:val="nil"/>
              <w:bottom w:val="single" w:sz="4" w:space="0" w:color="auto"/>
              <w:right w:val="nil"/>
            </w:tcBorders>
            <w:shd w:val="clear" w:color="auto" w:fill="auto"/>
            <w:noWrap/>
            <w:vAlign w:val="bottom"/>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C564B1">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w:t>
            </w:r>
            <w:r w:rsidR="00C564B1">
              <w:rPr>
                <w:rFonts w:ascii="Calibri" w:hAnsi="Calibri" w:cs="Calibri"/>
                <w:b/>
                <w:bCs/>
                <w:snapToGrid/>
                <w:color w:val="000000"/>
                <w:sz w:val="24"/>
                <w:szCs w:val="24"/>
              </w:rPr>
              <w:t>03</w:t>
            </w:r>
            <w:r w:rsidRPr="004B7AFD">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4B7AFD" w:rsidRPr="004B7AFD" w:rsidRDefault="004B7AFD" w:rsidP="00C564B1">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250.586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251.013</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406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406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1.216</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snapToGrid/>
                <w:color w:val="000000"/>
                <w:sz w:val="24"/>
                <w:szCs w:val="24"/>
              </w:rPr>
            </w:pPr>
            <w:r w:rsidRPr="004B7AFD">
              <w:rPr>
                <w:rFonts w:ascii="Calibri" w:hAnsi="Calibri" w:cs="Calibri"/>
                <w:snapToGrid/>
                <w:color w:val="000000"/>
                <w:sz w:val="24"/>
                <w:szCs w:val="24"/>
              </w:rPr>
              <w:t>1.216</w:t>
            </w:r>
          </w:p>
        </w:tc>
      </w:tr>
      <w:tr w:rsidR="00C564B1" w:rsidRPr="004B7AFD" w:rsidTr="00C564B1">
        <w:trPr>
          <w:trHeight w:val="284"/>
          <w:jc w:val="center"/>
        </w:trPr>
        <w:tc>
          <w:tcPr>
            <w:tcW w:w="28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4B7AFD" w:rsidRDefault="00C564B1"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252.208</w:t>
            </w:r>
          </w:p>
        </w:tc>
        <w:tc>
          <w:tcPr>
            <w:tcW w:w="1760" w:type="dxa"/>
            <w:tcBorders>
              <w:top w:val="nil"/>
              <w:left w:val="nil"/>
              <w:bottom w:val="single" w:sz="4" w:space="0" w:color="auto"/>
              <w:right w:val="nil"/>
            </w:tcBorders>
            <w:shd w:val="clear" w:color="auto" w:fill="auto"/>
            <w:noWrap/>
            <w:vAlign w:val="bottom"/>
            <w:hideMark/>
          </w:tcPr>
          <w:p w:rsidR="00C564B1" w:rsidRPr="004B7AFD" w:rsidRDefault="00C564B1" w:rsidP="00C564B1">
            <w:pPr>
              <w:widowControl/>
              <w:jc w:val="right"/>
              <w:rPr>
                <w:rFonts w:ascii="Calibri" w:hAnsi="Calibri" w:cs="Calibri"/>
                <w:b/>
                <w:bCs/>
                <w:snapToGrid/>
                <w:color w:val="000000"/>
                <w:sz w:val="24"/>
                <w:szCs w:val="24"/>
              </w:rPr>
            </w:pPr>
            <w:r w:rsidRPr="004B7AFD">
              <w:rPr>
                <w:rFonts w:ascii="Calibri" w:hAnsi="Calibri" w:cs="Calibri"/>
                <w:b/>
                <w:bCs/>
                <w:snapToGrid/>
                <w:color w:val="000000"/>
                <w:sz w:val="24"/>
                <w:szCs w:val="24"/>
              </w:rPr>
              <w:t>252.635</w:t>
            </w:r>
          </w:p>
        </w:tc>
      </w:tr>
    </w:tbl>
    <w:p w:rsidR="00D26FE5" w:rsidRPr="00312424" w:rsidRDefault="00D26FE5" w:rsidP="00C16DDB">
      <w:pPr>
        <w:jc w:val="both"/>
        <w:rPr>
          <w:rFonts w:ascii="Calibri" w:hAnsi="Calibri" w:cs="Calibri"/>
          <w:sz w:val="24"/>
          <w:szCs w:val="24"/>
        </w:rPr>
      </w:pPr>
    </w:p>
    <w:p w:rsidR="004A7359" w:rsidRDefault="004A7359" w:rsidP="00C16DDB">
      <w:pPr>
        <w:jc w:val="both"/>
        <w:rPr>
          <w:rFonts w:ascii="Calibri" w:hAnsi="Calibri" w:cs="Calibri"/>
          <w:sz w:val="24"/>
          <w:szCs w:val="24"/>
        </w:rPr>
      </w:pPr>
    </w:p>
    <w:p w:rsidR="00197D3F" w:rsidRDefault="00C16DDB" w:rsidP="00C16DDB">
      <w:pPr>
        <w:jc w:val="both"/>
        <w:rPr>
          <w:rFonts w:ascii="Calibri" w:hAnsi="Calibri" w:cs="Calibri"/>
          <w:sz w:val="24"/>
          <w:szCs w:val="24"/>
        </w:rPr>
      </w:pPr>
      <w:r w:rsidRPr="00312424">
        <w:rPr>
          <w:rFonts w:ascii="Calibri" w:hAnsi="Calibri" w:cs="Calibri"/>
          <w:sz w:val="24"/>
          <w:szCs w:val="24"/>
        </w:rPr>
        <w:lastRenderedPageBreak/>
        <w:t xml:space="preserve">As Provisões são reconhecidas tendo como base as opiniões dos advogados e estimativas sobre o valor a ser desembolsado em cada ação, na hipótese de condenação por sentença definitiva. Os critérios utilizados pela Superintendência Jurídica para apuração dos montantes e classificação das demandas estão relacionados ao andamento dos processos. Assim, nos casos de execução, o valor estimado considerado como perda provável será o valor da condenação e, nos casos em que os processos </w:t>
      </w:r>
      <w:r w:rsidR="001B428A" w:rsidRPr="00312424">
        <w:rPr>
          <w:rFonts w:ascii="Calibri" w:hAnsi="Calibri" w:cs="Calibri"/>
          <w:sz w:val="24"/>
          <w:szCs w:val="24"/>
        </w:rPr>
        <w:t>se encontram</w:t>
      </w:r>
      <w:r w:rsidRPr="00312424">
        <w:rPr>
          <w:rFonts w:ascii="Calibri" w:hAnsi="Calibri" w:cs="Calibri"/>
          <w:sz w:val="24"/>
          <w:szCs w:val="24"/>
        </w:rPr>
        <w:t xml:space="preserve"> em fase de cognição, será o valor da causa. As ações demandam apuração em sede de procedimento judicial específico de liquidação, o que é sempre realizado no momento processual adequado, individualmente, por perícia/assistência técnica, resguardado o interesse da Companhia.</w:t>
      </w:r>
      <w:r w:rsidR="00DA0687">
        <w:rPr>
          <w:rFonts w:ascii="Calibri" w:hAnsi="Calibri" w:cs="Calibri"/>
          <w:sz w:val="24"/>
          <w:szCs w:val="24"/>
        </w:rPr>
        <w:t xml:space="preserve"> </w:t>
      </w:r>
      <w:r w:rsidR="00197D3F">
        <w:rPr>
          <w:rFonts w:ascii="Calibri" w:hAnsi="Calibri" w:cs="Calibri"/>
          <w:sz w:val="24"/>
          <w:szCs w:val="24"/>
        </w:rPr>
        <w:t xml:space="preserve">A Sociedade de Advogados Tostes &amp; de Paula Advocacia Empresarial atua nos processos trabalhistas. </w:t>
      </w:r>
      <w:r w:rsidR="008E68B8">
        <w:rPr>
          <w:rFonts w:ascii="Calibri" w:hAnsi="Calibri" w:cs="Calibri"/>
          <w:sz w:val="24"/>
          <w:szCs w:val="24"/>
        </w:rPr>
        <w:t>As</w:t>
      </w:r>
      <w:r w:rsidR="00197D3F">
        <w:rPr>
          <w:rFonts w:ascii="Calibri" w:hAnsi="Calibri" w:cs="Calibri"/>
          <w:sz w:val="24"/>
          <w:szCs w:val="24"/>
        </w:rPr>
        <w:t xml:space="preserve"> ações Cíveis e Tributárias são acompanhadas pelos advogados da Companhia.</w:t>
      </w:r>
    </w:p>
    <w:p w:rsidR="001B428A" w:rsidRDefault="001B428A" w:rsidP="00C16DDB">
      <w:pPr>
        <w:jc w:val="both"/>
        <w:rPr>
          <w:rFonts w:ascii="Calibri" w:hAnsi="Calibri" w:cs="Calibri"/>
          <w:sz w:val="24"/>
          <w:szCs w:val="24"/>
        </w:rPr>
      </w:pPr>
    </w:p>
    <w:p w:rsidR="004B7AFD" w:rsidRPr="00312424" w:rsidRDefault="004B7AFD" w:rsidP="00666206">
      <w:pPr>
        <w:pStyle w:val="Recuodecorpodetexto"/>
        <w:widowControl/>
        <w:numPr>
          <w:ilvl w:val="1"/>
          <w:numId w:val="14"/>
        </w:numPr>
        <w:autoSpaceDE w:val="0"/>
        <w:autoSpaceDN w:val="0"/>
        <w:ind w:left="851" w:hanging="425"/>
        <w:rPr>
          <w:rFonts w:ascii="Calibri" w:hAnsi="Calibri" w:cs="Calibri"/>
          <w:b/>
          <w:szCs w:val="24"/>
        </w:rPr>
      </w:pPr>
      <w:r>
        <w:rPr>
          <w:rFonts w:ascii="Calibri" w:hAnsi="Calibri" w:cs="Calibri"/>
          <w:b/>
          <w:szCs w:val="24"/>
          <w:lang w:val="pt-BR"/>
        </w:rPr>
        <w:t>– Perdas Possíveis Não Provisionadas no Balanço</w:t>
      </w:r>
    </w:p>
    <w:p w:rsidR="00666206" w:rsidRPr="00D15E30" w:rsidRDefault="00666206" w:rsidP="00666206">
      <w:pPr>
        <w:pStyle w:val="Ttulo3"/>
        <w:ind w:left="851"/>
        <w:jc w:val="both"/>
        <w:rPr>
          <w:rFonts w:ascii="Calibri" w:hAnsi="Calibri" w:cs="Calibri"/>
          <w:sz w:val="24"/>
          <w:szCs w:val="24"/>
        </w:rPr>
      </w:pP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w:t>
      </w:r>
      <w:r w:rsidR="003D77DC">
        <w:rPr>
          <w:rFonts w:ascii="Calibri" w:hAnsi="Calibri" w:cs="Calibri"/>
          <w:sz w:val="24"/>
          <w:szCs w:val="24"/>
        </w:rPr>
        <w:t>na</w:t>
      </w:r>
      <w:r>
        <w:rPr>
          <w:rFonts w:ascii="Calibri" w:hAnsi="Calibri" w:cs="Calibri"/>
          <w:sz w:val="24"/>
          <w:szCs w:val="24"/>
        </w:rPr>
        <w:t>s quais, conforme opinião dos advogados, as probabilidades de perdas são remotas ou até possíveis. Contudo, há contingências que, devido ao valor das ações, podem propiciar perdas relevantes à CDRJ em R$ 831.336 mil, sendo:</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Trabalhistas</w:t>
      </w:r>
      <w:r>
        <w:rPr>
          <w:rFonts w:ascii="Calibri" w:hAnsi="Calibri" w:cs="Calibri"/>
          <w:sz w:val="24"/>
          <w:szCs w:val="24"/>
        </w:rPr>
        <w:tab/>
        <w:t>- R$   64.240</w:t>
      </w:r>
      <w:r w:rsidR="008E68B8">
        <w:rPr>
          <w:rFonts w:ascii="Calibri" w:hAnsi="Calibri" w:cs="Calibri"/>
          <w:sz w:val="24"/>
          <w:szCs w:val="24"/>
        </w:rPr>
        <w:tab/>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R$ 164.144</w:t>
      </w:r>
    </w:p>
    <w:p w:rsidR="00666206" w:rsidRDefault="00666206" w:rsidP="00666206">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Pr>
          <w:rFonts w:ascii="Calibri" w:hAnsi="Calibri" w:cs="Calibri"/>
          <w:sz w:val="24"/>
          <w:szCs w:val="24"/>
        </w:rPr>
        <w:tab/>
        <w:t>- R$ 602.952</w:t>
      </w:r>
    </w:p>
    <w:p w:rsidR="00C564B1" w:rsidRDefault="00C564B1" w:rsidP="004B7AFD">
      <w:pPr>
        <w:jc w:val="both"/>
        <w:rPr>
          <w:rFonts w:ascii="Calibri" w:hAnsi="Calibri" w:cs="Calibri"/>
          <w:sz w:val="24"/>
          <w:szCs w:val="24"/>
        </w:rPr>
      </w:pPr>
    </w:p>
    <w:p w:rsidR="003D77DC" w:rsidRPr="00312424" w:rsidRDefault="003D77DC" w:rsidP="004B7AFD">
      <w:pPr>
        <w:jc w:val="both"/>
        <w:rPr>
          <w:rFonts w:ascii="Calibri" w:hAnsi="Calibri" w:cs="Calibri"/>
          <w:sz w:val="24"/>
          <w:szCs w:val="24"/>
        </w:rPr>
      </w:pPr>
    </w:p>
    <w:p w:rsidR="00C16DDB" w:rsidRPr="00312424" w:rsidRDefault="001B428A" w:rsidP="00C16DDB">
      <w:pPr>
        <w:rPr>
          <w:rFonts w:ascii="Calibri" w:hAnsi="Calibri" w:cs="Calibri"/>
          <w:b/>
          <w:sz w:val="24"/>
          <w:szCs w:val="24"/>
          <w:u w:val="single"/>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C16DDB" w:rsidRPr="00312424" w:rsidRDefault="00462F47" w:rsidP="00C16DDB">
      <w:pPr>
        <w:widowControl/>
        <w:jc w:val="both"/>
        <w:rPr>
          <w:rFonts w:ascii="Calibri" w:hAnsi="Calibri" w:cs="Calibri"/>
          <w:sz w:val="24"/>
          <w:szCs w:val="24"/>
        </w:rPr>
      </w:pPr>
      <w:r>
        <w:rPr>
          <w:rFonts w:ascii="Calibri" w:hAnsi="Calibri" w:cs="Calibri"/>
          <w:sz w:val="24"/>
          <w:szCs w:val="24"/>
        </w:rPr>
        <w:t>O grupo possui a</w:t>
      </w:r>
      <w:r w:rsidR="00A05CB8">
        <w:rPr>
          <w:rFonts w:ascii="Calibri" w:hAnsi="Calibri" w:cs="Calibri"/>
          <w:sz w:val="24"/>
          <w:szCs w:val="24"/>
        </w:rPr>
        <w:t xml:space="preserve"> seguinte composição:</w:t>
      </w:r>
    </w:p>
    <w:p w:rsidR="00C16DDB" w:rsidRDefault="00C16DDB"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197D3F" w:rsidRPr="00197D3F" w:rsidTr="00137FAC">
        <w:trPr>
          <w:trHeight w:val="284"/>
          <w:jc w:val="center"/>
        </w:trPr>
        <w:tc>
          <w:tcPr>
            <w:tcW w:w="3980" w:type="dxa"/>
            <w:tcBorders>
              <w:top w:val="nil"/>
              <w:left w:val="nil"/>
              <w:bottom w:val="single" w:sz="4" w:space="0" w:color="auto"/>
              <w:right w:val="nil"/>
            </w:tcBorders>
            <w:shd w:val="clear" w:color="auto" w:fill="auto"/>
            <w:noWrap/>
            <w:vAlign w:val="bottom"/>
            <w:hideMark/>
          </w:tcPr>
          <w:p w:rsidR="00197D3F" w:rsidRPr="00197D3F" w:rsidRDefault="00197D3F" w:rsidP="00197D3F">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C564B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w:t>
            </w:r>
            <w:r w:rsidR="00C564B1">
              <w:rPr>
                <w:rFonts w:ascii="Calibri" w:hAnsi="Calibri" w:cs="Calibri"/>
                <w:b/>
                <w:bCs/>
                <w:snapToGrid/>
                <w:color w:val="000000"/>
                <w:sz w:val="24"/>
                <w:szCs w:val="24"/>
              </w:rPr>
              <w:t>03</w:t>
            </w:r>
            <w:r w:rsidRPr="00197D3F">
              <w:rPr>
                <w:rFonts w:ascii="Calibri" w:hAnsi="Calibri" w:cs="Calibri"/>
                <w:b/>
                <w:bCs/>
                <w:snapToGrid/>
                <w:color w:val="000000"/>
                <w:sz w:val="24"/>
                <w:szCs w:val="24"/>
              </w:rPr>
              <w:t>/201</w:t>
            </w:r>
            <w:r w:rsidR="00C564B1">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197D3F" w:rsidRPr="00197D3F" w:rsidRDefault="00197D3F" w:rsidP="00C564B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sidR="004A7359">
              <w:rPr>
                <w:rFonts w:ascii="Calibri" w:hAnsi="Calibri" w:cs="Calibri"/>
                <w:snapToGrid/>
                <w:color w:val="000000"/>
                <w:sz w:val="24"/>
                <w:szCs w:val="24"/>
              </w:rPr>
              <w:t xml:space="preserve"> (2013 a 2016)</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186.635</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183.85</w:t>
            </w:r>
            <w:r>
              <w:rPr>
                <w:rFonts w:ascii="Calibri" w:hAnsi="Calibri" w:cs="Calibri"/>
                <w:snapToGrid/>
                <w:color w:val="000000"/>
                <w:sz w:val="24"/>
                <w:szCs w:val="24"/>
              </w:rPr>
              <w:t>3</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9.724</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9.579</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1.149</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1.132</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1.148</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1.131</w:t>
            </w:r>
          </w:p>
        </w:tc>
      </w:tr>
      <w:tr w:rsidR="00C564B1" w:rsidRPr="00197D3F" w:rsidTr="00C564B1">
        <w:trPr>
          <w:trHeight w:val="284"/>
          <w:jc w:val="center"/>
        </w:trPr>
        <w:tc>
          <w:tcPr>
            <w:tcW w:w="398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564B1" w:rsidRPr="00197D3F" w:rsidRDefault="00D11E30"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198.658</w:t>
            </w:r>
          </w:p>
        </w:tc>
        <w:tc>
          <w:tcPr>
            <w:tcW w:w="1760" w:type="dxa"/>
            <w:tcBorders>
              <w:top w:val="nil"/>
              <w:left w:val="nil"/>
              <w:bottom w:val="single" w:sz="4" w:space="0" w:color="auto"/>
              <w:right w:val="nil"/>
            </w:tcBorders>
            <w:shd w:val="clear" w:color="auto" w:fill="auto"/>
            <w:noWrap/>
            <w:vAlign w:val="bottom"/>
            <w:hideMark/>
          </w:tcPr>
          <w:p w:rsidR="00C564B1" w:rsidRPr="00197D3F" w:rsidRDefault="00C564B1" w:rsidP="00C564B1">
            <w:pPr>
              <w:widowControl/>
              <w:jc w:val="right"/>
              <w:rPr>
                <w:rFonts w:ascii="Calibri" w:hAnsi="Calibri" w:cs="Calibri"/>
                <w:b/>
                <w:bCs/>
                <w:snapToGrid/>
                <w:color w:val="000000"/>
                <w:sz w:val="24"/>
                <w:szCs w:val="24"/>
              </w:rPr>
            </w:pPr>
            <w:r w:rsidRPr="00197D3F">
              <w:rPr>
                <w:rFonts w:ascii="Calibri" w:hAnsi="Calibri" w:cs="Calibri"/>
                <w:b/>
                <w:bCs/>
                <w:snapToGrid/>
                <w:color w:val="000000"/>
                <w:sz w:val="24"/>
                <w:szCs w:val="24"/>
              </w:rPr>
              <w:t>195.697</w:t>
            </w:r>
          </w:p>
        </w:tc>
      </w:tr>
    </w:tbl>
    <w:p w:rsidR="003E7F3A" w:rsidRDefault="003E7F3A" w:rsidP="00C16DDB">
      <w:pPr>
        <w:jc w:val="both"/>
        <w:rPr>
          <w:rFonts w:ascii="Calibri" w:hAnsi="Calibri" w:cs="Calibri"/>
          <w:b/>
          <w:sz w:val="24"/>
          <w:szCs w:val="24"/>
        </w:rPr>
      </w:pPr>
    </w:p>
    <w:p w:rsidR="00D11E30" w:rsidRDefault="00D11E30" w:rsidP="00C16DDB">
      <w:pPr>
        <w:jc w:val="both"/>
        <w:rPr>
          <w:rFonts w:ascii="Calibri" w:hAnsi="Calibri" w:cs="Calibri"/>
          <w:b/>
          <w:sz w:val="24"/>
          <w:szCs w:val="24"/>
        </w:rPr>
      </w:pPr>
    </w:p>
    <w:p w:rsidR="00C16DDB" w:rsidRPr="00312424" w:rsidRDefault="00722C51" w:rsidP="00C16DDB">
      <w:pPr>
        <w:jc w:val="both"/>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C16DDB" w:rsidRPr="00312424" w:rsidRDefault="00C16DDB" w:rsidP="00C16DDB">
      <w:pPr>
        <w:jc w:val="both"/>
        <w:rPr>
          <w:rFonts w:ascii="Calibri" w:hAnsi="Calibri" w:cs="Calibri"/>
          <w:sz w:val="24"/>
          <w:szCs w:val="24"/>
        </w:rPr>
      </w:pPr>
      <w:r w:rsidRPr="00312424">
        <w:rPr>
          <w:rFonts w:ascii="Calibri" w:hAnsi="Calibri" w:cs="Calibri"/>
          <w:sz w:val="24"/>
          <w:szCs w:val="24"/>
        </w:rPr>
        <w:lastRenderedPageBreak/>
        <w:t>O último aumento de Capital Social da Companhia foi homologado pela Assembleia Geral Extraordinária da Companhia Docas do Rio de Janeiro, no dia 11 de dezembro de 2015.</w:t>
      </w:r>
    </w:p>
    <w:p w:rsidR="00A05CB8" w:rsidRDefault="00A05CB8" w:rsidP="00C16DDB">
      <w:pPr>
        <w:jc w:val="both"/>
        <w:rPr>
          <w:rFonts w:ascii="Calibri" w:hAnsi="Calibri" w:cs="Calibri"/>
          <w:b/>
          <w:sz w:val="24"/>
          <w:szCs w:val="24"/>
        </w:rPr>
      </w:pPr>
    </w:p>
    <w:p w:rsidR="002060DA" w:rsidRDefault="00857F3A" w:rsidP="00C16DDB">
      <w:pPr>
        <w:jc w:val="both"/>
        <w:rPr>
          <w:rFonts w:ascii="Calibri" w:hAnsi="Calibri" w:cs="Calibri"/>
          <w:sz w:val="24"/>
          <w:szCs w:val="24"/>
        </w:rPr>
      </w:pPr>
      <w:r w:rsidRPr="00857F3A">
        <w:rPr>
          <w:rFonts w:ascii="Calibri" w:hAnsi="Calibri" w:cs="Calibri"/>
          <w:sz w:val="24"/>
          <w:szCs w:val="24"/>
        </w:rPr>
        <w:t xml:space="preserve">Respaldada na Lei nº 13.303, de 30 de junho de 2016, a CDRJ resgatou as ações de propriedade de acionistas privados, </w:t>
      </w:r>
      <w:r w:rsidR="005D7DDB">
        <w:rPr>
          <w:rFonts w:ascii="Calibri" w:hAnsi="Calibri" w:cs="Calibri"/>
          <w:sz w:val="24"/>
          <w:szCs w:val="24"/>
        </w:rPr>
        <w:t xml:space="preserve">no exercício de 2018, </w:t>
      </w:r>
      <w:r w:rsidRPr="00857F3A">
        <w:rPr>
          <w:rFonts w:ascii="Calibri" w:hAnsi="Calibri" w:cs="Calibri"/>
          <w:sz w:val="24"/>
          <w:szCs w:val="24"/>
        </w:rPr>
        <w:t>o que resultou na alteração de sua forma jurídica para Empresa Pública.</w:t>
      </w:r>
    </w:p>
    <w:p w:rsidR="004A7359" w:rsidRDefault="004A7359" w:rsidP="00C16DDB">
      <w:pPr>
        <w:jc w:val="both"/>
        <w:rPr>
          <w:rFonts w:ascii="Calibri" w:hAnsi="Calibri" w:cs="Calibri"/>
          <w:sz w:val="24"/>
          <w:szCs w:val="24"/>
        </w:rPr>
      </w:pPr>
    </w:p>
    <w:p w:rsidR="00516C4E" w:rsidRPr="002060DA" w:rsidRDefault="00516C4E" w:rsidP="00C16DDB">
      <w:pPr>
        <w:jc w:val="both"/>
        <w:rPr>
          <w:rFonts w:ascii="Calibri" w:hAnsi="Calibri" w:cs="Calibri"/>
          <w:sz w:val="24"/>
          <w:szCs w:val="24"/>
        </w:rPr>
      </w:pPr>
    </w:p>
    <w:p w:rsidR="00C16DDB" w:rsidRPr="00312424" w:rsidRDefault="00C16DDB" w:rsidP="00C16DDB">
      <w:pPr>
        <w:jc w:val="both"/>
        <w:rPr>
          <w:rFonts w:ascii="Calibri" w:hAnsi="Calibri" w:cs="Calibri"/>
          <w:b/>
          <w:sz w:val="24"/>
          <w:szCs w:val="24"/>
          <w:u w:val="single"/>
        </w:rPr>
      </w:pPr>
      <w:r w:rsidRPr="00312424">
        <w:rPr>
          <w:rFonts w:ascii="Calibri" w:hAnsi="Calibri" w:cs="Calibri"/>
          <w:b/>
          <w:sz w:val="24"/>
          <w:szCs w:val="24"/>
        </w:rPr>
        <w:t>2</w:t>
      </w:r>
      <w:r w:rsidR="008513BC">
        <w:rPr>
          <w:rFonts w:ascii="Calibri" w:hAnsi="Calibri" w:cs="Calibri"/>
          <w:b/>
          <w:sz w:val="24"/>
          <w:szCs w:val="24"/>
        </w:rPr>
        <w:t>0</w:t>
      </w:r>
      <w:r w:rsidRPr="00312424">
        <w:rPr>
          <w:rFonts w:ascii="Calibri" w:hAnsi="Calibri" w:cs="Calibri"/>
          <w:b/>
          <w:sz w:val="24"/>
          <w:szCs w:val="24"/>
        </w:rPr>
        <w:t xml:space="preserve"> – </w:t>
      </w:r>
      <w:r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2060DA" w:rsidRPr="002060DA"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3D77DC">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060DA" w:rsidRPr="002060DA" w:rsidRDefault="002060DA" w:rsidP="003D77DC">
            <w:pPr>
              <w:widowControl/>
              <w:jc w:val="center"/>
              <w:rPr>
                <w:rFonts w:ascii="Calibri" w:hAnsi="Calibri" w:cs="Calibri"/>
                <w:b/>
                <w:bCs/>
                <w:snapToGrid/>
                <w:color w:val="000000"/>
                <w:sz w:val="24"/>
                <w:szCs w:val="24"/>
              </w:rPr>
            </w:pPr>
            <w:r w:rsidRPr="002060DA">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13.962</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17.388</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2.112</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4.001</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1.470</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1.515</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1.661</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1.546</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750</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740</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1.524</w:t>
            </w:r>
          </w:p>
        </w:tc>
        <w:tc>
          <w:tcPr>
            <w:tcW w:w="1760" w:type="dxa"/>
            <w:tcBorders>
              <w:top w:val="nil"/>
              <w:left w:val="nil"/>
              <w:bottom w:val="single" w:sz="4" w:space="0" w:color="auto"/>
              <w:right w:val="nil"/>
            </w:tcBorders>
            <w:shd w:val="clear" w:color="auto" w:fill="auto"/>
            <w:noWrap/>
            <w:vAlign w:val="bottom"/>
          </w:tcPr>
          <w:p w:rsidR="002060DA" w:rsidRPr="002060DA" w:rsidRDefault="00F87E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1.289</w:t>
            </w:r>
          </w:p>
        </w:tc>
      </w:tr>
      <w:tr w:rsidR="002060DA" w:rsidRPr="002060DA"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2060DA" w:rsidRPr="002060DA" w:rsidRDefault="002060DA"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21.479</w:t>
            </w:r>
          </w:p>
        </w:tc>
        <w:tc>
          <w:tcPr>
            <w:tcW w:w="1760" w:type="dxa"/>
            <w:tcBorders>
              <w:top w:val="nil"/>
              <w:left w:val="nil"/>
              <w:bottom w:val="single" w:sz="4" w:space="0" w:color="auto"/>
              <w:right w:val="nil"/>
            </w:tcBorders>
            <w:shd w:val="clear" w:color="auto" w:fill="auto"/>
            <w:noWrap/>
            <w:vAlign w:val="bottom"/>
          </w:tcPr>
          <w:p w:rsidR="002060DA" w:rsidRPr="002060DA" w:rsidRDefault="000A1A80" w:rsidP="002060D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26.479</w:t>
            </w:r>
          </w:p>
        </w:tc>
      </w:tr>
    </w:tbl>
    <w:p w:rsidR="00F87EEB" w:rsidRDefault="00F87EEB" w:rsidP="00C16DDB">
      <w:pPr>
        <w:jc w:val="both"/>
        <w:rPr>
          <w:rFonts w:ascii="Calibri" w:hAnsi="Calibri" w:cs="Calibri"/>
          <w:sz w:val="24"/>
          <w:szCs w:val="24"/>
        </w:rPr>
      </w:pPr>
    </w:p>
    <w:p w:rsidR="00462F47" w:rsidRDefault="00462F47" w:rsidP="00C16DDB">
      <w:pPr>
        <w:jc w:val="both"/>
        <w:rPr>
          <w:rFonts w:ascii="Calibri" w:hAnsi="Calibri" w:cs="Calibri"/>
          <w:sz w:val="24"/>
          <w:szCs w:val="24"/>
        </w:rPr>
      </w:pPr>
    </w:p>
    <w:p w:rsidR="00C16DDB" w:rsidRPr="00312424" w:rsidRDefault="00921985" w:rsidP="00C16DDB">
      <w:pPr>
        <w:jc w:val="both"/>
        <w:rPr>
          <w:rFonts w:ascii="Calibri" w:hAnsi="Calibri" w:cs="Calibri"/>
          <w:b/>
          <w:sz w:val="24"/>
          <w:szCs w:val="24"/>
          <w:u w:val="single"/>
        </w:rPr>
      </w:pPr>
      <w:r>
        <w:rPr>
          <w:rFonts w:ascii="Calibri" w:hAnsi="Calibri" w:cs="Calibri"/>
          <w:b/>
          <w:sz w:val="24"/>
          <w:szCs w:val="24"/>
        </w:rPr>
        <w:t>2</w:t>
      </w:r>
      <w:r w:rsidR="00CD4CBD">
        <w:rPr>
          <w:rFonts w:ascii="Calibri" w:hAnsi="Calibri" w:cs="Calibri"/>
          <w:b/>
          <w:sz w:val="24"/>
          <w:szCs w:val="24"/>
        </w:rPr>
        <w:t>1</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C85F53" w:rsidRDefault="00C16DDB" w:rsidP="00C16DDB">
      <w:pPr>
        <w:jc w:val="both"/>
        <w:rPr>
          <w:rFonts w:ascii="Calibri" w:hAnsi="Calibri" w:cs="Calibri"/>
          <w:sz w:val="24"/>
          <w:szCs w:val="24"/>
        </w:rPr>
      </w:pPr>
      <w:r w:rsidRPr="00312424">
        <w:rPr>
          <w:rFonts w:ascii="Calibri" w:hAnsi="Calibri" w:cs="Calibri"/>
          <w:sz w:val="24"/>
          <w:szCs w:val="24"/>
        </w:rPr>
        <w:t xml:space="preserve">O grupo possui a seguinte composição:           </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C85F53" w:rsidRPr="00C85F53" w:rsidTr="00137FA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3D77DC">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85F53" w:rsidRPr="00C85F53" w:rsidRDefault="00C85F53" w:rsidP="003D77DC">
            <w:pPr>
              <w:widowControl/>
              <w:jc w:val="center"/>
              <w:rPr>
                <w:rFonts w:ascii="Calibri" w:hAnsi="Calibri" w:cs="Calibri"/>
                <w:b/>
                <w:bCs/>
                <w:snapToGrid/>
                <w:color w:val="000000"/>
                <w:sz w:val="24"/>
                <w:szCs w:val="24"/>
              </w:rPr>
            </w:pPr>
            <w:r w:rsidRPr="00C85F53">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C85F53">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38.658</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45.473</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2.119</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4.089</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764</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885</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4.131</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475</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Contratuais</w:t>
            </w:r>
          </w:p>
        </w:tc>
        <w:tc>
          <w:tcPr>
            <w:tcW w:w="1760" w:type="dxa"/>
            <w:tcBorders>
              <w:top w:val="nil"/>
              <w:left w:val="nil"/>
              <w:bottom w:val="single" w:sz="4" w:space="0" w:color="auto"/>
              <w:right w:val="nil"/>
            </w:tcBorders>
            <w:shd w:val="clear" w:color="auto" w:fill="auto"/>
            <w:noWrap/>
            <w:vAlign w:val="bottom"/>
          </w:tcPr>
          <w:p w:rsidR="00C85F53" w:rsidRPr="00C85F53"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9.371</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828</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snapToGrid/>
                <w:color w:val="000000"/>
                <w:sz w:val="24"/>
                <w:szCs w:val="24"/>
              </w:rPr>
            </w:pPr>
            <w:r>
              <w:rPr>
                <w:rFonts w:ascii="Calibri" w:hAnsi="Calibri" w:cs="Calibri"/>
                <w:snapToGrid/>
                <w:color w:val="000000"/>
                <w:sz w:val="24"/>
                <w:szCs w:val="24"/>
              </w:rPr>
              <w:t>490</w:t>
            </w:r>
          </w:p>
        </w:tc>
      </w:tr>
      <w:tr w:rsidR="00C85F53" w:rsidRPr="00C85F53" w:rsidTr="003D77DC">
        <w:trPr>
          <w:trHeight w:val="284"/>
          <w:jc w:val="center"/>
        </w:trPr>
        <w:tc>
          <w:tcPr>
            <w:tcW w:w="3320" w:type="dxa"/>
            <w:tcBorders>
              <w:top w:val="nil"/>
              <w:left w:val="nil"/>
              <w:bottom w:val="single" w:sz="4" w:space="0" w:color="auto"/>
              <w:right w:val="nil"/>
            </w:tcBorders>
            <w:shd w:val="clear" w:color="auto" w:fill="auto"/>
            <w:noWrap/>
            <w:vAlign w:val="bottom"/>
            <w:hideMark/>
          </w:tcPr>
          <w:p w:rsidR="00C85F53" w:rsidRPr="00C85F53" w:rsidRDefault="00C85F53"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46.500</w:t>
            </w:r>
          </w:p>
        </w:tc>
        <w:tc>
          <w:tcPr>
            <w:tcW w:w="1760" w:type="dxa"/>
            <w:tcBorders>
              <w:top w:val="nil"/>
              <w:left w:val="nil"/>
              <w:bottom w:val="single" w:sz="4" w:space="0" w:color="auto"/>
              <w:right w:val="nil"/>
            </w:tcBorders>
            <w:shd w:val="clear" w:color="auto" w:fill="auto"/>
            <w:noWrap/>
            <w:vAlign w:val="bottom"/>
          </w:tcPr>
          <w:p w:rsidR="00C85F53" w:rsidRPr="00C85F53" w:rsidRDefault="00955480"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60.783</w:t>
            </w:r>
          </w:p>
        </w:tc>
      </w:tr>
    </w:tbl>
    <w:p w:rsidR="003E7F3A" w:rsidRDefault="003E7F3A" w:rsidP="00C16DDB">
      <w:pPr>
        <w:jc w:val="both"/>
        <w:rPr>
          <w:rFonts w:ascii="Calibri" w:hAnsi="Calibri" w:cs="Calibri"/>
          <w:b/>
          <w:sz w:val="24"/>
          <w:szCs w:val="24"/>
        </w:rPr>
      </w:pPr>
    </w:p>
    <w:p w:rsidR="003E7F3A" w:rsidRDefault="00DA0687" w:rsidP="00C16DDB">
      <w:pPr>
        <w:jc w:val="both"/>
        <w:rPr>
          <w:rFonts w:ascii="Calibri" w:hAnsi="Calibri" w:cs="Calibri"/>
          <w:sz w:val="24"/>
          <w:szCs w:val="24"/>
        </w:rPr>
      </w:pPr>
      <w:r>
        <w:rPr>
          <w:rFonts w:ascii="Calibri" w:hAnsi="Calibri" w:cs="Calibri"/>
          <w:sz w:val="24"/>
          <w:szCs w:val="24"/>
        </w:rPr>
        <w:t xml:space="preserve">Os encargos com a atualização dos contratos de cessão de créditos, citados na nota explicativa 14, classificados como </w:t>
      </w:r>
      <w:r w:rsidRPr="00DA0687">
        <w:rPr>
          <w:rFonts w:ascii="Calibri" w:hAnsi="Calibri" w:cs="Calibri"/>
          <w:b/>
          <w:sz w:val="24"/>
          <w:szCs w:val="24"/>
        </w:rPr>
        <w:t>Despesas Contratuais</w:t>
      </w:r>
      <w:r>
        <w:rPr>
          <w:rFonts w:ascii="Calibri" w:hAnsi="Calibri" w:cs="Calibri"/>
          <w:sz w:val="24"/>
          <w:szCs w:val="24"/>
        </w:rPr>
        <w:t xml:space="preserve">, passaram a ser registradas como despesas financeiras, no </w:t>
      </w:r>
      <w:r w:rsidR="00073612">
        <w:rPr>
          <w:rFonts w:ascii="Calibri" w:hAnsi="Calibri" w:cs="Calibri"/>
          <w:sz w:val="24"/>
          <w:szCs w:val="24"/>
        </w:rPr>
        <w:t>3º trimestre de</w:t>
      </w:r>
      <w:r>
        <w:rPr>
          <w:rFonts w:ascii="Calibri" w:hAnsi="Calibri" w:cs="Calibri"/>
          <w:sz w:val="24"/>
          <w:szCs w:val="24"/>
        </w:rPr>
        <w:t xml:space="preserve"> 2018.</w:t>
      </w:r>
    </w:p>
    <w:p w:rsidR="004A7359" w:rsidRDefault="004A7359" w:rsidP="00C16DDB">
      <w:pPr>
        <w:jc w:val="both"/>
        <w:rPr>
          <w:rFonts w:ascii="Calibri" w:hAnsi="Calibri" w:cs="Calibri"/>
          <w:sz w:val="24"/>
          <w:szCs w:val="24"/>
        </w:rPr>
      </w:pPr>
    </w:p>
    <w:p w:rsidR="00955480" w:rsidRDefault="00D410EA" w:rsidP="00C16DDB">
      <w:pPr>
        <w:jc w:val="both"/>
        <w:rPr>
          <w:rFonts w:ascii="Calibri" w:hAnsi="Calibri" w:cs="Calibri"/>
          <w:b/>
          <w:sz w:val="24"/>
          <w:szCs w:val="24"/>
        </w:rPr>
      </w:pPr>
      <w:r>
        <w:rPr>
          <w:rFonts w:ascii="Calibri" w:hAnsi="Calibri" w:cs="Calibri"/>
          <w:sz w:val="24"/>
          <w:szCs w:val="24"/>
        </w:rPr>
        <w:t xml:space="preserve">As </w:t>
      </w:r>
      <w:r w:rsidRPr="00D410EA">
        <w:rPr>
          <w:rFonts w:ascii="Calibri" w:hAnsi="Calibri" w:cs="Calibri"/>
          <w:b/>
          <w:sz w:val="24"/>
          <w:szCs w:val="24"/>
        </w:rPr>
        <w:t>Despesas Legais e Judiciais</w:t>
      </w:r>
      <w:r>
        <w:rPr>
          <w:rFonts w:ascii="Calibri" w:hAnsi="Calibri" w:cs="Calibri"/>
          <w:sz w:val="24"/>
          <w:szCs w:val="24"/>
        </w:rPr>
        <w:t xml:space="preserve"> compreendem </w:t>
      </w:r>
      <w:r w:rsidR="008A2B39">
        <w:rPr>
          <w:rFonts w:ascii="Calibri" w:hAnsi="Calibri" w:cs="Calibri"/>
          <w:sz w:val="24"/>
          <w:szCs w:val="24"/>
        </w:rPr>
        <w:t>os gastos com custas processuais, perícias judiciais e pagamentos de condenações cujas provisões de perdas não foram estimadas pela Superintendência Jurídica, ou foram estimadas a menor.</w:t>
      </w: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lastRenderedPageBreak/>
        <w:t>22</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857F3A">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3D77DC">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B4F3A" w:rsidRPr="003B4F3A" w:rsidRDefault="003B4F3A" w:rsidP="003D77DC">
            <w:pPr>
              <w:widowControl/>
              <w:jc w:val="center"/>
              <w:rPr>
                <w:rFonts w:ascii="Calibri" w:hAnsi="Calibri" w:cs="Calibri"/>
                <w:b/>
                <w:bCs/>
                <w:snapToGrid/>
                <w:color w:val="000000"/>
                <w:sz w:val="24"/>
                <w:szCs w:val="24"/>
              </w:rPr>
            </w:pPr>
            <w:r w:rsidRPr="003B4F3A">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3B4F3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nil"/>
              <w:left w:val="nil"/>
              <w:bottom w:val="single" w:sz="4" w:space="0" w:color="auto"/>
              <w:right w:val="nil"/>
            </w:tcBorders>
            <w:shd w:val="clear" w:color="auto" w:fill="auto"/>
            <w:noWrap/>
            <w:vAlign w:val="bottom"/>
          </w:tcPr>
          <w:p w:rsidR="003B4F3A" w:rsidRPr="003B4F3A" w:rsidRDefault="00D410EA"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(16.7</w:t>
            </w:r>
            <w:r w:rsidR="00354A3D">
              <w:rPr>
                <w:rFonts w:ascii="Calibri" w:hAnsi="Calibri" w:cs="Calibri"/>
                <w:snapToGrid/>
                <w:color w:val="000000"/>
                <w:sz w:val="24"/>
                <w:szCs w:val="24"/>
              </w:rPr>
              <w:t>79</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B4F3A" w:rsidRPr="003B4F3A"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nil"/>
              <w:left w:val="nil"/>
              <w:bottom w:val="single" w:sz="4" w:space="0" w:color="auto"/>
              <w:right w:val="nil"/>
            </w:tcBorders>
            <w:shd w:val="clear" w:color="auto" w:fill="auto"/>
            <w:noWrap/>
            <w:vAlign w:val="bottom"/>
          </w:tcPr>
          <w:p w:rsidR="003B4F3A" w:rsidRPr="003B4F3A" w:rsidRDefault="00D410EA"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1.681</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2.398</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D410EA" w:rsidP="009D0064">
            <w:pPr>
              <w:widowControl/>
              <w:jc w:val="right"/>
              <w:rPr>
                <w:rFonts w:ascii="Calibri" w:hAnsi="Calibri" w:cs="Calibri"/>
                <w:snapToGrid/>
                <w:color w:val="000000"/>
                <w:sz w:val="24"/>
                <w:szCs w:val="24"/>
              </w:rPr>
            </w:pPr>
            <w:r>
              <w:rPr>
                <w:rFonts w:ascii="Calibri" w:hAnsi="Calibri" w:cs="Calibri"/>
                <w:snapToGrid/>
                <w:color w:val="000000"/>
                <w:sz w:val="24"/>
                <w:szCs w:val="24"/>
              </w:rPr>
              <w:t>(1.614)</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(1.584)</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nil"/>
              <w:left w:val="nil"/>
              <w:bottom w:val="single" w:sz="4" w:space="0" w:color="auto"/>
              <w:right w:val="nil"/>
            </w:tcBorders>
            <w:shd w:val="clear" w:color="auto" w:fill="auto"/>
            <w:noWrap/>
            <w:vAlign w:val="bottom"/>
          </w:tcPr>
          <w:p w:rsidR="003B4F3A" w:rsidRPr="003B4F3A" w:rsidRDefault="00D410EA"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(13</w:t>
            </w:r>
            <w:r w:rsidR="00354A3D">
              <w:rPr>
                <w:rFonts w:ascii="Calibri" w:hAnsi="Calibri" w:cs="Calibri"/>
                <w:snapToGrid/>
                <w:color w:val="000000"/>
                <w:sz w:val="24"/>
                <w:szCs w:val="24"/>
              </w:rPr>
              <w:t>7</w:t>
            </w:r>
            <w:r>
              <w:rPr>
                <w:rFonts w:ascii="Calibri" w:hAnsi="Calibri" w:cs="Calibri"/>
                <w:snapToGrid/>
                <w:color w:val="000000"/>
                <w:sz w:val="24"/>
                <w:szCs w:val="24"/>
              </w:rPr>
              <w:t>)</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B4F3A">
            <w:pPr>
              <w:widowControl/>
              <w:jc w:val="right"/>
              <w:rPr>
                <w:rFonts w:ascii="Calibri" w:hAnsi="Calibri" w:cs="Calibri"/>
                <w:snapToGrid/>
                <w:color w:val="000000"/>
                <w:sz w:val="24"/>
                <w:szCs w:val="24"/>
              </w:rPr>
            </w:pPr>
            <w:r>
              <w:rPr>
                <w:rFonts w:ascii="Calibri" w:hAnsi="Calibri" w:cs="Calibri"/>
                <w:snapToGrid/>
                <w:color w:val="000000"/>
                <w:sz w:val="24"/>
                <w:szCs w:val="24"/>
              </w:rPr>
              <w:t>(143)</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nil"/>
              <w:left w:val="nil"/>
              <w:bottom w:val="single" w:sz="4" w:space="0" w:color="auto"/>
              <w:right w:val="nil"/>
            </w:tcBorders>
            <w:shd w:val="clear" w:color="auto" w:fill="auto"/>
            <w:noWrap/>
            <w:vAlign w:val="bottom"/>
          </w:tcPr>
          <w:p w:rsidR="003B4F3A" w:rsidRPr="003B4F3A" w:rsidRDefault="00D410EA"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54A3D">
            <w:pPr>
              <w:widowControl/>
              <w:jc w:val="right"/>
              <w:rPr>
                <w:rFonts w:ascii="Calibri" w:hAnsi="Calibri" w:cs="Calibri"/>
                <w:snapToGrid/>
                <w:color w:val="000000"/>
                <w:sz w:val="24"/>
                <w:szCs w:val="24"/>
              </w:rPr>
            </w:pPr>
            <w:r>
              <w:rPr>
                <w:rFonts w:ascii="Calibri" w:hAnsi="Calibri" w:cs="Calibri"/>
                <w:snapToGrid/>
                <w:color w:val="000000"/>
                <w:sz w:val="24"/>
                <w:szCs w:val="24"/>
              </w:rPr>
              <w:t>345</w:t>
            </w:r>
          </w:p>
        </w:tc>
      </w:tr>
      <w:tr w:rsidR="003B4F3A" w:rsidRPr="003B4F3A" w:rsidTr="003D77DC">
        <w:trPr>
          <w:trHeight w:val="284"/>
          <w:jc w:val="center"/>
        </w:trPr>
        <w:tc>
          <w:tcPr>
            <w:tcW w:w="5680" w:type="dxa"/>
            <w:tcBorders>
              <w:top w:val="nil"/>
              <w:left w:val="nil"/>
              <w:bottom w:val="single" w:sz="4" w:space="0" w:color="auto"/>
              <w:right w:val="nil"/>
            </w:tcBorders>
            <w:shd w:val="clear" w:color="auto" w:fill="auto"/>
            <w:noWrap/>
            <w:vAlign w:val="bottom"/>
            <w:hideMark/>
          </w:tcPr>
          <w:p w:rsidR="003B4F3A" w:rsidRPr="003B4F3A" w:rsidRDefault="003B4F3A" w:rsidP="003B4F3A">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(16.848)</w:t>
            </w:r>
          </w:p>
        </w:tc>
        <w:tc>
          <w:tcPr>
            <w:tcW w:w="1760" w:type="dxa"/>
            <w:tcBorders>
              <w:top w:val="nil"/>
              <w:left w:val="nil"/>
              <w:bottom w:val="single" w:sz="4" w:space="0" w:color="auto"/>
              <w:right w:val="nil"/>
            </w:tcBorders>
            <w:shd w:val="clear" w:color="auto" w:fill="auto"/>
            <w:noWrap/>
            <w:vAlign w:val="bottom"/>
          </w:tcPr>
          <w:p w:rsidR="003B4F3A" w:rsidRPr="003B4F3A" w:rsidRDefault="00354A3D"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1.016</w:t>
            </w:r>
          </w:p>
        </w:tc>
      </w:tr>
    </w:tbl>
    <w:p w:rsidR="00516C4E" w:rsidRDefault="00516C4E" w:rsidP="00C16DDB">
      <w:pPr>
        <w:jc w:val="both"/>
        <w:rPr>
          <w:rFonts w:ascii="Calibri" w:hAnsi="Calibri" w:cs="Calibri"/>
          <w:sz w:val="24"/>
          <w:szCs w:val="24"/>
        </w:rPr>
      </w:pPr>
    </w:p>
    <w:p w:rsidR="007A2A51" w:rsidRDefault="00546F3C" w:rsidP="00C16DDB">
      <w:pPr>
        <w:jc w:val="both"/>
        <w:rPr>
          <w:rFonts w:ascii="Calibri" w:hAnsi="Calibri" w:cs="Calibri"/>
          <w:sz w:val="24"/>
          <w:szCs w:val="24"/>
        </w:rPr>
      </w:pPr>
      <w:r>
        <w:rPr>
          <w:rFonts w:ascii="Calibri" w:hAnsi="Calibri" w:cs="Calibri"/>
          <w:sz w:val="24"/>
          <w:szCs w:val="24"/>
        </w:rPr>
        <w:t>O registro da</w:t>
      </w:r>
      <w:r w:rsidR="007A2A51" w:rsidRPr="007A2A51">
        <w:rPr>
          <w:rFonts w:ascii="Calibri" w:hAnsi="Calibri" w:cs="Calibri"/>
          <w:sz w:val="24"/>
          <w:szCs w:val="24"/>
        </w:rPr>
        <w:t xml:space="preserve">s </w:t>
      </w:r>
      <w:r w:rsidR="007A2A51">
        <w:rPr>
          <w:rFonts w:ascii="Calibri" w:hAnsi="Calibri" w:cs="Calibri"/>
          <w:b/>
          <w:sz w:val="24"/>
          <w:szCs w:val="24"/>
        </w:rPr>
        <w:t>Perdas Estimadas com Créditos de Liquidação Duvidosa</w:t>
      </w:r>
      <w:r w:rsidR="007A2A51">
        <w:rPr>
          <w:rFonts w:ascii="Calibri" w:hAnsi="Calibri" w:cs="Calibri"/>
          <w:sz w:val="24"/>
          <w:szCs w:val="24"/>
        </w:rPr>
        <w:t xml:space="preserve"> leva em consideração os créditos vencidos há mais de 180 dias e não pagos</w:t>
      </w:r>
      <w:r>
        <w:rPr>
          <w:rFonts w:ascii="Calibri" w:hAnsi="Calibri" w:cs="Calibri"/>
          <w:sz w:val="24"/>
          <w:szCs w:val="24"/>
        </w:rPr>
        <w:t xml:space="preserve"> até a data do balanço</w:t>
      </w:r>
      <w:r w:rsidR="007A2A51">
        <w:rPr>
          <w:rFonts w:ascii="Calibri" w:hAnsi="Calibri" w:cs="Calibri"/>
          <w:sz w:val="24"/>
          <w:szCs w:val="24"/>
        </w:rPr>
        <w:t xml:space="preserve">, além daqueles que, embora vencidos há </w:t>
      </w:r>
      <w:r>
        <w:rPr>
          <w:rFonts w:ascii="Calibri" w:hAnsi="Calibri" w:cs="Calibri"/>
          <w:sz w:val="24"/>
          <w:szCs w:val="24"/>
        </w:rPr>
        <w:t>me</w:t>
      </w:r>
      <w:r w:rsidR="00B455BA">
        <w:rPr>
          <w:rFonts w:ascii="Calibri" w:hAnsi="Calibri" w:cs="Calibri"/>
          <w:sz w:val="24"/>
          <w:szCs w:val="24"/>
        </w:rPr>
        <w:t>nos tempo, apresentam incerteza quanto à sua liquidez.</w:t>
      </w:r>
    </w:p>
    <w:p w:rsidR="00DA0687" w:rsidRDefault="00DA0687" w:rsidP="00C16DDB">
      <w:pPr>
        <w:jc w:val="both"/>
        <w:rPr>
          <w:rFonts w:ascii="Calibri" w:hAnsi="Calibri" w:cs="Calibri"/>
          <w:b/>
          <w:sz w:val="24"/>
          <w:szCs w:val="24"/>
        </w:rPr>
      </w:pPr>
    </w:p>
    <w:p w:rsidR="00DA0687" w:rsidRDefault="00DA0687"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3D77DC">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3D07B8" w:rsidRPr="003D07B8" w:rsidRDefault="003D07B8" w:rsidP="003D77DC">
            <w:pPr>
              <w:widowControl/>
              <w:jc w:val="center"/>
              <w:rPr>
                <w:rFonts w:ascii="Calibri" w:hAnsi="Calibri" w:cs="Calibri"/>
                <w:b/>
                <w:bCs/>
                <w:snapToGrid/>
                <w:color w:val="000000"/>
                <w:sz w:val="24"/>
                <w:szCs w:val="24"/>
              </w:rPr>
            </w:pPr>
            <w:r w:rsidRPr="003D07B8">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3D07B8">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02089">
            <w:pPr>
              <w:widowControl/>
              <w:jc w:val="right"/>
              <w:rPr>
                <w:rFonts w:ascii="Calibri" w:hAnsi="Calibri" w:cs="Calibri"/>
                <w:snapToGrid/>
                <w:color w:val="000000"/>
                <w:sz w:val="24"/>
                <w:szCs w:val="24"/>
              </w:rPr>
            </w:pPr>
            <w:r>
              <w:rPr>
                <w:rFonts w:ascii="Calibri" w:hAnsi="Calibri" w:cs="Calibri"/>
                <w:snapToGrid/>
                <w:color w:val="000000"/>
                <w:sz w:val="24"/>
                <w:szCs w:val="24"/>
              </w:rPr>
              <w:t>3.042</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3.090</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Multas Aplicadas</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3</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56</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xml:space="preserve">Recuperação de Vencimentos </w:t>
            </w:r>
          </w:p>
        </w:tc>
        <w:tc>
          <w:tcPr>
            <w:tcW w:w="1760" w:type="dxa"/>
            <w:tcBorders>
              <w:top w:val="nil"/>
              <w:left w:val="nil"/>
              <w:bottom w:val="single" w:sz="4" w:space="0" w:color="auto"/>
              <w:right w:val="nil"/>
            </w:tcBorders>
            <w:shd w:val="clear" w:color="auto" w:fill="auto"/>
            <w:noWrap/>
            <w:vAlign w:val="bottom"/>
          </w:tcPr>
          <w:p w:rsidR="003D07B8" w:rsidRPr="003D07B8" w:rsidRDefault="001F63A7"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0</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13.928</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136</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snapToGrid/>
                <w:color w:val="000000"/>
                <w:sz w:val="24"/>
                <w:szCs w:val="24"/>
              </w:rPr>
            </w:pPr>
            <w:r>
              <w:rPr>
                <w:rFonts w:ascii="Calibri" w:hAnsi="Calibri" w:cs="Calibri"/>
                <w:snapToGrid/>
                <w:color w:val="000000"/>
                <w:sz w:val="24"/>
                <w:szCs w:val="24"/>
              </w:rPr>
              <w:t>145</w:t>
            </w:r>
          </w:p>
        </w:tc>
      </w:tr>
      <w:tr w:rsidR="003D07B8" w:rsidRPr="003D07B8"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3D07B8" w:rsidRPr="003D07B8" w:rsidRDefault="003D07B8" w:rsidP="003D07B8">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3.181</w:t>
            </w:r>
          </w:p>
        </w:tc>
        <w:tc>
          <w:tcPr>
            <w:tcW w:w="1760" w:type="dxa"/>
            <w:tcBorders>
              <w:top w:val="nil"/>
              <w:left w:val="nil"/>
              <w:bottom w:val="single" w:sz="4" w:space="0" w:color="auto"/>
              <w:right w:val="nil"/>
            </w:tcBorders>
            <w:shd w:val="clear" w:color="auto" w:fill="auto"/>
            <w:noWrap/>
            <w:vAlign w:val="bottom"/>
          </w:tcPr>
          <w:p w:rsidR="003D07B8" w:rsidRPr="003D07B8" w:rsidRDefault="002057B2" w:rsidP="003D07B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17.219</w:t>
            </w:r>
          </w:p>
        </w:tc>
      </w:tr>
    </w:tbl>
    <w:p w:rsidR="00C13D42" w:rsidRDefault="00C13D42" w:rsidP="00C16DDB">
      <w:pPr>
        <w:jc w:val="both"/>
        <w:rPr>
          <w:rFonts w:ascii="Calibri" w:hAnsi="Calibri" w:cs="Calibri"/>
          <w:b/>
          <w:sz w:val="24"/>
          <w:szCs w:val="24"/>
        </w:rPr>
      </w:pPr>
    </w:p>
    <w:p w:rsidR="003E7F3A" w:rsidRPr="003E7F3A" w:rsidRDefault="003E7F3A" w:rsidP="00C16DDB">
      <w:pPr>
        <w:jc w:val="both"/>
        <w:rPr>
          <w:rFonts w:ascii="Calibri" w:hAnsi="Calibri" w:cs="Calibri"/>
          <w:sz w:val="24"/>
          <w:szCs w:val="24"/>
        </w:rPr>
      </w:pPr>
      <w:r w:rsidRPr="003E7F3A">
        <w:rPr>
          <w:rFonts w:ascii="Calibri" w:hAnsi="Calibri" w:cs="Calibri"/>
          <w:sz w:val="24"/>
          <w:szCs w:val="24"/>
        </w:rPr>
        <w:t xml:space="preserve">A conta </w:t>
      </w:r>
      <w:r w:rsidRPr="003E7F3A">
        <w:rPr>
          <w:rFonts w:ascii="Calibri" w:hAnsi="Calibri" w:cs="Calibri"/>
          <w:b/>
          <w:sz w:val="24"/>
          <w:szCs w:val="24"/>
        </w:rPr>
        <w:t>Recuperação de Vencimentos</w:t>
      </w:r>
      <w:r w:rsidR="002057B2">
        <w:rPr>
          <w:rFonts w:ascii="Calibri" w:hAnsi="Calibri" w:cs="Calibri"/>
          <w:b/>
          <w:sz w:val="24"/>
          <w:szCs w:val="24"/>
        </w:rPr>
        <w:t>,</w:t>
      </w:r>
      <w:r w:rsidRPr="003E7F3A">
        <w:rPr>
          <w:rFonts w:ascii="Calibri" w:hAnsi="Calibri" w:cs="Calibri"/>
          <w:sz w:val="24"/>
          <w:szCs w:val="24"/>
        </w:rPr>
        <w:t xml:space="preserve"> </w:t>
      </w:r>
      <w:r w:rsidR="002057B2">
        <w:rPr>
          <w:rFonts w:ascii="Calibri" w:hAnsi="Calibri" w:cs="Calibri"/>
          <w:sz w:val="24"/>
          <w:szCs w:val="24"/>
        </w:rPr>
        <w:t xml:space="preserve">que </w:t>
      </w:r>
      <w:r w:rsidRPr="003E7F3A">
        <w:rPr>
          <w:rFonts w:ascii="Calibri" w:hAnsi="Calibri" w:cs="Calibri"/>
          <w:sz w:val="24"/>
          <w:szCs w:val="24"/>
        </w:rPr>
        <w:t xml:space="preserve">registra </w:t>
      </w:r>
      <w:r>
        <w:rPr>
          <w:rFonts w:ascii="Calibri" w:hAnsi="Calibri" w:cs="Calibri"/>
          <w:sz w:val="24"/>
          <w:szCs w:val="24"/>
        </w:rPr>
        <w:t>o recebimento do ressarcimento com os gastos relativos aos empregados da CDRJ cedid</w:t>
      </w:r>
      <w:r w:rsidR="002057B2">
        <w:rPr>
          <w:rFonts w:ascii="Calibri" w:hAnsi="Calibri" w:cs="Calibri"/>
          <w:sz w:val="24"/>
          <w:szCs w:val="24"/>
        </w:rPr>
        <w:t>os a outros ór</w:t>
      </w:r>
      <w:r w:rsidR="00D84E03">
        <w:rPr>
          <w:rFonts w:ascii="Calibri" w:hAnsi="Calibri" w:cs="Calibri"/>
          <w:sz w:val="24"/>
          <w:szCs w:val="24"/>
        </w:rPr>
        <w:t>gãos ou entidades, deixou de ser contabilizada como receita, no exercício de 2019, e passou a compor o grupo das contas redutoras do grupo Gastos com Pessoal.</w:t>
      </w:r>
    </w:p>
    <w:p w:rsidR="00C13D42" w:rsidRDefault="00C13D42" w:rsidP="00C16DDB">
      <w:pPr>
        <w:jc w:val="both"/>
        <w:rPr>
          <w:rFonts w:ascii="Calibri" w:hAnsi="Calibri" w:cs="Calibri"/>
          <w:b/>
          <w:sz w:val="24"/>
          <w:szCs w:val="24"/>
        </w:rPr>
      </w:pPr>
    </w:p>
    <w:p w:rsidR="003E7F3A" w:rsidRPr="00312424" w:rsidRDefault="003E7F3A"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857F3A">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3D77D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C13D42" w:rsidRPr="00C13D42" w:rsidRDefault="00C13D42" w:rsidP="003D77DC">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31/</w:t>
            </w:r>
            <w:r w:rsidR="003D77DC">
              <w:rPr>
                <w:rFonts w:ascii="Calibri" w:hAnsi="Calibri" w:cs="Calibri"/>
                <w:b/>
                <w:bCs/>
                <w:snapToGrid/>
                <w:color w:val="000000"/>
                <w:sz w:val="24"/>
                <w:szCs w:val="24"/>
              </w:rPr>
              <w:t>03</w:t>
            </w:r>
            <w:r w:rsidRPr="00C13D42">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5.737</w:t>
            </w:r>
          </w:p>
        </w:tc>
        <w:tc>
          <w:tcPr>
            <w:tcW w:w="1760" w:type="dxa"/>
            <w:tcBorders>
              <w:top w:val="nil"/>
              <w:left w:val="nil"/>
              <w:bottom w:val="single" w:sz="4" w:space="0" w:color="auto"/>
              <w:right w:val="nil"/>
            </w:tcBorders>
            <w:shd w:val="clear" w:color="auto" w:fill="auto"/>
            <w:noWrap/>
            <w:vAlign w:val="bottom"/>
          </w:tcPr>
          <w:p w:rsidR="00C13D42" w:rsidRPr="00C13D42" w:rsidRDefault="00DA4DA6"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3.635</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(50.276)</w:t>
            </w:r>
          </w:p>
        </w:tc>
        <w:tc>
          <w:tcPr>
            <w:tcW w:w="1760" w:type="dxa"/>
            <w:tcBorders>
              <w:top w:val="nil"/>
              <w:left w:val="nil"/>
              <w:bottom w:val="single" w:sz="4" w:space="0" w:color="auto"/>
              <w:right w:val="nil"/>
            </w:tcBorders>
            <w:shd w:val="clear" w:color="auto" w:fill="auto"/>
            <w:noWrap/>
            <w:vAlign w:val="bottom"/>
          </w:tcPr>
          <w:p w:rsidR="00C13D42" w:rsidRPr="00C13D42" w:rsidRDefault="00DA4DA6"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(154.402)</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Ativas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41.894</w:t>
            </w:r>
          </w:p>
        </w:tc>
        <w:tc>
          <w:tcPr>
            <w:tcW w:w="1760" w:type="dxa"/>
            <w:tcBorders>
              <w:top w:val="nil"/>
              <w:left w:val="nil"/>
              <w:bottom w:val="single" w:sz="4" w:space="0" w:color="auto"/>
              <w:right w:val="nil"/>
            </w:tcBorders>
            <w:shd w:val="clear" w:color="auto" w:fill="auto"/>
            <w:noWrap/>
            <w:vAlign w:val="bottom"/>
          </w:tcPr>
          <w:p w:rsidR="00C13D42" w:rsidRPr="00C13D42" w:rsidRDefault="00DA4DA6"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28.114</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Variações Monetárias Passivas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302089">
            <w:pPr>
              <w:widowControl/>
              <w:jc w:val="right"/>
              <w:rPr>
                <w:rFonts w:ascii="Calibri" w:hAnsi="Calibri" w:cs="Calibri"/>
                <w:snapToGrid/>
                <w:color w:val="000000"/>
                <w:sz w:val="24"/>
                <w:szCs w:val="24"/>
              </w:rPr>
            </w:pPr>
            <w:r>
              <w:rPr>
                <w:rFonts w:ascii="Calibri" w:hAnsi="Calibri" w:cs="Calibri"/>
                <w:snapToGrid/>
                <w:color w:val="000000"/>
                <w:sz w:val="24"/>
                <w:szCs w:val="24"/>
              </w:rPr>
              <w:t>(46.374)</w:t>
            </w:r>
          </w:p>
        </w:tc>
        <w:tc>
          <w:tcPr>
            <w:tcW w:w="1760" w:type="dxa"/>
            <w:tcBorders>
              <w:top w:val="nil"/>
              <w:left w:val="nil"/>
              <w:bottom w:val="single" w:sz="4" w:space="0" w:color="auto"/>
              <w:right w:val="nil"/>
            </w:tcBorders>
            <w:shd w:val="clear" w:color="auto" w:fill="auto"/>
            <w:noWrap/>
            <w:vAlign w:val="bottom"/>
          </w:tcPr>
          <w:p w:rsidR="00C13D42" w:rsidRPr="00C13D42" w:rsidRDefault="00DA4DA6" w:rsidP="00C13D42">
            <w:pPr>
              <w:widowControl/>
              <w:jc w:val="right"/>
              <w:rPr>
                <w:rFonts w:ascii="Calibri" w:hAnsi="Calibri" w:cs="Calibri"/>
                <w:snapToGrid/>
                <w:color w:val="000000"/>
                <w:sz w:val="24"/>
                <w:szCs w:val="24"/>
              </w:rPr>
            </w:pPr>
            <w:r>
              <w:rPr>
                <w:rFonts w:ascii="Calibri" w:hAnsi="Calibri" w:cs="Calibri"/>
                <w:snapToGrid/>
                <w:color w:val="000000"/>
                <w:sz w:val="24"/>
                <w:szCs w:val="24"/>
              </w:rPr>
              <w:t>(30.103)</w:t>
            </w:r>
          </w:p>
        </w:tc>
      </w:tr>
      <w:tr w:rsidR="00C13D42" w:rsidRPr="00C13D42" w:rsidTr="003D77DC">
        <w:trPr>
          <w:trHeight w:val="284"/>
          <w:jc w:val="center"/>
        </w:trPr>
        <w:tc>
          <w:tcPr>
            <w:tcW w:w="3400" w:type="dxa"/>
            <w:tcBorders>
              <w:top w:val="nil"/>
              <w:left w:val="nil"/>
              <w:bottom w:val="single" w:sz="4" w:space="0" w:color="auto"/>
              <w:right w:val="nil"/>
            </w:tcBorders>
            <w:shd w:val="clear" w:color="auto" w:fill="auto"/>
            <w:noWrap/>
            <w:vAlign w:val="bottom"/>
            <w:hideMark/>
          </w:tcPr>
          <w:p w:rsidR="00C13D42" w:rsidRPr="00C13D42" w:rsidRDefault="00C13D42" w:rsidP="00C13D42">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nil"/>
              <w:left w:val="nil"/>
              <w:bottom w:val="single" w:sz="4" w:space="0" w:color="auto"/>
              <w:right w:val="nil"/>
            </w:tcBorders>
            <w:shd w:val="clear" w:color="auto" w:fill="auto"/>
            <w:noWrap/>
            <w:vAlign w:val="bottom"/>
          </w:tcPr>
          <w:p w:rsidR="00C13D42" w:rsidRPr="00C13D42" w:rsidRDefault="00D84E03" w:rsidP="00C13D4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(49.019)</w:t>
            </w:r>
          </w:p>
        </w:tc>
        <w:tc>
          <w:tcPr>
            <w:tcW w:w="1760" w:type="dxa"/>
            <w:tcBorders>
              <w:top w:val="nil"/>
              <w:left w:val="nil"/>
              <w:bottom w:val="single" w:sz="4" w:space="0" w:color="auto"/>
              <w:right w:val="nil"/>
            </w:tcBorders>
            <w:shd w:val="clear" w:color="auto" w:fill="auto"/>
            <w:noWrap/>
            <w:vAlign w:val="bottom"/>
          </w:tcPr>
          <w:p w:rsidR="00C13D42" w:rsidRPr="00C13D42" w:rsidRDefault="00DA4DA6" w:rsidP="00C13D4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(152.756)</w:t>
            </w:r>
          </w:p>
        </w:tc>
      </w:tr>
    </w:tbl>
    <w:p w:rsidR="00F10FEB" w:rsidRDefault="00F10FEB" w:rsidP="00C16DDB">
      <w:pPr>
        <w:ind w:left="1080" w:hanging="1080"/>
        <w:jc w:val="both"/>
        <w:rPr>
          <w:rFonts w:ascii="Calibri" w:hAnsi="Calibri" w:cs="Calibri"/>
          <w:b/>
          <w:sz w:val="24"/>
          <w:szCs w:val="24"/>
        </w:rPr>
      </w:pPr>
    </w:p>
    <w:p w:rsidR="00F10FEB" w:rsidRDefault="00F10FEB" w:rsidP="00C16DDB">
      <w:pPr>
        <w:ind w:left="1080" w:hanging="1080"/>
        <w:jc w:val="both"/>
        <w:rPr>
          <w:rFonts w:ascii="Calibri" w:hAnsi="Calibri" w:cs="Calibri"/>
          <w:b/>
          <w:sz w:val="24"/>
          <w:szCs w:val="24"/>
        </w:rPr>
      </w:pPr>
    </w:p>
    <w:p w:rsidR="00C13D42" w:rsidRPr="00312424" w:rsidRDefault="00C13D42" w:rsidP="00C13D42">
      <w:pPr>
        <w:jc w:val="both"/>
        <w:rPr>
          <w:rFonts w:ascii="Calibri" w:hAnsi="Calibri" w:cs="Calibri"/>
          <w:b/>
          <w:sz w:val="24"/>
          <w:szCs w:val="24"/>
          <w:u w:val="single"/>
        </w:rPr>
      </w:pPr>
      <w:r>
        <w:rPr>
          <w:rFonts w:ascii="Calibri" w:hAnsi="Calibri" w:cs="Calibri"/>
          <w:b/>
          <w:sz w:val="24"/>
          <w:szCs w:val="24"/>
        </w:rPr>
        <w:lastRenderedPageBreak/>
        <w:t>25</w:t>
      </w:r>
      <w:r w:rsidRPr="00312424">
        <w:rPr>
          <w:rFonts w:ascii="Calibri" w:hAnsi="Calibri" w:cs="Calibri"/>
          <w:b/>
          <w:sz w:val="24"/>
          <w:szCs w:val="24"/>
        </w:rPr>
        <w:t xml:space="preserve"> – </w:t>
      </w:r>
      <w:r w:rsidRPr="00312424">
        <w:rPr>
          <w:rFonts w:ascii="Calibri" w:hAnsi="Calibri" w:cs="Calibri"/>
          <w:b/>
          <w:sz w:val="24"/>
          <w:szCs w:val="24"/>
          <w:u w:val="single"/>
        </w:rPr>
        <w:t>RE</w:t>
      </w:r>
      <w:r>
        <w:rPr>
          <w:rFonts w:ascii="Calibri" w:hAnsi="Calibri" w:cs="Calibri"/>
          <w:b/>
          <w:sz w:val="24"/>
          <w:szCs w:val="24"/>
          <w:u w:val="single"/>
        </w:rPr>
        <w:t>MUNERAÇÃO PAGA</w:t>
      </w:r>
    </w:p>
    <w:p w:rsidR="00C13D42" w:rsidRPr="00312424" w:rsidRDefault="00C13D42" w:rsidP="00C13D42">
      <w:pPr>
        <w:jc w:val="both"/>
        <w:rPr>
          <w:rFonts w:ascii="Calibri" w:hAnsi="Calibri" w:cs="Calibri"/>
          <w:b/>
          <w:sz w:val="24"/>
          <w:szCs w:val="24"/>
          <w:u w:val="single"/>
        </w:rPr>
      </w:pPr>
    </w:p>
    <w:p w:rsidR="00C13D42" w:rsidRDefault="00C13D42" w:rsidP="00C13D42">
      <w:pPr>
        <w:ind w:left="3" w:hanging="3"/>
        <w:jc w:val="both"/>
        <w:rPr>
          <w:rFonts w:ascii="Calibri" w:hAnsi="Calibri" w:cs="Calibri"/>
          <w:sz w:val="24"/>
          <w:szCs w:val="24"/>
        </w:rPr>
      </w:pPr>
      <w:r>
        <w:rPr>
          <w:rFonts w:ascii="Calibri" w:hAnsi="Calibri" w:cs="Calibri"/>
          <w:sz w:val="24"/>
          <w:szCs w:val="24"/>
        </w:rPr>
        <w:t>As remunerações pagas pela empresa aos seus diretores e empregados, incluídas todas as vantagens e benefícios efetivamente percebidos foram:</w:t>
      </w:r>
    </w:p>
    <w:p w:rsidR="00F10FEB" w:rsidRDefault="00F10FEB" w:rsidP="00C13D42">
      <w:pPr>
        <w:ind w:left="3" w:hanging="3"/>
        <w:jc w:val="both"/>
        <w:rPr>
          <w:rFonts w:ascii="Calibri" w:hAnsi="Calibri" w:cs="Calibri"/>
          <w:sz w:val="24"/>
          <w:szCs w:val="24"/>
        </w:rPr>
      </w:pPr>
    </w:p>
    <w:p w:rsidR="00C13D42" w:rsidRPr="00080319" w:rsidRDefault="00080319" w:rsidP="00080319">
      <w:pPr>
        <w:ind w:left="1080" w:hanging="1080"/>
        <w:rPr>
          <w:rFonts w:ascii="Calibri" w:hAnsi="Calibri" w:cs="Calibri"/>
          <w:sz w:val="24"/>
          <w:szCs w:val="24"/>
        </w:rPr>
      </w:pPr>
      <w:r>
        <w:rPr>
          <w:rFonts w:ascii="Calibri" w:hAnsi="Calibri" w:cs="Calibri"/>
          <w:sz w:val="24"/>
          <w:szCs w:val="24"/>
        </w:rPr>
        <w:t xml:space="preserve">                                                                                                             </w:t>
      </w:r>
      <w:r w:rsidRPr="00080319">
        <w:rPr>
          <w:rFonts w:ascii="Calibri" w:hAnsi="Calibri" w:cs="Calibri"/>
          <w:sz w:val="24"/>
          <w:szCs w:val="24"/>
        </w:rPr>
        <w:t>Valores expressos em Reais</w:t>
      </w:r>
    </w:p>
    <w:tbl>
      <w:tblPr>
        <w:tblW w:w="8055" w:type="dxa"/>
        <w:jc w:val="center"/>
        <w:tblCellMar>
          <w:left w:w="70" w:type="dxa"/>
          <w:right w:w="70" w:type="dxa"/>
        </w:tblCellMar>
        <w:tblLook w:val="04A0" w:firstRow="1" w:lastRow="0" w:firstColumn="1" w:lastColumn="0" w:noHBand="0" w:noVBand="1"/>
      </w:tblPr>
      <w:tblGrid>
        <w:gridCol w:w="4535"/>
        <w:gridCol w:w="1760"/>
        <w:gridCol w:w="1760"/>
      </w:tblGrid>
      <w:tr w:rsidR="00257002"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257002" w:rsidRPr="00C13D42" w:rsidRDefault="00257002" w:rsidP="00410B09">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737AD0">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31/</w:t>
            </w:r>
            <w:r w:rsidR="00737AD0">
              <w:rPr>
                <w:rFonts w:ascii="Calibri" w:hAnsi="Calibri" w:cs="Calibri"/>
                <w:b/>
                <w:bCs/>
                <w:snapToGrid/>
                <w:color w:val="000000"/>
                <w:sz w:val="24"/>
                <w:szCs w:val="24"/>
              </w:rPr>
              <w:t>03</w:t>
            </w:r>
            <w:r w:rsidRPr="00C13D42">
              <w:rPr>
                <w:rFonts w:ascii="Calibri" w:hAnsi="Calibri" w:cs="Calibri"/>
                <w:b/>
                <w:bCs/>
                <w:snapToGrid/>
                <w:color w:val="000000"/>
                <w:sz w:val="24"/>
                <w:szCs w:val="24"/>
              </w:rPr>
              <w:t>/201</w:t>
            </w:r>
            <w:r w:rsidR="00737AD0">
              <w:rPr>
                <w:rFonts w:ascii="Calibri" w:hAnsi="Calibri" w:cs="Calibri"/>
                <w:b/>
                <w:bCs/>
                <w:snapToGrid/>
                <w:color w:val="000000"/>
                <w:sz w:val="24"/>
                <w:szCs w:val="24"/>
              </w:rPr>
              <w:t>9</w:t>
            </w:r>
          </w:p>
        </w:tc>
        <w:tc>
          <w:tcPr>
            <w:tcW w:w="1760" w:type="dxa"/>
            <w:tcBorders>
              <w:top w:val="single" w:sz="4" w:space="0" w:color="auto"/>
              <w:left w:val="nil"/>
              <w:bottom w:val="single" w:sz="4" w:space="0" w:color="auto"/>
              <w:right w:val="nil"/>
            </w:tcBorders>
            <w:shd w:val="clear" w:color="auto" w:fill="auto"/>
            <w:noWrap/>
            <w:vAlign w:val="bottom"/>
            <w:hideMark/>
          </w:tcPr>
          <w:p w:rsidR="00257002" w:rsidRPr="00C13D42" w:rsidRDefault="00257002" w:rsidP="00737AD0">
            <w:pPr>
              <w:widowControl/>
              <w:jc w:val="center"/>
              <w:rPr>
                <w:rFonts w:ascii="Calibri" w:hAnsi="Calibri" w:cs="Calibri"/>
                <w:b/>
                <w:bCs/>
                <w:snapToGrid/>
                <w:color w:val="000000"/>
                <w:sz w:val="24"/>
                <w:szCs w:val="24"/>
              </w:rPr>
            </w:pPr>
            <w:r w:rsidRPr="00C13D42">
              <w:rPr>
                <w:rFonts w:ascii="Calibri" w:hAnsi="Calibri" w:cs="Calibri"/>
                <w:b/>
                <w:bCs/>
                <w:snapToGrid/>
                <w:color w:val="000000"/>
                <w:sz w:val="24"/>
                <w:szCs w:val="24"/>
              </w:rPr>
              <w:t>31/12/201</w:t>
            </w:r>
            <w:r w:rsidR="00737AD0">
              <w:rPr>
                <w:rFonts w:ascii="Calibri" w:hAnsi="Calibri" w:cs="Calibri"/>
                <w:b/>
                <w:bCs/>
                <w:snapToGrid/>
                <w:color w:val="000000"/>
                <w:sz w:val="24"/>
                <w:szCs w:val="24"/>
              </w:rPr>
              <w:t>8</w:t>
            </w:r>
          </w:p>
        </w:tc>
      </w:tr>
      <w:tr w:rsidR="00737AD0"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737AD0" w:rsidRPr="00C13D42" w:rsidRDefault="00737AD0" w:rsidP="00737AD0">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diretores</w:t>
            </w:r>
          </w:p>
        </w:tc>
        <w:tc>
          <w:tcPr>
            <w:tcW w:w="1760" w:type="dxa"/>
            <w:tcBorders>
              <w:top w:val="nil"/>
              <w:left w:val="nil"/>
              <w:bottom w:val="single" w:sz="4" w:space="0" w:color="auto"/>
              <w:right w:val="nil"/>
            </w:tcBorders>
            <w:shd w:val="clear" w:color="auto" w:fill="auto"/>
            <w:noWrap/>
            <w:vAlign w:val="bottom"/>
          </w:tcPr>
          <w:p w:rsidR="00737AD0" w:rsidRPr="00C13D42" w:rsidRDefault="00180D19"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40.470,65</w:t>
            </w:r>
          </w:p>
        </w:tc>
        <w:tc>
          <w:tcPr>
            <w:tcW w:w="1760" w:type="dxa"/>
            <w:tcBorders>
              <w:top w:val="nil"/>
              <w:left w:val="nil"/>
              <w:bottom w:val="single" w:sz="4" w:space="0" w:color="auto"/>
              <w:right w:val="nil"/>
            </w:tcBorders>
            <w:shd w:val="clear" w:color="auto" w:fill="auto"/>
            <w:noWrap/>
            <w:vAlign w:val="bottom"/>
          </w:tcPr>
          <w:p w:rsidR="00737AD0" w:rsidRPr="00C13D42" w:rsidRDefault="00737AD0"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40.395,99</w:t>
            </w:r>
          </w:p>
        </w:tc>
      </w:tr>
      <w:tr w:rsidR="00737AD0"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737AD0" w:rsidRPr="00C13D42" w:rsidRDefault="00737AD0" w:rsidP="00737AD0">
            <w:pPr>
              <w:widowControl/>
              <w:rPr>
                <w:rFonts w:ascii="Calibri" w:hAnsi="Calibri" w:cs="Calibri"/>
                <w:snapToGrid/>
                <w:color w:val="000000"/>
                <w:sz w:val="24"/>
                <w:szCs w:val="24"/>
              </w:rPr>
            </w:pPr>
            <w:r>
              <w:rPr>
                <w:rFonts w:ascii="Calibri" w:hAnsi="Calibri" w:cs="Calibri"/>
                <w:snapToGrid/>
                <w:color w:val="000000"/>
                <w:sz w:val="24"/>
                <w:szCs w:val="24"/>
              </w:rPr>
              <w:t>Maior remuneração paga aos empregados</w:t>
            </w:r>
          </w:p>
        </w:tc>
        <w:tc>
          <w:tcPr>
            <w:tcW w:w="1760" w:type="dxa"/>
            <w:tcBorders>
              <w:top w:val="nil"/>
              <w:left w:val="nil"/>
              <w:bottom w:val="single" w:sz="4" w:space="0" w:color="auto"/>
              <w:right w:val="nil"/>
            </w:tcBorders>
            <w:shd w:val="clear" w:color="auto" w:fill="auto"/>
            <w:noWrap/>
            <w:vAlign w:val="bottom"/>
          </w:tcPr>
          <w:p w:rsidR="00737AD0" w:rsidRPr="00C13D42" w:rsidRDefault="00180D19"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145.541,80</w:t>
            </w:r>
          </w:p>
        </w:tc>
        <w:tc>
          <w:tcPr>
            <w:tcW w:w="1760" w:type="dxa"/>
            <w:tcBorders>
              <w:top w:val="nil"/>
              <w:left w:val="nil"/>
              <w:bottom w:val="single" w:sz="4" w:space="0" w:color="auto"/>
              <w:right w:val="nil"/>
            </w:tcBorders>
            <w:shd w:val="clear" w:color="auto" w:fill="auto"/>
            <w:noWrap/>
            <w:vAlign w:val="bottom"/>
          </w:tcPr>
          <w:p w:rsidR="00737AD0" w:rsidRPr="00C13D42" w:rsidRDefault="00737AD0"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65.623,35</w:t>
            </w:r>
          </w:p>
        </w:tc>
      </w:tr>
      <w:tr w:rsidR="00737AD0"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737AD0" w:rsidRPr="00C13D42" w:rsidRDefault="00737AD0" w:rsidP="00737AD0">
            <w:pPr>
              <w:widowControl/>
              <w:rPr>
                <w:rFonts w:ascii="Calibri" w:hAnsi="Calibri" w:cs="Calibri"/>
                <w:snapToGrid/>
                <w:color w:val="000000"/>
                <w:sz w:val="24"/>
                <w:szCs w:val="24"/>
              </w:rPr>
            </w:pPr>
            <w:r>
              <w:rPr>
                <w:rFonts w:ascii="Calibri" w:hAnsi="Calibri" w:cs="Calibri"/>
                <w:snapToGrid/>
                <w:color w:val="000000"/>
                <w:sz w:val="24"/>
                <w:szCs w:val="24"/>
              </w:rPr>
              <w:t>Menor remuneração paga aos empregados</w:t>
            </w:r>
          </w:p>
        </w:tc>
        <w:tc>
          <w:tcPr>
            <w:tcW w:w="1760" w:type="dxa"/>
            <w:tcBorders>
              <w:top w:val="nil"/>
              <w:left w:val="nil"/>
              <w:bottom w:val="single" w:sz="4" w:space="0" w:color="auto"/>
              <w:right w:val="nil"/>
            </w:tcBorders>
            <w:shd w:val="clear" w:color="auto" w:fill="auto"/>
            <w:noWrap/>
            <w:vAlign w:val="bottom"/>
          </w:tcPr>
          <w:p w:rsidR="00737AD0" w:rsidRPr="00C13D42" w:rsidRDefault="00180D19"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1.325,54</w:t>
            </w:r>
          </w:p>
        </w:tc>
        <w:tc>
          <w:tcPr>
            <w:tcW w:w="1760" w:type="dxa"/>
            <w:tcBorders>
              <w:top w:val="nil"/>
              <w:left w:val="nil"/>
              <w:bottom w:val="single" w:sz="4" w:space="0" w:color="auto"/>
              <w:right w:val="nil"/>
            </w:tcBorders>
            <w:shd w:val="clear" w:color="auto" w:fill="auto"/>
            <w:noWrap/>
            <w:vAlign w:val="bottom"/>
          </w:tcPr>
          <w:p w:rsidR="00737AD0" w:rsidRPr="00C13D42" w:rsidRDefault="00737AD0"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1.502,28</w:t>
            </w:r>
          </w:p>
        </w:tc>
      </w:tr>
      <w:tr w:rsidR="00737AD0" w:rsidRPr="00C13D42" w:rsidTr="00857F3A">
        <w:trPr>
          <w:trHeight w:val="284"/>
          <w:jc w:val="center"/>
        </w:trPr>
        <w:tc>
          <w:tcPr>
            <w:tcW w:w="4535" w:type="dxa"/>
            <w:tcBorders>
              <w:top w:val="nil"/>
              <w:left w:val="nil"/>
              <w:bottom w:val="single" w:sz="4" w:space="0" w:color="auto"/>
              <w:right w:val="nil"/>
            </w:tcBorders>
            <w:shd w:val="clear" w:color="auto" w:fill="auto"/>
            <w:noWrap/>
            <w:vAlign w:val="bottom"/>
            <w:hideMark/>
          </w:tcPr>
          <w:p w:rsidR="00737AD0" w:rsidRPr="00C13D42" w:rsidRDefault="00737AD0" w:rsidP="00737AD0">
            <w:pPr>
              <w:widowControl/>
              <w:rPr>
                <w:rFonts w:ascii="Calibri" w:hAnsi="Calibri" w:cs="Calibri"/>
                <w:snapToGrid/>
                <w:color w:val="000000"/>
                <w:sz w:val="24"/>
                <w:szCs w:val="24"/>
              </w:rPr>
            </w:pPr>
            <w:r>
              <w:rPr>
                <w:rFonts w:ascii="Calibri" w:hAnsi="Calibri" w:cs="Calibri"/>
                <w:snapToGrid/>
                <w:color w:val="000000"/>
                <w:sz w:val="24"/>
                <w:szCs w:val="24"/>
              </w:rPr>
              <w:t>Remuneração média aos empregados</w:t>
            </w:r>
          </w:p>
        </w:tc>
        <w:tc>
          <w:tcPr>
            <w:tcW w:w="1760" w:type="dxa"/>
            <w:tcBorders>
              <w:top w:val="nil"/>
              <w:left w:val="nil"/>
              <w:bottom w:val="single" w:sz="4" w:space="0" w:color="auto"/>
              <w:right w:val="nil"/>
            </w:tcBorders>
            <w:shd w:val="clear" w:color="auto" w:fill="auto"/>
            <w:noWrap/>
            <w:vAlign w:val="bottom"/>
          </w:tcPr>
          <w:p w:rsidR="00737AD0" w:rsidRPr="00C13D42" w:rsidRDefault="00180D19"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12.350,46</w:t>
            </w:r>
          </w:p>
        </w:tc>
        <w:tc>
          <w:tcPr>
            <w:tcW w:w="1760" w:type="dxa"/>
            <w:tcBorders>
              <w:top w:val="nil"/>
              <w:left w:val="nil"/>
              <w:bottom w:val="single" w:sz="4" w:space="0" w:color="auto"/>
              <w:right w:val="nil"/>
            </w:tcBorders>
            <w:shd w:val="clear" w:color="auto" w:fill="auto"/>
            <w:noWrap/>
            <w:vAlign w:val="bottom"/>
          </w:tcPr>
          <w:p w:rsidR="00737AD0" w:rsidRPr="00C13D42" w:rsidRDefault="00737AD0" w:rsidP="00737AD0">
            <w:pPr>
              <w:widowControl/>
              <w:jc w:val="right"/>
              <w:rPr>
                <w:rFonts w:ascii="Calibri" w:hAnsi="Calibri" w:cs="Calibri"/>
                <w:snapToGrid/>
                <w:color w:val="000000"/>
                <w:sz w:val="24"/>
                <w:szCs w:val="24"/>
              </w:rPr>
            </w:pPr>
            <w:r>
              <w:rPr>
                <w:rFonts w:ascii="Calibri" w:hAnsi="Calibri" w:cs="Calibri"/>
                <w:snapToGrid/>
                <w:color w:val="000000"/>
                <w:sz w:val="24"/>
                <w:szCs w:val="24"/>
              </w:rPr>
              <w:t>11.659,87</w:t>
            </w:r>
          </w:p>
        </w:tc>
      </w:tr>
    </w:tbl>
    <w:p w:rsidR="00C13D42" w:rsidRDefault="00C13D42"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516C4E" w:rsidRDefault="00516C4E" w:rsidP="00C16DDB">
      <w:pPr>
        <w:ind w:left="1080" w:hanging="1080"/>
        <w:jc w:val="both"/>
        <w:rPr>
          <w:rFonts w:ascii="Calibri" w:hAnsi="Calibri" w:cs="Calibri"/>
          <w:b/>
          <w:sz w:val="24"/>
          <w:szCs w:val="24"/>
        </w:rPr>
      </w:pPr>
    </w:p>
    <w:p w:rsidR="00C16DDB" w:rsidRPr="00312424" w:rsidRDefault="00340FB0" w:rsidP="00C13D42">
      <w:pPr>
        <w:ind w:left="1080" w:hanging="1080"/>
        <w:jc w:val="both"/>
        <w:rPr>
          <w:rFonts w:ascii="Calibri" w:hAnsi="Calibri" w:cs="Calibri"/>
          <w:b/>
          <w:sz w:val="24"/>
          <w:szCs w:val="24"/>
        </w:rPr>
      </w:pPr>
      <w:r>
        <w:rPr>
          <w:rFonts w:ascii="Calibri" w:hAnsi="Calibri" w:cs="Calibri"/>
          <w:b/>
          <w:sz w:val="24"/>
          <w:szCs w:val="24"/>
        </w:rPr>
        <w:t>2</w:t>
      </w:r>
      <w:r w:rsidR="00C13D42">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APROVAÇÃO DAS DEMONSTRAÇÕES FINANCEIRAS</w:t>
      </w:r>
    </w:p>
    <w:p w:rsidR="00C16DDB" w:rsidRPr="00312424" w:rsidRDefault="00C16DDB" w:rsidP="00C16DDB">
      <w:pPr>
        <w:ind w:left="1080" w:hanging="1080"/>
        <w:jc w:val="both"/>
        <w:rPr>
          <w:rFonts w:ascii="Calibri" w:hAnsi="Calibri" w:cs="Calibri"/>
          <w:noProof/>
          <w:snapToGrid/>
          <w:sz w:val="24"/>
          <w:szCs w:val="24"/>
        </w:rPr>
      </w:pPr>
    </w:p>
    <w:p w:rsidR="005E6618" w:rsidRDefault="00C16DDB" w:rsidP="00C16DDB">
      <w:pPr>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59776" behindDoc="0" locked="0" layoutInCell="0" allowOverlap="1" wp14:anchorId="0FFCE441" wp14:editId="73CD4C21">
                <wp:simplePos x="0" y="0"/>
                <wp:positionH relativeFrom="column">
                  <wp:posOffset>167005</wp:posOffset>
                </wp:positionH>
                <wp:positionV relativeFrom="paragraph">
                  <wp:posOffset>753745</wp:posOffset>
                </wp:positionV>
                <wp:extent cx="1581785" cy="91440"/>
                <wp:effectExtent l="0" t="0" r="0" b="0"/>
                <wp:wrapNone/>
                <wp:docPr id="20"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180D19" w:rsidRPr="00E936EC" w:rsidRDefault="00180D19" w:rsidP="00C16DD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CE441"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D/rgIAAL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" o:allowincell="f" filled="f" stroked="f" strokeweight="3e-5mm">
                <v:textbox>
                  <w:txbxContent>
                    <w:p w:rsidR="00180D19" w:rsidRPr="00E936EC" w:rsidRDefault="00180D19" w:rsidP="00C16DDB">
                      <w:pPr>
                        <w:rPr>
                          <w:sz w:val="18"/>
                          <w:szCs w:val="18"/>
                        </w:rPr>
                      </w:pPr>
                    </w:p>
                  </w:txbxContent>
                </v:textbox>
              </v:shape>
            </w:pict>
          </mc:Fallback>
        </mc:AlternateContent>
      </w:r>
      <w:r w:rsidRPr="00312424">
        <w:rPr>
          <w:rFonts w:ascii="Calibri" w:hAnsi="Calibri" w:cs="Calibri"/>
          <w:noProof/>
          <w:snapToGrid/>
          <w:sz w:val="24"/>
          <w:szCs w:val="24"/>
        </w:rPr>
        <w:t xml:space="preserve">A autorização, pela Diretoria Executiva, para a conclusão da preparação destas demonstrações, ocorreu em </w:t>
      </w:r>
      <w:r w:rsidR="00737AD0">
        <w:rPr>
          <w:rFonts w:ascii="Calibri" w:hAnsi="Calibri" w:cs="Calibri"/>
          <w:noProof/>
          <w:snapToGrid/>
          <w:sz w:val="24"/>
          <w:szCs w:val="24"/>
        </w:rPr>
        <w:t>30</w:t>
      </w:r>
      <w:r w:rsidRPr="00312424">
        <w:rPr>
          <w:rFonts w:ascii="Calibri" w:hAnsi="Calibri" w:cs="Calibri"/>
          <w:noProof/>
          <w:snapToGrid/>
          <w:sz w:val="24"/>
          <w:szCs w:val="24"/>
        </w:rPr>
        <w:t xml:space="preserve"> de </w:t>
      </w:r>
      <w:r w:rsidR="00737AD0">
        <w:rPr>
          <w:rFonts w:ascii="Calibri" w:hAnsi="Calibri" w:cs="Calibri"/>
          <w:noProof/>
          <w:snapToGrid/>
          <w:sz w:val="24"/>
          <w:szCs w:val="24"/>
        </w:rPr>
        <w:t>maio</w:t>
      </w:r>
      <w:r w:rsidRPr="00312424">
        <w:rPr>
          <w:rFonts w:ascii="Calibri" w:hAnsi="Calibri" w:cs="Calibri"/>
          <w:noProof/>
          <w:snapToGrid/>
          <w:sz w:val="24"/>
          <w:szCs w:val="24"/>
        </w:rPr>
        <w:t xml:space="preserve"> de </w:t>
      </w:r>
      <w:r w:rsidR="00915925">
        <w:rPr>
          <w:rFonts w:ascii="Calibri" w:hAnsi="Calibri" w:cs="Calibri"/>
          <w:noProof/>
          <w:snapToGrid/>
          <w:sz w:val="24"/>
          <w:szCs w:val="24"/>
        </w:rPr>
        <w:t>2019</w:t>
      </w:r>
    </w:p>
    <w:p w:rsidR="00C16DDB" w:rsidRPr="00312424" w:rsidRDefault="00C16DDB" w:rsidP="00C16DDB">
      <w:pPr>
        <w:jc w:val="both"/>
        <w:rPr>
          <w:rFonts w:ascii="Calibri" w:hAnsi="Calibri" w:cs="Calibri"/>
          <w:noProof/>
          <w:snapToGrid/>
          <w:sz w:val="24"/>
          <w:szCs w:val="24"/>
        </w:rPr>
      </w:pPr>
    </w:p>
    <w:p w:rsidR="00C16DDB" w:rsidRDefault="00C16DDB" w:rsidP="00C16DDB">
      <w:pPr>
        <w:jc w:val="both"/>
        <w:rPr>
          <w:rFonts w:ascii="Calibri" w:hAnsi="Calibri" w:cs="Calibri"/>
          <w:noProof/>
          <w:snapToGrid/>
          <w:sz w:val="24"/>
          <w:szCs w:val="24"/>
        </w:rPr>
      </w:pPr>
    </w:p>
    <w:p w:rsidR="00F10FEB" w:rsidRDefault="00F10FEB" w:rsidP="00C16DDB">
      <w:pPr>
        <w:jc w:val="both"/>
        <w:rPr>
          <w:rFonts w:ascii="Calibri" w:hAnsi="Calibri" w:cs="Calibri"/>
          <w:noProof/>
          <w:snapToGrid/>
          <w:sz w:val="24"/>
          <w:szCs w:val="24"/>
        </w:rPr>
      </w:pPr>
    </w:p>
    <w:p w:rsidR="00B455BA" w:rsidRPr="00312424" w:rsidRDefault="00B455BA"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SHALON CHARLES S. GOMES</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FREDERICO RIBEIRO KLEIN</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014.363.387-27</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012.950.577-35</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C16DDB"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HELIO SZMAJSER</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Pr>
                <w:rFonts w:ascii="Calibri" w:hAnsi="Calibri" w:cs="Calibri"/>
                <w:sz w:val="24"/>
                <w:szCs w:val="24"/>
              </w:rPr>
              <w:t xml:space="preserve"> 110913/O-7</w:t>
            </w:r>
            <w:r w:rsidR="00C16DDB" w:rsidRPr="00312424">
              <w:rPr>
                <w:rFonts w:ascii="Calibri" w:hAnsi="Calibri" w:cs="Calibri"/>
                <w:sz w:val="24"/>
                <w:szCs w:val="24"/>
              </w:rPr>
              <w:t xml:space="preserve"> </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553.615.367-68</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8"/>
          <w:footerReference w:type="default" r:id="rId9"/>
          <w:headerReference w:type="first" r:id="rId10"/>
          <w:footerReference w:type="first" r:id="rId11"/>
          <w:pgSz w:w="11907" w:h="16840" w:code="9"/>
          <w:pgMar w:top="2268" w:right="851" w:bottom="680" w:left="1077" w:header="567" w:footer="454" w:gutter="0"/>
          <w:cols w:space="720"/>
          <w:docGrid w:linePitch="272"/>
        </w:sectPr>
      </w:pPr>
      <w:bookmarkStart w:id="0" w:name="_GoBack"/>
      <w:bookmarkEnd w:id="0"/>
    </w:p>
    <w:p w:rsidR="00BD6B08" w:rsidRPr="00137FAC" w:rsidRDefault="00137FAC" w:rsidP="00137FAC">
      <w:pPr>
        <w:tabs>
          <w:tab w:val="left" w:pos="4758"/>
        </w:tabs>
        <w:rPr>
          <w:rFonts w:ascii="Calibri" w:hAnsi="Calibri" w:cs="Calibri"/>
          <w:sz w:val="24"/>
          <w:szCs w:val="24"/>
        </w:rPr>
      </w:pPr>
      <w:r>
        <w:rPr>
          <w:rFonts w:ascii="Calibri" w:hAnsi="Calibri" w:cs="Calibri"/>
          <w:sz w:val="24"/>
          <w:szCs w:val="24"/>
        </w:rPr>
        <w:lastRenderedPageBreak/>
        <w:tab/>
      </w:r>
    </w:p>
    <w:sectPr w:rsidR="00BD6B08" w:rsidRPr="00137FAC" w:rsidSect="00462F47">
      <w:headerReference w:type="default" r:id="rId12"/>
      <w:footerReference w:type="default" r:id="rId13"/>
      <w:pgSz w:w="16840" w:h="11907" w:orient="landscape" w:code="9"/>
      <w:pgMar w:top="851" w:right="851" w:bottom="851" w:left="1361" w:header="30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7E" w:rsidRPr="00E936EC" w:rsidRDefault="0037677E">
      <w:pPr>
        <w:rPr>
          <w:sz w:val="18"/>
          <w:szCs w:val="18"/>
        </w:rPr>
      </w:pPr>
      <w:r w:rsidRPr="00E936EC">
        <w:rPr>
          <w:sz w:val="18"/>
          <w:szCs w:val="18"/>
        </w:rPr>
        <w:separator/>
      </w:r>
    </w:p>
  </w:endnote>
  <w:endnote w:type="continuationSeparator" w:id="0">
    <w:p w:rsidR="0037677E" w:rsidRPr="00E936EC" w:rsidRDefault="0037677E">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025AB9">
      <w:rPr>
        <w:noProof/>
        <w:sz w:val="18"/>
        <w:szCs w:val="18"/>
      </w:rPr>
      <w:t>20</w:t>
    </w:r>
    <w:r w:rsidRPr="00E936EC">
      <w:rPr>
        <w:sz w:val="18"/>
        <w:szCs w:val="18"/>
      </w:rPr>
      <w:fldChar w:fldCharType="end"/>
    </w:r>
  </w:p>
  <w:p w:rsidR="00180D19" w:rsidRPr="00E936EC" w:rsidRDefault="00180D19">
    <w:pPr>
      <w:pStyle w:val="Rodap"/>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180D19" w:rsidRDefault="00180D19">
    <w:pPr>
      <w:pStyle w:val="Rodap"/>
      <w:rPr>
        <w:rFonts w:ascii="Arial" w:hAnsi="Arial" w:cs="Arial"/>
        <w:b/>
        <w:sz w:val="16"/>
        <w:szCs w:val="16"/>
      </w:rPr>
    </w:pPr>
  </w:p>
  <w:p w:rsidR="00180D19" w:rsidRPr="00E936EC" w:rsidRDefault="00180D19"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025AB9">
      <w:rPr>
        <w:noProof/>
        <w:sz w:val="18"/>
        <w:szCs w:val="18"/>
      </w:rPr>
      <w:t>22</w:t>
    </w:r>
    <w:r w:rsidRPr="00E936EC">
      <w:rPr>
        <w:sz w:val="18"/>
        <w:szCs w:val="18"/>
      </w:rPr>
      <w:fldChar w:fldCharType="end"/>
    </w:r>
  </w:p>
  <w:p w:rsidR="00180D19" w:rsidRPr="00E936EC" w:rsidRDefault="00180D19">
    <w:pPr>
      <w:pStyle w:val="Rodap"/>
      <w:jc w:val="center"/>
      <w:rPr>
        <w:sz w:val="18"/>
        <w:szCs w:val="18"/>
      </w:rPr>
    </w:pPr>
  </w:p>
  <w:p w:rsidR="00180D19" w:rsidRPr="00E936EC" w:rsidRDefault="00180D19"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180D19" w:rsidRPr="00E936EC" w:rsidRDefault="00180D19" w:rsidP="00163699">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7E" w:rsidRPr="00E936EC" w:rsidRDefault="0037677E">
      <w:pPr>
        <w:rPr>
          <w:sz w:val="18"/>
          <w:szCs w:val="18"/>
        </w:rPr>
      </w:pPr>
      <w:r w:rsidRPr="00E936EC">
        <w:rPr>
          <w:sz w:val="18"/>
          <w:szCs w:val="18"/>
        </w:rPr>
        <w:separator/>
      </w:r>
    </w:p>
  </w:footnote>
  <w:footnote w:type="continuationSeparator" w:id="0">
    <w:p w:rsidR="0037677E" w:rsidRPr="00E936EC" w:rsidRDefault="0037677E">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D19" w:rsidRPr="00E936EC" w:rsidRDefault="00180D19">
    <w:pPr>
      <w:pStyle w:val="Cabealho"/>
      <w:rPr>
        <w:rFonts w:ascii="Arial" w:hAnsi="Arial"/>
        <w:sz w:val="19"/>
        <w:szCs w:val="19"/>
      </w:rPr>
    </w:pPr>
  </w:p>
  <w:p w:rsidR="00180D19" w:rsidRPr="00E936EC" w:rsidRDefault="00180D19">
    <w:pPr>
      <w:pStyle w:val="Cabealho"/>
      <w:rPr>
        <w:rFonts w:ascii="Arial" w:hAnsi="Arial"/>
        <w:sz w:val="19"/>
        <w:szCs w:val="19"/>
      </w:rPr>
    </w:pPr>
  </w:p>
  <w:p w:rsidR="00180D19" w:rsidRPr="00E936EC" w:rsidRDefault="00180D19">
    <w:pPr>
      <w:pStyle w:val="Cabealho"/>
      <w:rPr>
        <w:rFonts w:ascii="Arial" w:hAnsi="Arial"/>
        <w:sz w:val="19"/>
        <w:szCs w:val="19"/>
      </w:rPr>
    </w:pPr>
  </w:p>
  <w:p w:rsidR="00180D19" w:rsidRPr="00E936EC" w:rsidRDefault="00180D19">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9" w:rsidRPr="00E936EC" w:rsidRDefault="00180D19">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D19" w:rsidRPr="00E936EC" w:rsidRDefault="00180D19">
    <w:pPr>
      <w:pStyle w:val="Cabealho"/>
      <w:rPr>
        <w:rFonts w:ascii="Arial" w:hAnsi="Arial"/>
        <w:sz w:val="19"/>
        <w:szCs w:val="19"/>
      </w:rPr>
    </w:pPr>
  </w:p>
  <w:p w:rsidR="00180D19" w:rsidRPr="00E936EC" w:rsidRDefault="00180D19">
    <w:pPr>
      <w:pStyle w:val="Cabealho"/>
      <w:rPr>
        <w:rFonts w:ascii="Arial" w:hAnsi="Arial"/>
        <w:sz w:val="19"/>
        <w:szCs w:val="19"/>
      </w:rPr>
    </w:pPr>
  </w:p>
  <w:p w:rsidR="00180D19" w:rsidRPr="00E936EC" w:rsidRDefault="00180D19">
    <w:pPr>
      <w:pStyle w:val="Cabealho"/>
      <w:rPr>
        <w:rFonts w:ascii="Arial" w:hAnsi="Arial"/>
        <w:sz w:val="19"/>
        <w:szCs w:val="19"/>
      </w:rPr>
    </w:pPr>
  </w:p>
  <w:p w:rsidR="00180D19" w:rsidRPr="00E936EC" w:rsidRDefault="00180D19">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6" w15:restartNumberingAfterBreak="0">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num w:numId="1">
    <w:abstractNumId w:val="13"/>
    <w:lvlOverride w:ilvl="0">
      <w:startOverride w:val="1"/>
    </w:lvlOverride>
  </w:num>
  <w:num w:numId="2">
    <w:abstractNumId w:val="1"/>
  </w:num>
  <w:num w:numId="3">
    <w:abstractNumId w:val="5"/>
  </w:num>
  <w:num w:numId="4">
    <w:abstractNumId w:val="9"/>
  </w:num>
  <w:num w:numId="5">
    <w:abstractNumId w:val="10"/>
  </w:num>
  <w:num w:numId="6">
    <w:abstractNumId w:val="8"/>
  </w:num>
  <w:num w:numId="7">
    <w:abstractNumId w:val="4"/>
  </w:num>
  <w:num w:numId="8">
    <w:abstractNumId w:val="12"/>
  </w:num>
  <w:num w:numId="9">
    <w:abstractNumId w:val="6"/>
  </w:num>
  <w:num w:numId="10">
    <w:abstractNumId w:val="2"/>
  </w:num>
  <w:num w:numId="11">
    <w:abstractNumId w:val="1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52AE"/>
    <w:rsid w:val="000160DD"/>
    <w:rsid w:val="00021231"/>
    <w:rsid w:val="00021401"/>
    <w:rsid w:val="00021B9C"/>
    <w:rsid w:val="00021C1D"/>
    <w:rsid w:val="000223D7"/>
    <w:rsid w:val="00023EAB"/>
    <w:rsid w:val="00023FDC"/>
    <w:rsid w:val="00024192"/>
    <w:rsid w:val="00024B8B"/>
    <w:rsid w:val="00025AB9"/>
    <w:rsid w:val="00027435"/>
    <w:rsid w:val="00027744"/>
    <w:rsid w:val="00030FD3"/>
    <w:rsid w:val="00033EF0"/>
    <w:rsid w:val="00035920"/>
    <w:rsid w:val="0003782C"/>
    <w:rsid w:val="00040CF5"/>
    <w:rsid w:val="00040E4F"/>
    <w:rsid w:val="0004124E"/>
    <w:rsid w:val="000414F4"/>
    <w:rsid w:val="00043160"/>
    <w:rsid w:val="0004363C"/>
    <w:rsid w:val="00044057"/>
    <w:rsid w:val="000451F4"/>
    <w:rsid w:val="00045A90"/>
    <w:rsid w:val="0004656E"/>
    <w:rsid w:val="00046708"/>
    <w:rsid w:val="0005099F"/>
    <w:rsid w:val="00052952"/>
    <w:rsid w:val="00054247"/>
    <w:rsid w:val="00054375"/>
    <w:rsid w:val="00054DC6"/>
    <w:rsid w:val="000560AC"/>
    <w:rsid w:val="000571C8"/>
    <w:rsid w:val="000604CA"/>
    <w:rsid w:val="00060B4C"/>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4BE"/>
    <w:rsid w:val="000836A7"/>
    <w:rsid w:val="00083E7F"/>
    <w:rsid w:val="00085828"/>
    <w:rsid w:val="00086915"/>
    <w:rsid w:val="00087833"/>
    <w:rsid w:val="00090B73"/>
    <w:rsid w:val="00091005"/>
    <w:rsid w:val="00092085"/>
    <w:rsid w:val="00092591"/>
    <w:rsid w:val="00093B60"/>
    <w:rsid w:val="00094368"/>
    <w:rsid w:val="000943B2"/>
    <w:rsid w:val="00096CBC"/>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4A45"/>
    <w:rsid w:val="000E4DE3"/>
    <w:rsid w:val="000E502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CF3"/>
    <w:rsid w:val="00114BE0"/>
    <w:rsid w:val="00114C94"/>
    <w:rsid w:val="001159F8"/>
    <w:rsid w:val="001163F0"/>
    <w:rsid w:val="00116D7B"/>
    <w:rsid w:val="0012075E"/>
    <w:rsid w:val="00120A36"/>
    <w:rsid w:val="0012137D"/>
    <w:rsid w:val="001216CE"/>
    <w:rsid w:val="0012192C"/>
    <w:rsid w:val="0012221C"/>
    <w:rsid w:val="00122C06"/>
    <w:rsid w:val="00124C08"/>
    <w:rsid w:val="001279DF"/>
    <w:rsid w:val="00130C9E"/>
    <w:rsid w:val="0013153B"/>
    <w:rsid w:val="001328F7"/>
    <w:rsid w:val="00132D5C"/>
    <w:rsid w:val="00133904"/>
    <w:rsid w:val="00134247"/>
    <w:rsid w:val="001342A9"/>
    <w:rsid w:val="00135172"/>
    <w:rsid w:val="00137EDD"/>
    <w:rsid w:val="00137FAC"/>
    <w:rsid w:val="00141022"/>
    <w:rsid w:val="0014189A"/>
    <w:rsid w:val="001429C0"/>
    <w:rsid w:val="00143EB6"/>
    <w:rsid w:val="00147707"/>
    <w:rsid w:val="001501FC"/>
    <w:rsid w:val="001508BC"/>
    <w:rsid w:val="0015090B"/>
    <w:rsid w:val="00150E62"/>
    <w:rsid w:val="00151481"/>
    <w:rsid w:val="00153B01"/>
    <w:rsid w:val="00157F19"/>
    <w:rsid w:val="00161F48"/>
    <w:rsid w:val="001621DD"/>
    <w:rsid w:val="00162C45"/>
    <w:rsid w:val="00163699"/>
    <w:rsid w:val="001637D8"/>
    <w:rsid w:val="001644A6"/>
    <w:rsid w:val="00165346"/>
    <w:rsid w:val="0016555C"/>
    <w:rsid w:val="001656CB"/>
    <w:rsid w:val="0016723F"/>
    <w:rsid w:val="00167D52"/>
    <w:rsid w:val="00167DF4"/>
    <w:rsid w:val="0017083A"/>
    <w:rsid w:val="00170E50"/>
    <w:rsid w:val="00171E12"/>
    <w:rsid w:val="00173E77"/>
    <w:rsid w:val="00174345"/>
    <w:rsid w:val="00176839"/>
    <w:rsid w:val="00176CAD"/>
    <w:rsid w:val="00177B3F"/>
    <w:rsid w:val="00177EA3"/>
    <w:rsid w:val="001807AC"/>
    <w:rsid w:val="00180D19"/>
    <w:rsid w:val="00181D77"/>
    <w:rsid w:val="00183137"/>
    <w:rsid w:val="0018356D"/>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D10"/>
    <w:rsid w:val="001C2378"/>
    <w:rsid w:val="001C2BAF"/>
    <w:rsid w:val="001C3830"/>
    <w:rsid w:val="001C3A13"/>
    <w:rsid w:val="001C425C"/>
    <w:rsid w:val="001C59B4"/>
    <w:rsid w:val="001C60A0"/>
    <w:rsid w:val="001D1288"/>
    <w:rsid w:val="001D168D"/>
    <w:rsid w:val="001D17C2"/>
    <w:rsid w:val="001D29C6"/>
    <w:rsid w:val="001D37D4"/>
    <w:rsid w:val="001D3B68"/>
    <w:rsid w:val="001D4EEF"/>
    <w:rsid w:val="001D56E0"/>
    <w:rsid w:val="001D5CF9"/>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501"/>
    <w:rsid w:val="0021680F"/>
    <w:rsid w:val="00217A0E"/>
    <w:rsid w:val="00220E93"/>
    <w:rsid w:val="00221B1F"/>
    <w:rsid w:val="00221E9F"/>
    <w:rsid w:val="0022330E"/>
    <w:rsid w:val="0022426B"/>
    <w:rsid w:val="0023080F"/>
    <w:rsid w:val="00235155"/>
    <w:rsid w:val="002355FE"/>
    <w:rsid w:val="00235C4E"/>
    <w:rsid w:val="00235DA2"/>
    <w:rsid w:val="0023787B"/>
    <w:rsid w:val="002404CE"/>
    <w:rsid w:val="0024122B"/>
    <w:rsid w:val="00242A29"/>
    <w:rsid w:val="002438DD"/>
    <w:rsid w:val="00243CC3"/>
    <w:rsid w:val="00244936"/>
    <w:rsid w:val="00246180"/>
    <w:rsid w:val="00250513"/>
    <w:rsid w:val="0025154A"/>
    <w:rsid w:val="002516A3"/>
    <w:rsid w:val="0025420F"/>
    <w:rsid w:val="002546CA"/>
    <w:rsid w:val="0025482B"/>
    <w:rsid w:val="00255A54"/>
    <w:rsid w:val="00255F2E"/>
    <w:rsid w:val="002561F2"/>
    <w:rsid w:val="00256A74"/>
    <w:rsid w:val="00256C07"/>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3B1F"/>
    <w:rsid w:val="002845F9"/>
    <w:rsid w:val="002856C3"/>
    <w:rsid w:val="002859C2"/>
    <w:rsid w:val="00287F80"/>
    <w:rsid w:val="00292AD0"/>
    <w:rsid w:val="00293011"/>
    <w:rsid w:val="00293B13"/>
    <w:rsid w:val="00294B8B"/>
    <w:rsid w:val="00294F88"/>
    <w:rsid w:val="002955AD"/>
    <w:rsid w:val="00295658"/>
    <w:rsid w:val="00295ABC"/>
    <w:rsid w:val="00296CF1"/>
    <w:rsid w:val="002A2E73"/>
    <w:rsid w:val="002A37B0"/>
    <w:rsid w:val="002A3D92"/>
    <w:rsid w:val="002A47F5"/>
    <w:rsid w:val="002A53C1"/>
    <w:rsid w:val="002A61D0"/>
    <w:rsid w:val="002B0424"/>
    <w:rsid w:val="002B1438"/>
    <w:rsid w:val="002B5772"/>
    <w:rsid w:val="002B60C7"/>
    <w:rsid w:val="002B731E"/>
    <w:rsid w:val="002C0682"/>
    <w:rsid w:val="002C1032"/>
    <w:rsid w:val="002C1723"/>
    <w:rsid w:val="002C4086"/>
    <w:rsid w:val="002C6A9F"/>
    <w:rsid w:val="002C7C79"/>
    <w:rsid w:val="002D08C2"/>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7F45"/>
    <w:rsid w:val="0030182C"/>
    <w:rsid w:val="003018DF"/>
    <w:rsid w:val="00302089"/>
    <w:rsid w:val="00304547"/>
    <w:rsid w:val="003065CE"/>
    <w:rsid w:val="00307913"/>
    <w:rsid w:val="00311151"/>
    <w:rsid w:val="0031166B"/>
    <w:rsid w:val="00312424"/>
    <w:rsid w:val="00312775"/>
    <w:rsid w:val="00317564"/>
    <w:rsid w:val="00317DFC"/>
    <w:rsid w:val="0032118C"/>
    <w:rsid w:val="00321A0E"/>
    <w:rsid w:val="003221D1"/>
    <w:rsid w:val="003227E9"/>
    <w:rsid w:val="0032581B"/>
    <w:rsid w:val="00326800"/>
    <w:rsid w:val="00326BF8"/>
    <w:rsid w:val="00327EB2"/>
    <w:rsid w:val="00331ECC"/>
    <w:rsid w:val="003332AA"/>
    <w:rsid w:val="0033356E"/>
    <w:rsid w:val="003357DF"/>
    <w:rsid w:val="00335B02"/>
    <w:rsid w:val="0033670E"/>
    <w:rsid w:val="003372B3"/>
    <w:rsid w:val="00337DE3"/>
    <w:rsid w:val="00340F54"/>
    <w:rsid w:val="00340FB0"/>
    <w:rsid w:val="00341052"/>
    <w:rsid w:val="0034224C"/>
    <w:rsid w:val="00342EDC"/>
    <w:rsid w:val="00344319"/>
    <w:rsid w:val="0034468D"/>
    <w:rsid w:val="0034579F"/>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768"/>
    <w:rsid w:val="0036376B"/>
    <w:rsid w:val="00364E21"/>
    <w:rsid w:val="003650E4"/>
    <w:rsid w:val="00365294"/>
    <w:rsid w:val="00365A1B"/>
    <w:rsid w:val="00365EE9"/>
    <w:rsid w:val="00367B07"/>
    <w:rsid w:val="00367C49"/>
    <w:rsid w:val="00367CE1"/>
    <w:rsid w:val="00367DA7"/>
    <w:rsid w:val="00370873"/>
    <w:rsid w:val="0037127A"/>
    <w:rsid w:val="003712D8"/>
    <w:rsid w:val="00371731"/>
    <w:rsid w:val="003736A2"/>
    <w:rsid w:val="00373F8D"/>
    <w:rsid w:val="0037439B"/>
    <w:rsid w:val="003746DB"/>
    <w:rsid w:val="00375BE2"/>
    <w:rsid w:val="0037677E"/>
    <w:rsid w:val="003803D3"/>
    <w:rsid w:val="003807F8"/>
    <w:rsid w:val="0038109E"/>
    <w:rsid w:val="0038300E"/>
    <w:rsid w:val="00383B51"/>
    <w:rsid w:val="0038774F"/>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F3A"/>
    <w:rsid w:val="003B62C6"/>
    <w:rsid w:val="003C05B0"/>
    <w:rsid w:val="003C0DE4"/>
    <w:rsid w:val="003C1696"/>
    <w:rsid w:val="003C1C8F"/>
    <w:rsid w:val="003C2920"/>
    <w:rsid w:val="003C6E53"/>
    <w:rsid w:val="003D07B8"/>
    <w:rsid w:val="003D09D7"/>
    <w:rsid w:val="003D152C"/>
    <w:rsid w:val="003D3B10"/>
    <w:rsid w:val="003D48A8"/>
    <w:rsid w:val="003D6D4B"/>
    <w:rsid w:val="003D77DC"/>
    <w:rsid w:val="003D7E34"/>
    <w:rsid w:val="003E0AFC"/>
    <w:rsid w:val="003E1749"/>
    <w:rsid w:val="003E2EA5"/>
    <w:rsid w:val="003E3623"/>
    <w:rsid w:val="003E3C1A"/>
    <w:rsid w:val="003E4759"/>
    <w:rsid w:val="003E5C04"/>
    <w:rsid w:val="003E61E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393"/>
    <w:rsid w:val="00415601"/>
    <w:rsid w:val="00420452"/>
    <w:rsid w:val="00420636"/>
    <w:rsid w:val="00425082"/>
    <w:rsid w:val="004256D3"/>
    <w:rsid w:val="00425E9F"/>
    <w:rsid w:val="00427607"/>
    <w:rsid w:val="00427FE0"/>
    <w:rsid w:val="004305F8"/>
    <w:rsid w:val="00434F8F"/>
    <w:rsid w:val="00435407"/>
    <w:rsid w:val="00435781"/>
    <w:rsid w:val="00437B57"/>
    <w:rsid w:val="00441305"/>
    <w:rsid w:val="00441B8C"/>
    <w:rsid w:val="00441D49"/>
    <w:rsid w:val="00442207"/>
    <w:rsid w:val="00444A58"/>
    <w:rsid w:val="00446AE6"/>
    <w:rsid w:val="00446E8C"/>
    <w:rsid w:val="004510EC"/>
    <w:rsid w:val="004531D9"/>
    <w:rsid w:val="00456CEA"/>
    <w:rsid w:val="004601AE"/>
    <w:rsid w:val="0046208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ED0"/>
    <w:rsid w:val="004B002F"/>
    <w:rsid w:val="004B0033"/>
    <w:rsid w:val="004B2D15"/>
    <w:rsid w:val="004B3290"/>
    <w:rsid w:val="004B5133"/>
    <w:rsid w:val="004B5506"/>
    <w:rsid w:val="004B6F23"/>
    <w:rsid w:val="004B7AFD"/>
    <w:rsid w:val="004B7D05"/>
    <w:rsid w:val="004C0EAF"/>
    <w:rsid w:val="004C22E2"/>
    <w:rsid w:val="004C25CB"/>
    <w:rsid w:val="004C28D7"/>
    <w:rsid w:val="004C3224"/>
    <w:rsid w:val="004C4CFA"/>
    <w:rsid w:val="004C63C2"/>
    <w:rsid w:val="004D01CB"/>
    <w:rsid w:val="004D0560"/>
    <w:rsid w:val="004D1FD7"/>
    <w:rsid w:val="004D2CAA"/>
    <w:rsid w:val="004D345E"/>
    <w:rsid w:val="004D4326"/>
    <w:rsid w:val="004D4FE8"/>
    <w:rsid w:val="004D67FA"/>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3828"/>
    <w:rsid w:val="004F59C7"/>
    <w:rsid w:val="004F7079"/>
    <w:rsid w:val="004F72D6"/>
    <w:rsid w:val="004F7E91"/>
    <w:rsid w:val="00500CAE"/>
    <w:rsid w:val="005013B7"/>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60C6"/>
    <w:rsid w:val="00516AF9"/>
    <w:rsid w:val="00516C4E"/>
    <w:rsid w:val="0051761B"/>
    <w:rsid w:val="0052177F"/>
    <w:rsid w:val="005223EF"/>
    <w:rsid w:val="00524DF4"/>
    <w:rsid w:val="00526197"/>
    <w:rsid w:val="0053269E"/>
    <w:rsid w:val="00534944"/>
    <w:rsid w:val="00534E4A"/>
    <w:rsid w:val="00535616"/>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3320"/>
    <w:rsid w:val="00563A0B"/>
    <w:rsid w:val="00563D62"/>
    <w:rsid w:val="00564384"/>
    <w:rsid w:val="00564977"/>
    <w:rsid w:val="00564A35"/>
    <w:rsid w:val="005676AB"/>
    <w:rsid w:val="00567732"/>
    <w:rsid w:val="00567A02"/>
    <w:rsid w:val="00567D74"/>
    <w:rsid w:val="0057180A"/>
    <w:rsid w:val="00573368"/>
    <w:rsid w:val="005744DC"/>
    <w:rsid w:val="00574726"/>
    <w:rsid w:val="00575523"/>
    <w:rsid w:val="00575996"/>
    <w:rsid w:val="00576CF0"/>
    <w:rsid w:val="00577EEC"/>
    <w:rsid w:val="00583390"/>
    <w:rsid w:val="005833FD"/>
    <w:rsid w:val="005837EA"/>
    <w:rsid w:val="00583C95"/>
    <w:rsid w:val="0058459E"/>
    <w:rsid w:val="00585157"/>
    <w:rsid w:val="00586B50"/>
    <w:rsid w:val="00586D05"/>
    <w:rsid w:val="00590CA3"/>
    <w:rsid w:val="005932ED"/>
    <w:rsid w:val="005939C3"/>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42D9"/>
    <w:rsid w:val="005C4B73"/>
    <w:rsid w:val="005C4F27"/>
    <w:rsid w:val="005C5218"/>
    <w:rsid w:val="005C698A"/>
    <w:rsid w:val="005D0433"/>
    <w:rsid w:val="005D314D"/>
    <w:rsid w:val="005D35C3"/>
    <w:rsid w:val="005D3AC2"/>
    <w:rsid w:val="005D5067"/>
    <w:rsid w:val="005D521D"/>
    <w:rsid w:val="005D74D7"/>
    <w:rsid w:val="005D7633"/>
    <w:rsid w:val="005D781B"/>
    <w:rsid w:val="005D7DDB"/>
    <w:rsid w:val="005E167A"/>
    <w:rsid w:val="005E286C"/>
    <w:rsid w:val="005E2A84"/>
    <w:rsid w:val="005E51B7"/>
    <w:rsid w:val="005E5BF4"/>
    <w:rsid w:val="005E5C98"/>
    <w:rsid w:val="005E6618"/>
    <w:rsid w:val="005F29E3"/>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400FD"/>
    <w:rsid w:val="00640189"/>
    <w:rsid w:val="00640942"/>
    <w:rsid w:val="006418AA"/>
    <w:rsid w:val="00641A75"/>
    <w:rsid w:val="0064310C"/>
    <w:rsid w:val="00643FA2"/>
    <w:rsid w:val="0064407D"/>
    <w:rsid w:val="00647EF2"/>
    <w:rsid w:val="00651813"/>
    <w:rsid w:val="00651B50"/>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9B2"/>
    <w:rsid w:val="006845B1"/>
    <w:rsid w:val="00685596"/>
    <w:rsid w:val="006857E5"/>
    <w:rsid w:val="00685802"/>
    <w:rsid w:val="00686579"/>
    <w:rsid w:val="006869CC"/>
    <w:rsid w:val="00686F41"/>
    <w:rsid w:val="00687C53"/>
    <w:rsid w:val="006905FD"/>
    <w:rsid w:val="00690A7A"/>
    <w:rsid w:val="0069138C"/>
    <w:rsid w:val="006925FA"/>
    <w:rsid w:val="0069287B"/>
    <w:rsid w:val="00696A1A"/>
    <w:rsid w:val="00696B43"/>
    <w:rsid w:val="00696DD3"/>
    <w:rsid w:val="0069730B"/>
    <w:rsid w:val="006976B5"/>
    <w:rsid w:val="00697F53"/>
    <w:rsid w:val="006A5861"/>
    <w:rsid w:val="006A5D44"/>
    <w:rsid w:val="006A61EE"/>
    <w:rsid w:val="006A668C"/>
    <w:rsid w:val="006A6B23"/>
    <w:rsid w:val="006B0C3A"/>
    <w:rsid w:val="006B0D80"/>
    <w:rsid w:val="006B27D7"/>
    <w:rsid w:val="006B3016"/>
    <w:rsid w:val="006B3B01"/>
    <w:rsid w:val="006B4081"/>
    <w:rsid w:val="006B443D"/>
    <w:rsid w:val="006B50A9"/>
    <w:rsid w:val="006B54CA"/>
    <w:rsid w:val="006B58D1"/>
    <w:rsid w:val="006B6AF7"/>
    <w:rsid w:val="006B6ECD"/>
    <w:rsid w:val="006B7E34"/>
    <w:rsid w:val="006C0A6A"/>
    <w:rsid w:val="006C1B77"/>
    <w:rsid w:val="006C2D63"/>
    <w:rsid w:val="006C531E"/>
    <w:rsid w:val="006C5728"/>
    <w:rsid w:val="006C5799"/>
    <w:rsid w:val="006C5ABF"/>
    <w:rsid w:val="006C5E25"/>
    <w:rsid w:val="006C6486"/>
    <w:rsid w:val="006C671D"/>
    <w:rsid w:val="006C6E08"/>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7003D9"/>
    <w:rsid w:val="00700950"/>
    <w:rsid w:val="00700E31"/>
    <w:rsid w:val="0070227A"/>
    <w:rsid w:val="007023BC"/>
    <w:rsid w:val="00702FC2"/>
    <w:rsid w:val="00703318"/>
    <w:rsid w:val="00704068"/>
    <w:rsid w:val="00704136"/>
    <w:rsid w:val="00705D03"/>
    <w:rsid w:val="00710481"/>
    <w:rsid w:val="00710593"/>
    <w:rsid w:val="00710D94"/>
    <w:rsid w:val="00713391"/>
    <w:rsid w:val="007145FE"/>
    <w:rsid w:val="0071680B"/>
    <w:rsid w:val="00717238"/>
    <w:rsid w:val="0072031D"/>
    <w:rsid w:val="00720DD5"/>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AD0"/>
    <w:rsid w:val="0074031D"/>
    <w:rsid w:val="00741062"/>
    <w:rsid w:val="00741B06"/>
    <w:rsid w:val="00743DDD"/>
    <w:rsid w:val="00743FE6"/>
    <w:rsid w:val="00744B7F"/>
    <w:rsid w:val="007476C9"/>
    <w:rsid w:val="007521AB"/>
    <w:rsid w:val="0075407C"/>
    <w:rsid w:val="00754168"/>
    <w:rsid w:val="0075527C"/>
    <w:rsid w:val="00757367"/>
    <w:rsid w:val="00757438"/>
    <w:rsid w:val="007608BF"/>
    <w:rsid w:val="007631F1"/>
    <w:rsid w:val="00766B12"/>
    <w:rsid w:val="007670FF"/>
    <w:rsid w:val="007679A6"/>
    <w:rsid w:val="007703FF"/>
    <w:rsid w:val="00774088"/>
    <w:rsid w:val="00774BBF"/>
    <w:rsid w:val="00775C7F"/>
    <w:rsid w:val="00775DDF"/>
    <w:rsid w:val="007770E0"/>
    <w:rsid w:val="00777221"/>
    <w:rsid w:val="0078155C"/>
    <w:rsid w:val="00782183"/>
    <w:rsid w:val="007828F2"/>
    <w:rsid w:val="00783E9B"/>
    <w:rsid w:val="00785B6B"/>
    <w:rsid w:val="00787BC5"/>
    <w:rsid w:val="00790312"/>
    <w:rsid w:val="00790525"/>
    <w:rsid w:val="00790F34"/>
    <w:rsid w:val="007914A9"/>
    <w:rsid w:val="00791F5C"/>
    <w:rsid w:val="00792658"/>
    <w:rsid w:val="00793DEC"/>
    <w:rsid w:val="0079527E"/>
    <w:rsid w:val="007A1C43"/>
    <w:rsid w:val="007A2555"/>
    <w:rsid w:val="007A2A51"/>
    <w:rsid w:val="007A2F44"/>
    <w:rsid w:val="007A3134"/>
    <w:rsid w:val="007A4CBC"/>
    <w:rsid w:val="007A4CDF"/>
    <w:rsid w:val="007A55FE"/>
    <w:rsid w:val="007A674E"/>
    <w:rsid w:val="007A6C35"/>
    <w:rsid w:val="007B2D98"/>
    <w:rsid w:val="007B2EF6"/>
    <w:rsid w:val="007B3315"/>
    <w:rsid w:val="007B395B"/>
    <w:rsid w:val="007B3EDF"/>
    <w:rsid w:val="007B4459"/>
    <w:rsid w:val="007B4CD2"/>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6DA"/>
    <w:rsid w:val="00817D3B"/>
    <w:rsid w:val="00821799"/>
    <w:rsid w:val="00825C1A"/>
    <w:rsid w:val="00830A38"/>
    <w:rsid w:val="00831853"/>
    <w:rsid w:val="008337B1"/>
    <w:rsid w:val="00833E02"/>
    <w:rsid w:val="00837D72"/>
    <w:rsid w:val="008400E8"/>
    <w:rsid w:val="00842A01"/>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FC8"/>
    <w:rsid w:val="00860FE1"/>
    <w:rsid w:val="00861B8E"/>
    <w:rsid w:val="00862690"/>
    <w:rsid w:val="00863488"/>
    <w:rsid w:val="00865C86"/>
    <w:rsid w:val="0086652A"/>
    <w:rsid w:val="008665E1"/>
    <w:rsid w:val="008671A5"/>
    <w:rsid w:val="0087047A"/>
    <w:rsid w:val="008704BE"/>
    <w:rsid w:val="008706A4"/>
    <w:rsid w:val="008711A6"/>
    <w:rsid w:val="00871289"/>
    <w:rsid w:val="00872084"/>
    <w:rsid w:val="0087221B"/>
    <w:rsid w:val="00873145"/>
    <w:rsid w:val="00873568"/>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526B"/>
    <w:rsid w:val="008A5749"/>
    <w:rsid w:val="008A6042"/>
    <w:rsid w:val="008A63E3"/>
    <w:rsid w:val="008B0157"/>
    <w:rsid w:val="008B099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5E41"/>
    <w:rsid w:val="008E68B8"/>
    <w:rsid w:val="008F2387"/>
    <w:rsid w:val="008F271F"/>
    <w:rsid w:val="008F3D51"/>
    <w:rsid w:val="008F5A27"/>
    <w:rsid w:val="008F6223"/>
    <w:rsid w:val="008F6488"/>
    <w:rsid w:val="00903551"/>
    <w:rsid w:val="0090556E"/>
    <w:rsid w:val="0090635C"/>
    <w:rsid w:val="00906ACE"/>
    <w:rsid w:val="00907236"/>
    <w:rsid w:val="00910CB9"/>
    <w:rsid w:val="00911879"/>
    <w:rsid w:val="00912271"/>
    <w:rsid w:val="0091238D"/>
    <w:rsid w:val="00912B6F"/>
    <w:rsid w:val="00913956"/>
    <w:rsid w:val="009146D1"/>
    <w:rsid w:val="00915925"/>
    <w:rsid w:val="00915A54"/>
    <w:rsid w:val="00916458"/>
    <w:rsid w:val="00916C04"/>
    <w:rsid w:val="009175E1"/>
    <w:rsid w:val="00920A35"/>
    <w:rsid w:val="00921985"/>
    <w:rsid w:val="0092231A"/>
    <w:rsid w:val="00922E36"/>
    <w:rsid w:val="00923A24"/>
    <w:rsid w:val="00924DD7"/>
    <w:rsid w:val="009253E0"/>
    <w:rsid w:val="00925505"/>
    <w:rsid w:val="0092628D"/>
    <w:rsid w:val="0092636C"/>
    <w:rsid w:val="00926F6B"/>
    <w:rsid w:val="009273FC"/>
    <w:rsid w:val="00930680"/>
    <w:rsid w:val="00932880"/>
    <w:rsid w:val="009350EC"/>
    <w:rsid w:val="00935A8C"/>
    <w:rsid w:val="00935C33"/>
    <w:rsid w:val="009366B2"/>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EFD"/>
    <w:rsid w:val="00953A74"/>
    <w:rsid w:val="00954961"/>
    <w:rsid w:val="00955480"/>
    <w:rsid w:val="00955825"/>
    <w:rsid w:val="00955BF4"/>
    <w:rsid w:val="009569B5"/>
    <w:rsid w:val="00956AC9"/>
    <w:rsid w:val="00956FF4"/>
    <w:rsid w:val="0096089C"/>
    <w:rsid w:val="00961A86"/>
    <w:rsid w:val="00961DB1"/>
    <w:rsid w:val="009640EE"/>
    <w:rsid w:val="00964784"/>
    <w:rsid w:val="00966241"/>
    <w:rsid w:val="00967845"/>
    <w:rsid w:val="009703B0"/>
    <w:rsid w:val="00970997"/>
    <w:rsid w:val="009709BD"/>
    <w:rsid w:val="00971C4E"/>
    <w:rsid w:val="009744AF"/>
    <w:rsid w:val="00974D32"/>
    <w:rsid w:val="00976EDE"/>
    <w:rsid w:val="00976F74"/>
    <w:rsid w:val="00980AA7"/>
    <w:rsid w:val="00980CA7"/>
    <w:rsid w:val="00982EF7"/>
    <w:rsid w:val="0098341F"/>
    <w:rsid w:val="00983F27"/>
    <w:rsid w:val="009844BD"/>
    <w:rsid w:val="00984951"/>
    <w:rsid w:val="00985D9D"/>
    <w:rsid w:val="009868C8"/>
    <w:rsid w:val="00987332"/>
    <w:rsid w:val="0098767B"/>
    <w:rsid w:val="009876D1"/>
    <w:rsid w:val="009902A7"/>
    <w:rsid w:val="00990A5E"/>
    <w:rsid w:val="00990CE0"/>
    <w:rsid w:val="009913C7"/>
    <w:rsid w:val="00994937"/>
    <w:rsid w:val="009949A2"/>
    <w:rsid w:val="00995559"/>
    <w:rsid w:val="0099685A"/>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7D5B"/>
    <w:rsid w:val="00A10DC2"/>
    <w:rsid w:val="00A12AEE"/>
    <w:rsid w:val="00A1367F"/>
    <w:rsid w:val="00A1519E"/>
    <w:rsid w:val="00A204DD"/>
    <w:rsid w:val="00A2099E"/>
    <w:rsid w:val="00A20DDA"/>
    <w:rsid w:val="00A2138A"/>
    <w:rsid w:val="00A24FDD"/>
    <w:rsid w:val="00A253E9"/>
    <w:rsid w:val="00A30D09"/>
    <w:rsid w:val="00A32154"/>
    <w:rsid w:val="00A326FE"/>
    <w:rsid w:val="00A32ED9"/>
    <w:rsid w:val="00A33CD5"/>
    <w:rsid w:val="00A34329"/>
    <w:rsid w:val="00A347A8"/>
    <w:rsid w:val="00A35B0D"/>
    <w:rsid w:val="00A35C45"/>
    <w:rsid w:val="00A35FB7"/>
    <w:rsid w:val="00A40572"/>
    <w:rsid w:val="00A42178"/>
    <w:rsid w:val="00A43948"/>
    <w:rsid w:val="00A44967"/>
    <w:rsid w:val="00A46586"/>
    <w:rsid w:val="00A46678"/>
    <w:rsid w:val="00A46B46"/>
    <w:rsid w:val="00A47D98"/>
    <w:rsid w:val="00A47FC5"/>
    <w:rsid w:val="00A517BF"/>
    <w:rsid w:val="00A531E7"/>
    <w:rsid w:val="00A53971"/>
    <w:rsid w:val="00A54B04"/>
    <w:rsid w:val="00A55349"/>
    <w:rsid w:val="00A55D04"/>
    <w:rsid w:val="00A5650F"/>
    <w:rsid w:val="00A579BF"/>
    <w:rsid w:val="00A60E43"/>
    <w:rsid w:val="00A637D2"/>
    <w:rsid w:val="00A662AB"/>
    <w:rsid w:val="00A665FD"/>
    <w:rsid w:val="00A66C1A"/>
    <w:rsid w:val="00A673A1"/>
    <w:rsid w:val="00A67D9F"/>
    <w:rsid w:val="00A70E5A"/>
    <w:rsid w:val="00A70F00"/>
    <w:rsid w:val="00A714C4"/>
    <w:rsid w:val="00A724CB"/>
    <w:rsid w:val="00A73183"/>
    <w:rsid w:val="00A74E22"/>
    <w:rsid w:val="00A75509"/>
    <w:rsid w:val="00A75599"/>
    <w:rsid w:val="00A757B7"/>
    <w:rsid w:val="00A77CB9"/>
    <w:rsid w:val="00A77D3D"/>
    <w:rsid w:val="00A80F3E"/>
    <w:rsid w:val="00A82534"/>
    <w:rsid w:val="00A855A5"/>
    <w:rsid w:val="00A856F7"/>
    <w:rsid w:val="00A858FD"/>
    <w:rsid w:val="00A8632C"/>
    <w:rsid w:val="00A8661A"/>
    <w:rsid w:val="00A86AF1"/>
    <w:rsid w:val="00A86B71"/>
    <w:rsid w:val="00A913FC"/>
    <w:rsid w:val="00A91DB3"/>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7D11"/>
    <w:rsid w:val="00AD0D4D"/>
    <w:rsid w:val="00AD19BB"/>
    <w:rsid w:val="00AD2BC9"/>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D66"/>
    <w:rsid w:val="00B331C9"/>
    <w:rsid w:val="00B333F1"/>
    <w:rsid w:val="00B33E84"/>
    <w:rsid w:val="00B350A8"/>
    <w:rsid w:val="00B40168"/>
    <w:rsid w:val="00B40DC9"/>
    <w:rsid w:val="00B420F0"/>
    <w:rsid w:val="00B43E72"/>
    <w:rsid w:val="00B444EA"/>
    <w:rsid w:val="00B446FE"/>
    <w:rsid w:val="00B4501B"/>
    <w:rsid w:val="00B455BA"/>
    <w:rsid w:val="00B45BE5"/>
    <w:rsid w:val="00B45DB8"/>
    <w:rsid w:val="00B4688C"/>
    <w:rsid w:val="00B50020"/>
    <w:rsid w:val="00B50975"/>
    <w:rsid w:val="00B51C06"/>
    <w:rsid w:val="00B51D21"/>
    <w:rsid w:val="00B547FE"/>
    <w:rsid w:val="00B567D8"/>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B09"/>
    <w:rsid w:val="00B87E4A"/>
    <w:rsid w:val="00B87F6D"/>
    <w:rsid w:val="00B902E3"/>
    <w:rsid w:val="00B92EA3"/>
    <w:rsid w:val="00B93985"/>
    <w:rsid w:val="00B94F2D"/>
    <w:rsid w:val="00B95427"/>
    <w:rsid w:val="00B969EF"/>
    <w:rsid w:val="00B97ADB"/>
    <w:rsid w:val="00BA008E"/>
    <w:rsid w:val="00BA0957"/>
    <w:rsid w:val="00BA12B4"/>
    <w:rsid w:val="00BA1C41"/>
    <w:rsid w:val="00BA1FD6"/>
    <w:rsid w:val="00BA2A02"/>
    <w:rsid w:val="00BA4AEA"/>
    <w:rsid w:val="00BA4B85"/>
    <w:rsid w:val="00BA5C99"/>
    <w:rsid w:val="00BA6667"/>
    <w:rsid w:val="00BB1E1F"/>
    <w:rsid w:val="00BB24F4"/>
    <w:rsid w:val="00BB257B"/>
    <w:rsid w:val="00BB4AF4"/>
    <w:rsid w:val="00BB4EDF"/>
    <w:rsid w:val="00BB5A09"/>
    <w:rsid w:val="00BB6AF8"/>
    <w:rsid w:val="00BB746E"/>
    <w:rsid w:val="00BB7735"/>
    <w:rsid w:val="00BC1C13"/>
    <w:rsid w:val="00BC232B"/>
    <w:rsid w:val="00BD03BD"/>
    <w:rsid w:val="00BD06A9"/>
    <w:rsid w:val="00BD0B3A"/>
    <w:rsid w:val="00BD0B7C"/>
    <w:rsid w:val="00BD298F"/>
    <w:rsid w:val="00BD4280"/>
    <w:rsid w:val="00BD4856"/>
    <w:rsid w:val="00BD4A0A"/>
    <w:rsid w:val="00BD5538"/>
    <w:rsid w:val="00BD5E4B"/>
    <w:rsid w:val="00BD6B08"/>
    <w:rsid w:val="00BD7393"/>
    <w:rsid w:val="00BD7CD5"/>
    <w:rsid w:val="00BD7E76"/>
    <w:rsid w:val="00BE1157"/>
    <w:rsid w:val="00BE12C9"/>
    <w:rsid w:val="00BE1792"/>
    <w:rsid w:val="00BE1C93"/>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74F6"/>
    <w:rsid w:val="00BF7D53"/>
    <w:rsid w:val="00C0078A"/>
    <w:rsid w:val="00C00C3F"/>
    <w:rsid w:val="00C00EDF"/>
    <w:rsid w:val="00C0189E"/>
    <w:rsid w:val="00C03B67"/>
    <w:rsid w:val="00C04337"/>
    <w:rsid w:val="00C04C81"/>
    <w:rsid w:val="00C050AA"/>
    <w:rsid w:val="00C068C1"/>
    <w:rsid w:val="00C12229"/>
    <w:rsid w:val="00C122B2"/>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5126"/>
    <w:rsid w:val="00C2661F"/>
    <w:rsid w:val="00C30ADB"/>
    <w:rsid w:val="00C31BDE"/>
    <w:rsid w:val="00C33871"/>
    <w:rsid w:val="00C33FBA"/>
    <w:rsid w:val="00C347C0"/>
    <w:rsid w:val="00C34B47"/>
    <w:rsid w:val="00C34F68"/>
    <w:rsid w:val="00C36652"/>
    <w:rsid w:val="00C41375"/>
    <w:rsid w:val="00C41923"/>
    <w:rsid w:val="00C42B72"/>
    <w:rsid w:val="00C42ED5"/>
    <w:rsid w:val="00C4394C"/>
    <w:rsid w:val="00C43B47"/>
    <w:rsid w:val="00C46A65"/>
    <w:rsid w:val="00C50759"/>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6021"/>
    <w:rsid w:val="00C76A48"/>
    <w:rsid w:val="00C77B86"/>
    <w:rsid w:val="00C77C63"/>
    <w:rsid w:val="00C81743"/>
    <w:rsid w:val="00C81950"/>
    <w:rsid w:val="00C83858"/>
    <w:rsid w:val="00C83F48"/>
    <w:rsid w:val="00C83FAF"/>
    <w:rsid w:val="00C84347"/>
    <w:rsid w:val="00C84A00"/>
    <w:rsid w:val="00C84ED9"/>
    <w:rsid w:val="00C85F53"/>
    <w:rsid w:val="00C907D0"/>
    <w:rsid w:val="00C95C6D"/>
    <w:rsid w:val="00C968DD"/>
    <w:rsid w:val="00C96A40"/>
    <w:rsid w:val="00C97973"/>
    <w:rsid w:val="00CA0440"/>
    <w:rsid w:val="00CA0A33"/>
    <w:rsid w:val="00CA2868"/>
    <w:rsid w:val="00CA312A"/>
    <w:rsid w:val="00CA481D"/>
    <w:rsid w:val="00CA4C8D"/>
    <w:rsid w:val="00CA4DA1"/>
    <w:rsid w:val="00CA5404"/>
    <w:rsid w:val="00CA673B"/>
    <w:rsid w:val="00CB0819"/>
    <w:rsid w:val="00CB0CBA"/>
    <w:rsid w:val="00CB635E"/>
    <w:rsid w:val="00CC178A"/>
    <w:rsid w:val="00CC1C2A"/>
    <w:rsid w:val="00CC20B5"/>
    <w:rsid w:val="00CC2399"/>
    <w:rsid w:val="00CC281D"/>
    <w:rsid w:val="00CC3416"/>
    <w:rsid w:val="00CC3D19"/>
    <w:rsid w:val="00CC546F"/>
    <w:rsid w:val="00CC5B34"/>
    <w:rsid w:val="00CC73D5"/>
    <w:rsid w:val="00CD17B1"/>
    <w:rsid w:val="00CD207A"/>
    <w:rsid w:val="00CD23B2"/>
    <w:rsid w:val="00CD2B0A"/>
    <w:rsid w:val="00CD2BFB"/>
    <w:rsid w:val="00CD2D63"/>
    <w:rsid w:val="00CD3913"/>
    <w:rsid w:val="00CD3BB1"/>
    <w:rsid w:val="00CD4CBD"/>
    <w:rsid w:val="00CD5CA0"/>
    <w:rsid w:val="00CD7628"/>
    <w:rsid w:val="00CE0788"/>
    <w:rsid w:val="00CE14AA"/>
    <w:rsid w:val="00CE1B08"/>
    <w:rsid w:val="00CE30CA"/>
    <w:rsid w:val="00CE32C6"/>
    <w:rsid w:val="00CE37F0"/>
    <w:rsid w:val="00CE6256"/>
    <w:rsid w:val="00CF01B2"/>
    <w:rsid w:val="00CF0620"/>
    <w:rsid w:val="00CF13B8"/>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BD"/>
    <w:rsid w:val="00D079C0"/>
    <w:rsid w:val="00D1094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6FE5"/>
    <w:rsid w:val="00D27548"/>
    <w:rsid w:val="00D30326"/>
    <w:rsid w:val="00D30A67"/>
    <w:rsid w:val="00D30F9E"/>
    <w:rsid w:val="00D32CAD"/>
    <w:rsid w:val="00D32EC7"/>
    <w:rsid w:val="00D33A1D"/>
    <w:rsid w:val="00D353EB"/>
    <w:rsid w:val="00D369F3"/>
    <w:rsid w:val="00D36A5D"/>
    <w:rsid w:val="00D4078D"/>
    <w:rsid w:val="00D40A54"/>
    <w:rsid w:val="00D410EA"/>
    <w:rsid w:val="00D41500"/>
    <w:rsid w:val="00D417FD"/>
    <w:rsid w:val="00D427ED"/>
    <w:rsid w:val="00D4524F"/>
    <w:rsid w:val="00D4660B"/>
    <w:rsid w:val="00D54F6C"/>
    <w:rsid w:val="00D570D0"/>
    <w:rsid w:val="00D6053D"/>
    <w:rsid w:val="00D6151E"/>
    <w:rsid w:val="00D61B21"/>
    <w:rsid w:val="00D633C9"/>
    <w:rsid w:val="00D636C6"/>
    <w:rsid w:val="00D65AB8"/>
    <w:rsid w:val="00D6745D"/>
    <w:rsid w:val="00D6762E"/>
    <w:rsid w:val="00D7095E"/>
    <w:rsid w:val="00D71482"/>
    <w:rsid w:val="00D72248"/>
    <w:rsid w:val="00D72844"/>
    <w:rsid w:val="00D750EF"/>
    <w:rsid w:val="00D80290"/>
    <w:rsid w:val="00D8146A"/>
    <w:rsid w:val="00D81970"/>
    <w:rsid w:val="00D83099"/>
    <w:rsid w:val="00D842BF"/>
    <w:rsid w:val="00D84B86"/>
    <w:rsid w:val="00D84E03"/>
    <w:rsid w:val="00D85AD4"/>
    <w:rsid w:val="00D86009"/>
    <w:rsid w:val="00D862AD"/>
    <w:rsid w:val="00D87B23"/>
    <w:rsid w:val="00D903C4"/>
    <w:rsid w:val="00D916F5"/>
    <w:rsid w:val="00D91CF9"/>
    <w:rsid w:val="00D92F95"/>
    <w:rsid w:val="00D9565D"/>
    <w:rsid w:val="00D979B0"/>
    <w:rsid w:val="00D97CE3"/>
    <w:rsid w:val="00DA0044"/>
    <w:rsid w:val="00DA04A3"/>
    <w:rsid w:val="00DA0687"/>
    <w:rsid w:val="00DA1087"/>
    <w:rsid w:val="00DA3F21"/>
    <w:rsid w:val="00DA43AC"/>
    <w:rsid w:val="00DA4DA6"/>
    <w:rsid w:val="00DA5339"/>
    <w:rsid w:val="00DA5C8A"/>
    <w:rsid w:val="00DA6CEE"/>
    <w:rsid w:val="00DB44B6"/>
    <w:rsid w:val="00DB737B"/>
    <w:rsid w:val="00DB7D12"/>
    <w:rsid w:val="00DC06CF"/>
    <w:rsid w:val="00DC1B0E"/>
    <w:rsid w:val="00DC1F2B"/>
    <w:rsid w:val="00DC285D"/>
    <w:rsid w:val="00DC30F5"/>
    <w:rsid w:val="00DC32B3"/>
    <w:rsid w:val="00DC3819"/>
    <w:rsid w:val="00DC4DD1"/>
    <w:rsid w:val="00DD0AAD"/>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F0AEC"/>
    <w:rsid w:val="00DF1081"/>
    <w:rsid w:val="00DF2679"/>
    <w:rsid w:val="00DF392D"/>
    <w:rsid w:val="00DF61DF"/>
    <w:rsid w:val="00DF66B7"/>
    <w:rsid w:val="00DF7F85"/>
    <w:rsid w:val="00E000C1"/>
    <w:rsid w:val="00E004AD"/>
    <w:rsid w:val="00E008E2"/>
    <w:rsid w:val="00E022AA"/>
    <w:rsid w:val="00E02CFF"/>
    <w:rsid w:val="00E02F08"/>
    <w:rsid w:val="00E037C9"/>
    <w:rsid w:val="00E03D15"/>
    <w:rsid w:val="00E056BF"/>
    <w:rsid w:val="00E065E3"/>
    <w:rsid w:val="00E078FF"/>
    <w:rsid w:val="00E1029A"/>
    <w:rsid w:val="00E12ACB"/>
    <w:rsid w:val="00E12DB9"/>
    <w:rsid w:val="00E1420D"/>
    <w:rsid w:val="00E16C64"/>
    <w:rsid w:val="00E16CA4"/>
    <w:rsid w:val="00E209D3"/>
    <w:rsid w:val="00E23A20"/>
    <w:rsid w:val="00E23ACE"/>
    <w:rsid w:val="00E23F82"/>
    <w:rsid w:val="00E2454A"/>
    <w:rsid w:val="00E24E6E"/>
    <w:rsid w:val="00E26CCB"/>
    <w:rsid w:val="00E27E80"/>
    <w:rsid w:val="00E30543"/>
    <w:rsid w:val="00E30A05"/>
    <w:rsid w:val="00E30FC1"/>
    <w:rsid w:val="00E3153D"/>
    <w:rsid w:val="00E32721"/>
    <w:rsid w:val="00E33E15"/>
    <w:rsid w:val="00E36051"/>
    <w:rsid w:val="00E374F5"/>
    <w:rsid w:val="00E37917"/>
    <w:rsid w:val="00E40C45"/>
    <w:rsid w:val="00E41649"/>
    <w:rsid w:val="00E42398"/>
    <w:rsid w:val="00E43989"/>
    <w:rsid w:val="00E44F30"/>
    <w:rsid w:val="00E450D1"/>
    <w:rsid w:val="00E47D93"/>
    <w:rsid w:val="00E504B9"/>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5FC0"/>
    <w:rsid w:val="00E66A69"/>
    <w:rsid w:val="00E7028A"/>
    <w:rsid w:val="00E70A67"/>
    <w:rsid w:val="00E7141A"/>
    <w:rsid w:val="00E71E16"/>
    <w:rsid w:val="00E74422"/>
    <w:rsid w:val="00E750FF"/>
    <w:rsid w:val="00E75DB5"/>
    <w:rsid w:val="00E761A7"/>
    <w:rsid w:val="00E767E0"/>
    <w:rsid w:val="00E77499"/>
    <w:rsid w:val="00E7757E"/>
    <w:rsid w:val="00E77A34"/>
    <w:rsid w:val="00E80059"/>
    <w:rsid w:val="00E830B7"/>
    <w:rsid w:val="00E83F16"/>
    <w:rsid w:val="00E84CAB"/>
    <w:rsid w:val="00E87607"/>
    <w:rsid w:val="00E91FAE"/>
    <w:rsid w:val="00E92179"/>
    <w:rsid w:val="00E92707"/>
    <w:rsid w:val="00E936EC"/>
    <w:rsid w:val="00E93C2E"/>
    <w:rsid w:val="00E93F94"/>
    <w:rsid w:val="00E9501A"/>
    <w:rsid w:val="00E9630F"/>
    <w:rsid w:val="00EA09C2"/>
    <w:rsid w:val="00EA0C60"/>
    <w:rsid w:val="00EA0C90"/>
    <w:rsid w:val="00EA0EEC"/>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7DD4"/>
    <w:rsid w:val="00EE02C6"/>
    <w:rsid w:val="00EE40B9"/>
    <w:rsid w:val="00EE49E6"/>
    <w:rsid w:val="00EE4A2C"/>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8D3"/>
    <w:rsid w:val="00F35F2A"/>
    <w:rsid w:val="00F37C9F"/>
    <w:rsid w:val="00F417AB"/>
    <w:rsid w:val="00F421A2"/>
    <w:rsid w:val="00F43E27"/>
    <w:rsid w:val="00F447C5"/>
    <w:rsid w:val="00F47CD1"/>
    <w:rsid w:val="00F50D90"/>
    <w:rsid w:val="00F51FC6"/>
    <w:rsid w:val="00F5238E"/>
    <w:rsid w:val="00F56326"/>
    <w:rsid w:val="00F5724F"/>
    <w:rsid w:val="00F578DD"/>
    <w:rsid w:val="00F57900"/>
    <w:rsid w:val="00F611C3"/>
    <w:rsid w:val="00F63802"/>
    <w:rsid w:val="00F67398"/>
    <w:rsid w:val="00F6792A"/>
    <w:rsid w:val="00F72F77"/>
    <w:rsid w:val="00F7562A"/>
    <w:rsid w:val="00F82BD0"/>
    <w:rsid w:val="00F83CF8"/>
    <w:rsid w:val="00F84169"/>
    <w:rsid w:val="00F851F3"/>
    <w:rsid w:val="00F8684C"/>
    <w:rsid w:val="00F87EEB"/>
    <w:rsid w:val="00F9009E"/>
    <w:rsid w:val="00F90619"/>
    <w:rsid w:val="00F90EFB"/>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7384"/>
    <w:rsid w:val="00FB797F"/>
    <w:rsid w:val="00FC07F2"/>
    <w:rsid w:val="00FC0F15"/>
    <w:rsid w:val="00FC1BA8"/>
    <w:rsid w:val="00FC2FC7"/>
    <w:rsid w:val="00FC3A9B"/>
    <w:rsid w:val="00FC413F"/>
    <w:rsid w:val="00FC4D17"/>
    <w:rsid w:val="00FC5EE1"/>
    <w:rsid w:val="00FC76A8"/>
    <w:rsid w:val="00FC786C"/>
    <w:rsid w:val="00FD1B30"/>
    <w:rsid w:val="00FD2BA3"/>
    <w:rsid w:val="00FD3D63"/>
    <w:rsid w:val="00FD461A"/>
    <w:rsid w:val="00FD48FD"/>
    <w:rsid w:val="00FD6313"/>
    <w:rsid w:val="00FE0718"/>
    <w:rsid w:val="00FE2465"/>
    <w:rsid w:val="00FE3BEF"/>
    <w:rsid w:val="00FE44FE"/>
    <w:rsid w:val="00FE520C"/>
    <w:rsid w:val="00FF0BC0"/>
    <w:rsid w:val="00FF1B10"/>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allowincell="f" fill="f" fillcolor="white" stroke="f" strokecolor="none [3212]">
      <v:fill color="white" on="f"/>
      <v:stroke color="none [3212]" weight="0" on="f"/>
    </o:shapedefaults>
    <o:shapelayout v:ext="edit">
      <o:idmap v:ext="edit" data="1"/>
    </o:shapelayout>
  </w:shapeDefaults>
  <w:decimalSymbol w:val=","/>
  <w:listSeparator w:val=";"/>
  <w14:docId w14:val="31FE2756"/>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5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533F-4684-4126-9540-A458CBAF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6067</Words>
  <Characters>32762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Pires Soares</cp:lastModifiedBy>
  <cp:revision>15</cp:revision>
  <cp:lastPrinted>2019-05-29T16:43:00Z</cp:lastPrinted>
  <dcterms:created xsi:type="dcterms:W3CDTF">2019-05-27T21:56:00Z</dcterms:created>
  <dcterms:modified xsi:type="dcterms:W3CDTF">2019-05-29T20:16:00Z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