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2BF" w:rsidRPr="00B03145" w:rsidRDefault="00D842BF" w:rsidP="0012521A">
      <w:pPr>
        <w:pStyle w:val="Ttulo3"/>
        <w:ind w:left="142" w:firstLine="142"/>
        <w:rPr>
          <w:rFonts w:ascii="Calibri" w:hAnsi="Calibri" w:cs="Calibri"/>
          <w:b/>
          <w:bCs/>
          <w:sz w:val="24"/>
          <w:szCs w:val="24"/>
        </w:rPr>
      </w:pPr>
      <w:r w:rsidRPr="00B03145">
        <w:rPr>
          <w:rFonts w:ascii="Calibri" w:hAnsi="Calibri" w:cs="Calibri"/>
          <w:b/>
          <w:bCs/>
          <w:sz w:val="24"/>
          <w:szCs w:val="24"/>
        </w:rPr>
        <w:t>COMPANHIA DOCAS DO RIO DE JANEIRO - CDRJ</w:t>
      </w:r>
    </w:p>
    <w:p w:rsidR="00D842BF" w:rsidRPr="00B03145" w:rsidRDefault="00D842BF">
      <w:pPr>
        <w:pStyle w:val="Ttulo1"/>
        <w:rPr>
          <w:rFonts w:ascii="Calibri" w:hAnsi="Calibri" w:cs="Calibri"/>
          <w:szCs w:val="24"/>
        </w:rPr>
      </w:pPr>
      <w:r w:rsidRPr="00B03145">
        <w:rPr>
          <w:rFonts w:ascii="Calibri" w:hAnsi="Calibri" w:cs="Calibri"/>
          <w:szCs w:val="24"/>
        </w:rPr>
        <w:t>B</w:t>
      </w:r>
      <w:r w:rsidR="00CC178A" w:rsidRPr="00B03145">
        <w:rPr>
          <w:rFonts w:ascii="Calibri" w:hAnsi="Calibri" w:cs="Calibri"/>
          <w:szCs w:val="24"/>
        </w:rPr>
        <w:t>ALANÇO PATRIMONIAL</w:t>
      </w:r>
      <w:r w:rsidRPr="00B03145">
        <w:rPr>
          <w:rFonts w:ascii="Calibri" w:hAnsi="Calibri" w:cs="Calibri"/>
          <w:szCs w:val="24"/>
        </w:rPr>
        <w:t xml:space="preserve"> </w:t>
      </w:r>
    </w:p>
    <w:p w:rsidR="00D842BF" w:rsidRDefault="00D842BF">
      <w:pPr>
        <w:jc w:val="center"/>
        <w:rPr>
          <w:rFonts w:ascii="Calibri" w:hAnsi="Calibri" w:cs="Calibri"/>
          <w:sz w:val="22"/>
          <w:szCs w:val="22"/>
        </w:rPr>
      </w:pPr>
      <w:r w:rsidRPr="00A10DC2">
        <w:rPr>
          <w:rFonts w:ascii="Calibri" w:hAnsi="Calibri" w:cs="Calibri"/>
          <w:sz w:val="22"/>
          <w:szCs w:val="22"/>
        </w:rPr>
        <w:t xml:space="preserve">(Em </w:t>
      </w:r>
      <w:r w:rsidR="003C0DE4">
        <w:rPr>
          <w:rFonts w:ascii="Calibri" w:hAnsi="Calibri" w:cs="Calibri"/>
          <w:sz w:val="22"/>
          <w:szCs w:val="22"/>
        </w:rPr>
        <w:t xml:space="preserve">milhares de </w:t>
      </w:r>
      <w:r w:rsidRPr="00A10DC2">
        <w:rPr>
          <w:rFonts w:ascii="Calibri" w:hAnsi="Calibri" w:cs="Calibri"/>
          <w:sz w:val="22"/>
          <w:szCs w:val="22"/>
        </w:rPr>
        <w:t>Reais)</w:t>
      </w:r>
    </w:p>
    <w:p w:rsidR="00E875D1" w:rsidRDefault="00E875D1">
      <w:pPr>
        <w:jc w:val="center"/>
        <w:rPr>
          <w:rFonts w:ascii="Calibri" w:hAnsi="Calibri" w:cs="Calibri"/>
          <w:sz w:val="22"/>
          <w:szCs w:val="22"/>
        </w:rPr>
      </w:pPr>
    </w:p>
    <w:p w:rsidR="00CD6E64" w:rsidRDefault="00CD6E64">
      <w:pPr>
        <w:jc w:val="center"/>
        <w:rPr>
          <w:rFonts w:ascii="Calibri" w:hAnsi="Calibri" w:cs="Calibri"/>
          <w:sz w:val="22"/>
          <w:szCs w:val="22"/>
        </w:rPr>
      </w:pPr>
    </w:p>
    <w:p w:rsidR="00D31C2A" w:rsidRDefault="008738AC">
      <w:pPr>
        <w:jc w:val="center"/>
        <w:rPr>
          <w:rFonts w:ascii="Calibri" w:hAnsi="Calibri" w:cs="Calibri"/>
          <w:sz w:val="22"/>
          <w:szCs w:val="22"/>
        </w:rPr>
      </w:pPr>
      <w:r w:rsidRPr="008738AC">
        <w:rPr>
          <w:noProof/>
        </w:rPr>
        <w:drawing>
          <wp:inline distT="0" distB="0" distL="0" distR="0">
            <wp:extent cx="5876925" cy="5410200"/>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6925" cy="5410200"/>
                    </a:xfrm>
                    <a:prstGeom prst="rect">
                      <a:avLst/>
                    </a:prstGeom>
                    <a:noFill/>
                    <a:ln>
                      <a:noFill/>
                    </a:ln>
                  </pic:spPr>
                </pic:pic>
              </a:graphicData>
            </a:graphic>
          </wp:inline>
        </w:drawing>
      </w:r>
    </w:p>
    <w:p w:rsidR="00D31C2A" w:rsidRDefault="00D31C2A">
      <w:pPr>
        <w:jc w:val="center"/>
        <w:rPr>
          <w:rFonts w:ascii="Calibri" w:hAnsi="Calibri" w:cs="Calibri"/>
          <w:sz w:val="22"/>
          <w:szCs w:val="22"/>
        </w:rPr>
      </w:pPr>
    </w:p>
    <w:p w:rsidR="00D31C2A" w:rsidRDefault="00D31C2A">
      <w:pPr>
        <w:jc w:val="center"/>
        <w:rPr>
          <w:rFonts w:ascii="Calibri" w:hAnsi="Calibri" w:cs="Calibri"/>
          <w:sz w:val="22"/>
          <w:szCs w:val="22"/>
        </w:rPr>
      </w:pPr>
    </w:p>
    <w:p w:rsidR="00D31C2A" w:rsidRDefault="00D31C2A">
      <w:pPr>
        <w:jc w:val="center"/>
        <w:rPr>
          <w:rFonts w:ascii="Calibri" w:hAnsi="Calibri" w:cs="Calibri"/>
          <w:sz w:val="22"/>
          <w:szCs w:val="22"/>
        </w:rPr>
      </w:pPr>
    </w:p>
    <w:p w:rsidR="00D31C2A" w:rsidRDefault="00D31C2A">
      <w:pPr>
        <w:jc w:val="center"/>
        <w:rPr>
          <w:rFonts w:ascii="Calibri" w:hAnsi="Calibri" w:cs="Calibri"/>
          <w:sz w:val="22"/>
          <w:szCs w:val="22"/>
        </w:rPr>
      </w:pPr>
    </w:p>
    <w:p w:rsidR="00D31C2A" w:rsidRDefault="00D31C2A">
      <w:pPr>
        <w:jc w:val="center"/>
        <w:rPr>
          <w:rFonts w:ascii="Calibri" w:hAnsi="Calibri" w:cs="Calibri"/>
          <w:sz w:val="22"/>
          <w:szCs w:val="22"/>
        </w:rPr>
      </w:pPr>
    </w:p>
    <w:p w:rsidR="00D31C2A" w:rsidRDefault="00D31C2A">
      <w:pPr>
        <w:jc w:val="center"/>
        <w:rPr>
          <w:rFonts w:ascii="Calibri" w:hAnsi="Calibri" w:cs="Calibri"/>
          <w:sz w:val="22"/>
          <w:szCs w:val="22"/>
        </w:rPr>
      </w:pPr>
    </w:p>
    <w:p w:rsidR="00E875D1" w:rsidRDefault="00E875D1">
      <w:pPr>
        <w:jc w:val="center"/>
        <w:rPr>
          <w:rFonts w:ascii="Calibri" w:hAnsi="Calibri" w:cs="Calibri"/>
          <w:sz w:val="22"/>
          <w:szCs w:val="22"/>
        </w:rPr>
      </w:pPr>
    </w:p>
    <w:p w:rsidR="00E875D1" w:rsidRDefault="00E875D1">
      <w:pPr>
        <w:jc w:val="center"/>
        <w:rPr>
          <w:rFonts w:ascii="Calibri" w:hAnsi="Calibri" w:cs="Calibri"/>
          <w:sz w:val="22"/>
          <w:szCs w:val="22"/>
        </w:rPr>
      </w:pPr>
    </w:p>
    <w:p w:rsidR="00E875D1" w:rsidRDefault="00E875D1">
      <w:pPr>
        <w:jc w:val="center"/>
        <w:rPr>
          <w:rFonts w:ascii="Calibri" w:hAnsi="Calibri" w:cs="Calibri"/>
          <w:sz w:val="22"/>
          <w:szCs w:val="22"/>
        </w:rPr>
      </w:pPr>
    </w:p>
    <w:p w:rsidR="00D31C2A" w:rsidRDefault="00D31C2A">
      <w:pPr>
        <w:jc w:val="center"/>
        <w:rPr>
          <w:rFonts w:ascii="Calibri" w:hAnsi="Calibri" w:cs="Calibri"/>
          <w:sz w:val="22"/>
          <w:szCs w:val="22"/>
        </w:rPr>
      </w:pPr>
    </w:p>
    <w:p w:rsidR="00D31C2A" w:rsidRDefault="00D31C2A">
      <w:pPr>
        <w:jc w:val="center"/>
        <w:rPr>
          <w:rFonts w:ascii="Calibri" w:hAnsi="Calibri" w:cs="Calibri"/>
          <w:sz w:val="22"/>
          <w:szCs w:val="22"/>
        </w:rPr>
      </w:pPr>
    </w:p>
    <w:p w:rsidR="00A10DC2" w:rsidRPr="00A10DC2" w:rsidRDefault="00A10DC2">
      <w:pPr>
        <w:jc w:val="center"/>
        <w:rPr>
          <w:rFonts w:ascii="Calibri" w:hAnsi="Calibri" w:cs="Calibri"/>
          <w:sz w:val="22"/>
          <w:szCs w:val="22"/>
        </w:rPr>
      </w:pPr>
    </w:p>
    <w:p w:rsidR="00D842BF" w:rsidRPr="00B03145" w:rsidRDefault="00D842BF">
      <w:pPr>
        <w:pStyle w:val="Ttulo3"/>
        <w:rPr>
          <w:rFonts w:ascii="Calibri" w:hAnsi="Calibri" w:cs="Calibri"/>
          <w:b/>
          <w:bCs/>
          <w:sz w:val="24"/>
          <w:szCs w:val="24"/>
        </w:rPr>
      </w:pPr>
      <w:r w:rsidRPr="00B03145">
        <w:rPr>
          <w:rFonts w:ascii="Calibri" w:hAnsi="Calibri" w:cs="Calibri"/>
          <w:b/>
          <w:bCs/>
          <w:sz w:val="24"/>
          <w:szCs w:val="24"/>
        </w:rPr>
        <w:lastRenderedPageBreak/>
        <w:t>COMPANHIA DOCAS DO RIO DE JANEIRO - CDRJ</w:t>
      </w:r>
    </w:p>
    <w:p w:rsidR="00D842BF" w:rsidRPr="00B03145" w:rsidRDefault="00D842BF">
      <w:pPr>
        <w:pStyle w:val="Ttulo1"/>
        <w:rPr>
          <w:rFonts w:ascii="Calibri" w:hAnsi="Calibri" w:cs="Calibri"/>
          <w:szCs w:val="24"/>
        </w:rPr>
      </w:pPr>
      <w:r w:rsidRPr="00B03145">
        <w:rPr>
          <w:rFonts w:ascii="Calibri" w:hAnsi="Calibri" w:cs="Calibri"/>
          <w:szCs w:val="24"/>
        </w:rPr>
        <w:t>B</w:t>
      </w:r>
      <w:r w:rsidR="00CC178A" w:rsidRPr="00B03145">
        <w:rPr>
          <w:rFonts w:ascii="Calibri" w:hAnsi="Calibri" w:cs="Calibri"/>
          <w:szCs w:val="24"/>
        </w:rPr>
        <w:t>ALANÇO PATRIMONIAL</w:t>
      </w:r>
      <w:r w:rsidRPr="00B03145">
        <w:rPr>
          <w:rFonts w:ascii="Calibri" w:hAnsi="Calibri" w:cs="Calibri"/>
          <w:szCs w:val="24"/>
        </w:rPr>
        <w:t xml:space="preserve"> </w:t>
      </w:r>
    </w:p>
    <w:p w:rsidR="00D842BF" w:rsidRDefault="00D842BF">
      <w:pPr>
        <w:jc w:val="center"/>
        <w:rPr>
          <w:rFonts w:ascii="Calibri" w:hAnsi="Calibri" w:cs="Calibri"/>
          <w:sz w:val="22"/>
          <w:szCs w:val="22"/>
        </w:rPr>
      </w:pPr>
      <w:r w:rsidRPr="00A10DC2">
        <w:rPr>
          <w:rFonts w:ascii="Calibri" w:hAnsi="Calibri" w:cs="Calibri"/>
          <w:sz w:val="22"/>
          <w:szCs w:val="22"/>
        </w:rPr>
        <w:t xml:space="preserve">(Em </w:t>
      </w:r>
      <w:r w:rsidR="003C0DE4">
        <w:rPr>
          <w:rFonts w:ascii="Calibri" w:hAnsi="Calibri" w:cs="Calibri"/>
          <w:sz w:val="22"/>
          <w:szCs w:val="22"/>
        </w:rPr>
        <w:t xml:space="preserve">milhares de </w:t>
      </w:r>
      <w:r w:rsidRPr="00A10DC2">
        <w:rPr>
          <w:rFonts w:ascii="Calibri" w:hAnsi="Calibri" w:cs="Calibri"/>
          <w:sz w:val="22"/>
          <w:szCs w:val="22"/>
        </w:rPr>
        <w:t>Reais)</w:t>
      </w:r>
    </w:p>
    <w:p w:rsidR="00E875D1" w:rsidRDefault="00E875D1">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3419F7">
      <w:pPr>
        <w:jc w:val="center"/>
        <w:rPr>
          <w:rFonts w:ascii="Calibri" w:hAnsi="Calibri" w:cs="Calibri"/>
          <w:sz w:val="22"/>
          <w:szCs w:val="22"/>
        </w:rPr>
      </w:pPr>
      <w:r w:rsidRPr="003419F7">
        <w:drawing>
          <wp:inline distT="0" distB="0" distL="0" distR="0">
            <wp:extent cx="6066790" cy="5009515"/>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6790" cy="5009515"/>
                    </a:xfrm>
                    <a:prstGeom prst="rect">
                      <a:avLst/>
                    </a:prstGeom>
                    <a:noFill/>
                    <a:ln>
                      <a:noFill/>
                    </a:ln>
                  </pic:spPr>
                </pic:pic>
              </a:graphicData>
            </a:graphic>
          </wp:inline>
        </w:drawing>
      </w: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2500FC" w:rsidRDefault="002500FC">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E875D1" w:rsidRDefault="00E875D1">
      <w:pPr>
        <w:jc w:val="center"/>
        <w:rPr>
          <w:rFonts w:ascii="Calibri" w:hAnsi="Calibri" w:cs="Calibri"/>
          <w:sz w:val="22"/>
          <w:szCs w:val="22"/>
        </w:rPr>
      </w:pPr>
    </w:p>
    <w:p w:rsidR="00E875D1" w:rsidRDefault="00E875D1">
      <w:pPr>
        <w:jc w:val="center"/>
        <w:rPr>
          <w:rFonts w:ascii="Calibri" w:hAnsi="Calibri" w:cs="Calibri"/>
          <w:sz w:val="22"/>
          <w:szCs w:val="22"/>
        </w:rPr>
      </w:pPr>
    </w:p>
    <w:p w:rsidR="00E875D1" w:rsidRDefault="00E875D1">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512CDE" w:rsidRPr="00A10DC2" w:rsidRDefault="00512CDE" w:rsidP="00647EF2">
      <w:pPr>
        <w:rPr>
          <w:rFonts w:ascii="Calibri" w:hAnsi="Calibri" w:cs="Calibri"/>
          <w:sz w:val="22"/>
          <w:szCs w:val="22"/>
        </w:rPr>
      </w:pPr>
    </w:p>
    <w:p w:rsidR="00D842BF" w:rsidRPr="00B03145" w:rsidRDefault="00D842BF">
      <w:pPr>
        <w:pStyle w:val="Ttulo3"/>
        <w:rPr>
          <w:rFonts w:ascii="Calibri" w:hAnsi="Calibri" w:cs="Calibri"/>
          <w:b/>
          <w:bCs/>
          <w:sz w:val="24"/>
          <w:szCs w:val="24"/>
        </w:rPr>
      </w:pPr>
      <w:r w:rsidRPr="00B03145">
        <w:rPr>
          <w:rFonts w:ascii="Calibri" w:hAnsi="Calibri" w:cs="Calibri"/>
          <w:b/>
          <w:bCs/>
          <w:sz w:val="24"/>
          <w:szCs w:val="24"/>
        </w:rPr>
        <w:lastRenderedPageBreak/>
        <w:t>COMPANHIA DOCAS DO RIO DE JANEIRO - CDRJ</w:t>
      </w:r>
    </w:p>
    <w:p w:rsidR="00D842BF" w:rsidRPr="00B03145" w:rsidRDefault="00D842BF">
      <w:pPr>
        <w:jc w:val="center"/>
        <w:rPr>
          <w:rFonts w:ascii="Calibri" w:hAnsi="Calibri" w:cs="Calibri"/>
          <w:b/>
          <w:sz w:val="24"/>
          <w:szCs w:val="24"/>
        </w:rPr>
      </w:pPr>
      <w:r w:rsidRPr="00B03145">
        <w:rPr>
          <w:rFonts w:ascii="Calibri" w:hAnsi="Calibri" w:cs="Calibri"/>
          <w:b/>
          <w:bCs/>
          <w:sz w:val="24"/>
          <w:szCs w:val="24"/>
        </w:rPr>
        <w:t>DEMONSTRAÇÃO</w:t>
      </w:r>
      <w:r w:rsidRPr="00B03145">
        <w:rPr>
          <w:rFonts w:ascii="Calibri" w:hAnsi="Calibri" w:cs="Calibri"/>
          <w:b/>
          <w:sz w:val="24"/>
          <w:szCs w:val="24"/>
        </w:rPr>
        <w:t xml:space="preserve"> DO RESULTADO</w:t>
      </w:r>
      <w:r w:rsidR="009762BE">
        <w:rPr>
          <w:rFonts w:ascii="Calibri" w:hAnsi="Calibri" w:cs="Calibri"/>
          <w:b/>
          <w:sz w:val="24"/>
          <w:szCs w:val="24"/>
        </w:rPr>
        <w:t xml:space="preserve"> DO EXERCÍCIO</w:t>
      </w:r>
    </w:p>
    <w:p w:rsidR="00D842BF" w:rsidRDefault="00B03145">
      <w:pPr>
        <w:jc w:val="center"/>
        <w:rPr>
          <w:rFonts w:ascii="Calibri" w:hAnsi="Calibri" w:cs="Calibri"/>
          <w:sz w:val="22"/>
          <w:szCs w:val="22"/>
        </w:rPr>
      </w:pPr>
      <w:r w:rsidRPr="00A10DC2">
        <w:rPr>
          <w:rFonts w:ascii="Calibri" w:hAnsi="Calibri" w:cs="Calibri"/>
          <w:sz w:val="22"/>
          <w:szCs w:val="22"/>
        </w:rPr>
        <w:t xml:space="preserve"> </w:t>
      </w:r>
      <w:r w:rsidR="00D842BF" w:rsidRPr="00A10DC2">
        <w:rPr>
          <w:rFonts w:ascii="Calibri" w:hAnsi="Calibri" w:cs="Calibri"/>
          <w:sz w:val="22"/>
          <w:szCs w:val="22"/>
        </w:rPr>
        <w:t xml:space="preserve">(Em </w:t>
      </w:r>
      <w:r w:rsidR="00903551">
        <w:rPr>
          <w:rFonts w:ascii="Calibri" w:hAnsi="Calibri" w:cs="Calibri"/>
          <w:sz w:val="22"/>
          <w:szCs w:val="22"/>
        </w:rPr>
        <w:t xml:space="preserve">milhares </w:t>
      </w:r>
      <w:r w:rsidR="00A647F3">
        <w:rPr>
          <w:rFonts w:ascii="Calibri" w:hAnsi="Calibri" w:cs="Calibri"/>
          <w:sz w:val="22"/>
          <w:szCs w:val="22"/>
        </w:rPr>
        <w:t xml:space="preserve">de </w:t>
      </w:r>
      <w:r w:rsidR="00D842BF" w:rsidRPr="00A10DC2">
        <w:rPr>
          <w:rFonts w:ascii="Calibri" w:hAnsi="Calibri" w:cs="Calibri"/>
          <w:sz w:val="22"/>
          <w:szCs w:val="22"/>
        </w:rPr>
        <w:t>Reais)</w:t>
      </w:r>
    </w:p>
    <w:p w:rsidR="005B6140" w:rsidRDefault="005B6140">
      <w:pPr>
        <w:jc w:val="center"/>
        <w:rPr>
          <w:rFonts w:ascii="Calibri" w:hAnsi="Calibri" w:cs="Calibri"/>
          <w:sz w:val="22"/>
          <w:szCs w:val="22"/>
        </w:rPr>
      </w:pPr>
    </w:p>
    <w:p w:rsidR="00E875D1" w:rsidRDefault="00E875D1">
      <w:pPr>
        <w:jc w:val="center"/>
        <w:rPr>
          <w:rFonts w:ascii="Calibri" w:hAnsi="Calibri" w:cs="Calibri"/>
          <w:sz w:val="22"/>
          <w:szCs w:val="22"/>
        </w:rPr>
      </w:pPr>
    </w:p>
    <w:p w:rsidR="00E875D1" w:rsidRDefault="00E875D1">
      <w:pPr>
        <w:jc w:val="center"/>
        <w:rPr>
          <w:rFonts w:ascii="Calibri" w:hAnsi="Calibri" w:cs="Calibri"/>
          <w:sz w:val="22"/>
          <w:szCs w:val="22"/>
        </w:rPr>
      </w:pPr>
    </w:p>
    <w:p w:rsidR="008E4D82" w:rsidRDefault="008E4D82">
      <w:pPr>
        <w:jc w:val="center"/>
        <w:rPr>
          <w:rFonts w:ascii="Calibri" w:hAnsi="Calibri" w:cs="Calibri"/>
          <w:sz w:val="22"/>
          <w:szCs w:val="22"/>
        </w:rPr>
      </w:pPr>
    </w:p>
    <w:p w:rsidR="008E4D82" w:rsidRDefault="008E4D82">
      <w:pPr>
        <w:jc w:val="center"/>
        <w:rPr>
          <w:rFonts w:ascii="Calibri" w:hAnsi="Calibri" w:cs="Calibri"/>
          <w:sz w:val="22"/>
          <w:szCs w:val="22"/>
        </w:rPr>
      </w:pPr>
    </w:p>
    <w:p w:rsidR="008E4D82" w:rsidRDefault="00FF231F">
      <w:pPr>
        <w:jc w:val="center"/>
        <w:rPr>
          <w:rFonts w:ascii="Calibri" w:hAnsi="Calibri" w:cs="Calibri"/>
          <w:sz w:val="22"/>
          <w:szCs w:val="22"/>
        </w:rPr>
      </w:pPr>
      <w:r w:rsidRPr="00FF231F">
        <w:rPr>
          <w:noProof/>
        </w:rPr>
        <w:drawing>
          <wp:inline distT="0" distB="0" distL="0" distR="0">
            <wp:extent cx="6229350" cy="46101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0" cy="4610100"/>
                    </a:xfrm>
                    <a:prstGeom prst="rect">
                      <a:avLst/>
                    </a:prstGeom>
                    <a:noFill/>
                    <a:ln>
                      <a:noFill/>
                    </a:ln>
                  </pic:spPr>
                </pic:pic>
              </a:graphicData>
            </a:graphic>
          </wp:inline>
        </w:drawing>
      </w:r>
    </w:p>
    <w:p w:rsidR="009272C5" w:rsidRDefault="009272C5">
      <w:pPr>
        <w:jc w:val="center"/>
        <w:rPr>
          <w:rFonts w:ascii="Calibri" w:hAnsi="Calibri" w:cs="Calibri"/>
          <w:sz w:val="22"/>
          <w:szCs w:val="22"/>
        </w:rPr>
      </w:pPr>
    </w:p>
    <w:p w:rsidR="008704BE" w:rsidRPr="00A10DC2" w:rsidRDefault="008704BE">
      <w:pPr>
        <w:jc w:val="center"/>
        <w:rPr>
          <w:rFonts w:ascii="Calibri" w:hAnsi="Calibri" w:cs="Calibri"/>
          <w:sz w:val="22"/>
          <w:szCs w:val="22"/>
        </w:rPr>
      </w:pPr>
    </w:p>
    <w:p w:rsidR="00696DD3" w:rsidRPr="00A10DC2" w:rsidRDefault="00696DD3">
      <w:pPr>
        <w:jc w:val="center"/>
        <w:rPr>
          <w:rFonts w:ascii="Calibri" w:hAnsi="Calibri" w:cs="Calibri"/>
          <w:sz w:val="22"/>
          <w:szCs w:val="22"/>
        </w:rPr>
      </w:pPr>
    </w:p>
    <w:p w:rsidR="00696DD3" w:rsidRPr="00A10DC2" w:rsidRDefault="00696DD3">
      <w:pPr>
        <w:jc w:val="center"/>
        <w:rPr>
          <w:rFonts w:ascii="Calibri" w:hAnsi="Calibri" w:cs="Calibri"/>
          <w:sz w:val="22"/>
          <w:szCs w:val="22"/>
        </w:rPr>
      </w:pPr>
    </w:p>
    <w:p w:rsidR="00696DD3" w:rsidRPr="00A10DC2" w:rsidRDefault="00696DD3">
      <w:pPr>
        <w:jc w:val="center"/>
        <w:rPr>
          <w:rFonts w:ascii="Calibri" w:hAnsi="Calibri" w:cs="Calibri"/>
          <w:sz w:val="22"/>
          <w:szCs w:val="22"/>
        </w:rPr>
      </w:pPr>
    </w:p>
    <w:p w:rsidR="00696DD3" w:rsidRPr="00A10DC2" w:rsidRDefault="00696DD3">
      <w:pPr>
        <w:jc w:val="center"/>
        <w:rPr>
          <w:rFonts w:ascii="Calibri" w:hAnsi="Calibri" w:cs="Calibri"/>
          <w:sz w:val="22"/>
          <w:szCs w:val="22"/>
        </w:rPr>
      </w:pPr>
    </w:p>
    <w:p w:rsidR="008704BE" w:rsidRDefault="008704BE">
      <w:pPr>
        <w:jc w:val="center"/>
        <w:rPr>
          <w:rFonts w:ascii="Calibri" w:hAnsi="Calibri" w:cs="Calibri"/>
          <w:sz w:val="22"/>
          <w:szCs w:val="22"/>
        </w:rPr>
      </w:pPr>
    </w:p>
    <w:p w:rsidR="00472724" w:rsidRDefault="00472724">
      <w:pPr>
        <w:jc w:val="center"/>
        <w:rPr>
          <w:rFonts w:ascii="Calibri" w:hAnsi="Calibri" w:cs="Calibri"/>
          <w:sz w:val="22"/>
          <w:szCs w:val="22"/>
        </w:rPr>
      </w:pPr>
    </w:p>
    <w:p w:rsidR="00903551" w:rsidRDefault="00903551">
      <w:pPr>
        <w:jc w:val="center"/>
        <w:rPr>
          <w:rFonts w:ascii="Calibri" w:hAnsi="Calibri" w:cs="Calibri"/>
          <w:sz w:val="22"/>
          <w:szCs w:val="22"/>
        </w:rPr>
      </w:pPr>
    </w:p>
    <w:p w:rsidR="008704BE" w:rsidRDefault="008704BE">
      <w:pPr>
        <w:jc w:val="center"/>
        <w:rPr>
          <w:rFonts w:ascii="Calibri" w:hAnsi="Calibri" w:cs="Calibri"/>
          <w:sz w:val="22"/>
          <w:szCs w:val="22"/>
        </w:rPr>
      </w:pPr>
    </w:p>
    <w:p w:rsidR="00C24648" w:rsidRDefault="00C24648">
      <w:pPr>
        <w:jc w:val="center"/>
        <w:rPr>
          <w:rFonts w:ascii="Calibri" w:hAnsi="Calibri" w:cs="Calibri"/>
          <w:sz w:val="22"/>
          <w:szCs w:val="22"/>
        </w:rPr>
      </w:pPr>
    </w:p>
    <w:p w:rsidR="00C24648" w:rsidRPr="00A10DC2" w:rsidRDefault="00C24648">
      <w:pPr>
        <w:jc w:val="center"/>
        <w:rPr>
          <w:rFonts w:ascii="Calibri" w:hAnsi="Calibri" w:cs="Calibri"/>
          <w:sz w:val="22"/>
          <w:szCs w:val="22"/>
        </w:rPr>
      </w:pPr>
    </w:p>
    <w:p w:rsidR="008704BE" w:rsidRPr="00A10DC2" w:rsidRDefault="008704BE">
      <w:pPr>
        <w:jc w:val="center"/>
        <w:rPr>
          <w:rFonts w:ascii="Calibri" w:hAnsi="Calibri" w:cs="Calibri"/>
          <w:sz w:val="22"/>
          <w:szCs w:val="22"/>
        </w:rPr>
      </w:pPr>
    </w:p>
    <w:p w:rsidR="00472724" w:rsidRDefault="00472724">
      <w:pPr>
        <w:jc w:val="center"/>
        <w:rPr>
          <w:rFonts w:ascii="Calibri" w:hAnsi="Calibri" w:cs="Calibri"/>
          <w:sz w:val="22"/>
          <w:szCs w:val="22"/>
        </w:rPr>
      </w:pPr>
    </w:p>
    <w:p w:rsidR="00184338" w:rsidRPr="00472724" w:rsidRDefault="00184338" w:rsidP="00184338">
      <w:pPr>
        <w:pStyle w:val="Ttulo3"/>
        <w:rPr>
          <w:rFonts w:ascii="Calibri" w:hAnsi="Calibri" w:cs="Calibri"/>
          <w:b/>
          <w:bCs/>
          <w:sz w:val="24"/>
          <w:szCs w:val="24"/>
        </w:rPr>
      </w:pPr>
      <w:r w:rsidRPr="00472724">
        <w:rPr>
          <w:rFonts w:ascii="Calibri" w:hAnsi="Calibri" w:cs="Calibri"/>
          <w:b/>
          <w:bCs/>
          <w:sz w:val="24"/>
          <w:szCs w:val="24"/>
        </w:rPr>
        <w:lastRenderedPageBreak/>
        <w:t>COMPANHIA DOCAS DO RIO DE JANEIRO - CDRJ</w:t>
      </w:r>
    </w:p>
    <w:p w:rsidR="00184338" w:rsidRPr="00472724" w:rsidRDefault="00184338" w:rsidP="00184338">
      <w:pPr>
        <w:jc w:val="center"/>
        <w:rPr>
          <w:rFonts w:ascii="Calibri" w:hAnsi="Calibri" w:cs="Calibri"/>
          <w:b/>
          <w:sz w:val="24"/>
          <w:szCs w:val="24"/>
        </w:rPr>
      </w:pPr>
      <w:r w:rsidRPr="00472724">
        <w:rPr>
          <w:rFonts w:ascii="Calibri" w:hAnsi="Calibri" w:cs="Calibri"/>
          <w:b/>
          <w:bCs/>
          <w:sz w:val="24"/>
          <w:szCs w:val="24"/>
        </w:rPr>
        <w:t>DEMONSTRAÇÃO</w:t>
      </w:r>
      <w:r w:rsidRPr="00472724">
        <w:rPr>
          <w:rFonts w:ascii="Calibri" w:hAnsi="Calibri" w:cs="Calibri"/>
          <w:b/>
          <w:sz w:val="24"/>
          <w:szCs w:val="24"/>
        </w:rPr>
        <w:t xml:space="preserve"> DO </w:t>
      </w:r>
      <w:r>
        <w:rPr>
          <w:rFonts w:ascii="Calibri" w:hAnsi="Calibri" w:cs="Calibri"/>
          <w:b/>
          <w:sz w:val="24"/>
          <w:szCs w:val="24"/>
        </w:rPr>
        <w:t>RESULTADO A</w:t>
      </w:r>
      <w:r w:rsidR="0072175A">
        <w:rPr>
          <w:rFonts w:ascii="Calibri" w:hAnsi="Calibri" w:cs="Calibri"/>
          <w:b/>
          <w:sz w:val="24"/>
          <w:szCs w:val="24"/>
        </w:rPr>
        <w:t>B</w:t>
      </w:r>
      <w:r>
        <w:rPr>
          <w:rFonts w:ascii="Calibri" w:hAnsi="Calibri" w:cs="Calibri"/>
          <w:b/>
          <w:sz w:val="24"/>
          <w:szCs w:val="24"/>
        </w:rPr>
        <w:t>RANGENTE</w:t>
      </w:r>
    </w:p>
    <w:p w:rsidR="00184338" w:rsidRDefault="00184338" w:rsidP="00184338">
      <w:pPr>
        <w:jc w:val="center"/>
        <w:rPr>
          <w:rFonts w:ascii="Calibri" w:hAnsi="Calibri" w:cs="Calibri"/>
          <w:sz w:val="22"/>
          <w:szCs w:val="22"/>
        </w:rPr>
      </w:pPr>
      <w:r w:rsidRPr="00A10DC2">
        <w:rPr>
          <w:rFonts w:ascii="Calibri" w:hAnsi="Calibri" w:cs="Calibri"/>
          <w:sz w:val="22"/>
          <w:szCs w:val="22"/>
        </w:rPr>
        <w:t xml:space="preserve">(Em </w:t>
      </w:r>
      <w:r>
        <w:rPr>
          <w:rFonts w:ascii="Calibri" w:hAnsi="Calibri" w:cs="Calibri"/>
          <w:sz w:val="22"/>
          <w:szCs w:val="22"/>
        </w:rPr>
        <w:t>milhares de Reais)</w:t>
      </w:r>
    </w:p>
    <w:p w:rsidR="003C3422" w:rsidRDefault="003C3422">
      <w:pPr>
        <w:jc w:val="center"/>
        <w:rPr>
          <w:rFonts w:ascii="Calibri" w:hAnsi="Calibri" w:cs="Calibri"/>
          <w:sz w:val="24"/>
          <w:szCs w:val="24"/>
        </w:rPr>
      </w:pPr>
    </w:p>
    <w:p w:rsidR="00184338" w:rsidRDefault="00184338">
      <w:pPr>
        <w:jc w:val="center"/>
        <w:rPr>
          <w:rFonts w:ascii="Calibri" w:hAnsi="Calibri" w:cs="Calibri"/>
          <w:sz w:val="22"/>
          <w:szCs w:val="22"/>
        </w:rPr>
      </w:pPr>
    </w:p>
    <w:p w:rsidR="00E875D1" w:rsidRDefault="00F3561F">
      <w:pPr>
        <w:jc w:val="center"/>
        <w:rPr>
          <w:rFonts w:ascii="Calibri" w:hAnsi="Calibri" w:cs="Calibri"/>
          <w:sz w:val="22"/>
          <w:szCs w:val="22"/>
        </w:rPr>
      </w:pPr>
      <w:r w:rsidRPr="00F3561F">
        <w:rPr>
          <w:noProof/>
        </w:rPr>
        <w:drawing>
          <wp:inline distT="0" distB="0" distL="0" distR="0">
            <wp:extent cx="6229350" cy="1209675"/>
            <wp:effectExtent l="0" t="0" r="0" b="952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9350" cy="1209675"/>
                    </a:xfrm>
                    <a:prstGeom prst="rect">
                      <a:avLst/>
                    </a:prstGeom>
                    <a:noFill/>
                    <a:ln>
                      <a:noFill/>
                    </a:ln>
                  </pic:spPr>
                </pic:pic>
              </a:graphicData>
            </a:graphic>
          </wp:inline>
        </w:drawing>
      </w: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Pr="00AF538B" w:rsidRDefault="00184338" w:rsidP="00184338">
      <w:pPr>
        <w:pStyle w:val="Ttulo3"/>
        <w:rPr>
          <w:rFonts w:ascii="Calibri" w:hAnsi="Calibri" w:cs="Calibri"/>
          <w:sz w:val="24"/>
          <w:szCs w:val="24"/>
        </w:rPr>
      </w:pPr>
      <w:r w:rsidRPr="00AF538B">
        <w:rPr>
          <w:rFonts w:ascii="Calibri" w:hAnsi="Calibri" w:cs="Calibri"/>
          <w:b/>
          <w:bCs/>
          <w:sz w:val="24"/>
          <w:szCs w:val="24"/>
        </w:rPr>
        <w:lastRenderedPageBreak/>
        <w:t>COMPANHIA DOCAS DO RIO DE JANEIRO - CDRJ</w:t>
      </w:r>
      <w:r w:rsidRPr="00AF538B">
        <w:rPr>
          <w:rFonts w:ascii="Calibri" w:hAnsi="Calibri" w:cs="Calibri"/>
          <w:sz w:val="24"/>
          <w:szCs w:val="24"/>
        </w:rPr>
        <w:t xml:space="preserve"> </w:t>
      </w:r>
    </w:p>
    <w:p w:rsidR="00184338" w:rsidRPr="00AF538B" w:rsidRDefault="00184338" w:rsidP="00184338">
      <w:pPr>
        <w:jc w:val="center"/>
        <w:rPr>
          <w:rFonts w:ascii="Calibri" w:hAnsi="Calibri" w:cs="Calibri"/>
          <w:b/>
          <w:sz w:val="24"/>
          <w:szCs w:val="24"/>
        </w:rPr>
      </w:pPr>
      <w:r w:rsidRPr="00AF538B">
        <w:rPr>
          <w:rFonts w:ascii="Calibri" w:hAnsi="Calibri" w:cs="Calibri"/>
          <w:b/>
          <w:bCs/>
          <w:sz w:val="24"/>
          <w:szCs w:val="24"/>
        </w:rPr>
        <w:t>DEMONSTRAÇÃO</w:t>
      </w:r>
      <w:r w:rsidRPr="00AF538B">
        <w:rPr>
          <w:rFonts w:ascii="Calibri" w:hAnsi="Calibri" w:cs="Calibri"/>
          <w:b/>
          <w:sz w:val="24"/>
          <w:szCs w:val="24"/>
        </w:rPr>
        <w:t xml:space="preserve"> DAS MUTAÇÕES DO PATRIMÔNIO LÍQUIDO</w:t>
      </w:r>
    </w:p>
    <w:p w:rsidR="00184338" w:rsidRDefault="00184338" w:rsidP="00184338">
      <w:pPr>
        <w:jc w:val="center"/>
        <w:rPr>
          <w:rFonts w:ascii="Calibri" w:hAnsi="Calibri" w:cs="Calibri"/>
          <w:sz w:val="22"/>
          <w:szCs w:val="22"/>
        </w:rPr>
      </w:pPr>
      <w:r w:rsidRPr="00A10DC2">
        <w:rPr>
          <w:rFonts w:ascii="Calibri" w:hAnsi="Calibri" w:cs="Calibri"/>
          <w:sz w:val="22"/>
          <w:szCs w:val="22"/>
        </w:rPr>
        <w:t xml:space="preserve">(Em </w:t>
      </w:r>
      <w:r>
        <w:rPr>
          <w:rFonts w:ascii="Calibri" w:hAnsi="Calibri" w:cs="Calibri"/>
          <w:sz w:val="22"/>
          <w:szCs w:val="22"/>
        </w:rPr>
        <w:t xml:space="preserve">milhares de </w:t>
      </w:r>
      <w:r w:rsidRPr="00A10DC2">
        <w:rPr>
          <w:rFonts w:ascii="Calibri" w:hAnsi="Calibri" w:cs="Calibri"/>
          <w:sz w:val="22"/>
          <w:szCs w:val="22"/>
        </w:rPr>
        <w:t>Reais)</w:t>
      </w:r>
    </w:p>
    <w:p w:rsidR="00184338" w:rsidRDefault="00184338" w:rsidP="00184338">
      <w:pPr>
        <w:jc w:val="center"/>
        <w:rPr>
          <w:rFonts w:ascii="Calibri" w:hAnsi="Calibri" w:cs="Calibri"/>
          <w:sz w:val="22"/>
          <w:szCs w:val="22"/>
        </w:rPr>
      </w:pPr>
    </w:p>
    <w:p w:rsidR="00E875D1" w:rsidRDefault="00E875D1" w:rsidP="00184338">
      <w:pPr>
        <w:jc w:val="center"/>
        <w:rPr>
          <w:rFonts w:ascii="Calibri" w:hAnsi="Calibri" w:cs="Calibri"/>
          <w:sz w:val="22"/>
          <w:szCs w:val="22"/>
        </w:rPr>
      </w:pPr>
    </w:p>
    <w:p w:rsidR="00E875D1" w:rsidRDefault="00FF231F" w:rsidP="00184338">
      <w:pPr>
        <w:jc w:val="center"/>
        <w:rPr>
          <w:rFonts w:ascii="Calibri" w:hAnsi="Calibri" w:cs="Calibri"/>
          <w:sz w:val="22"/>
          <w:szCs w:val="22"/>
        </w:rPr>
      </w:pPr>
      <w:r w:rsidRPr="00FF231F">
        <w:rPr>
          <w:noProof/>
        </w:rPr>
        <w:drawing>
          <wp:inline distT="0" distB="0" distL="0" distR="0">
            <wp:extent cx="6336665" cy="2645189"/>
            <wp:effectExtent l="0" t="0" r="6985" b="317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6665" cy="2645189"/>
                    </a:xfrm>
                    <a:prstGeom prst="rect">
                      <a:avLst/>
                    </a:prstGeom>
                    <a:noFill/>
                    <a:ln>
                      <a:noFill/>
                    </a:ln>
                  </pic:spPr>
                </pic:pic>
              </a:graphicData>
            </a:graphic>
          </wp:inline>
        </w:drawing>
      </w:r>
    </w:p>
    <w:p w:rsidR="00184338" w:rsidRDefault="00184338" w:rsidP="00184338">
      <w:pPr>
        <w:jc w:val="center"/>
        <w:rPr>
          <w:rFonts w:ascii="Calibri" w:hAnsi="Calibri" w:cs="Calibri"/>
          <w:sz w:val="22"/>
          <w:szCs w:val="22"/>
        </w:rPr>
      </w:pPr>
    </w:p>
    <w:p w:rsidR="00184338" w:rsidRDefault="00184338" w:rsidP="000A0483">
      <w:pPr>
        <w:pStyle w:val="Ttulo3"/>
        <w:rPr>
          <w:rFonts w:ascii="Calibri" w:hAnsi="Calibri" w:cs="Calibri"/>
          <w:b/>
          <w:bCs/>
          <w:sz w:val="24"/>
          <w:szCs w:val="24"/>
        </w:rPr>
      </w:pPr>
    </w:p>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707B6E" w:rsidRDefault="00707B6E" w:rsidP="00184338"/>
    <w:p w:rsidR="00707B6E" w:rsidRDefault="00707B6E" w:rsidP="00184338"/>
    <w:p w:rsidR="00707B6E" w:rsidRDefault="00707B6E" w:rsidP="00184338"/>
    <w:p w:rsidR="00707B6E" w:rsidRDefault="00707B6E" w:rsidP="00184338"/>
    <w:p w:rsidR="00707B6E" w:rsidRDefault="00707B6E" w:rsidP="00184338"/>
    <w:p w:rsidR="00707B6E" w:rsidRDefault="00707B6E" w:rsidP="00184338"/>
    <w:p w:rsidR="00707B6E" w:rsidRDefault="00707B6E" w:rsidP="00184338"/>
    <w:p w:rsidR="000E32C9" w:rsidRDefault="000E32C9" w:rsidP="00184338"/>
    <w:p w:rsidR="00707B6E" w:rsidRDefault="00707B6E" w:rsidP="00184338"/>
    <w:p w:rsidR="00707B6E" w:rsidRDefault="00707B6E" w:rsidP="00184338"/>
    <w:p w:rsidR="00707B6E" w:rsidRDefault="00707B6E" w:rsidP="00184338"/>
    <w:p w:rsidR="00707B6E" w:rsidRDefault="00707B6E" w:rsidP="00184338"/>
    <w:p w:rsidR="00707B6E" w:rsidRDefault="00707B6E" w:rsidP="00184338"/>
    <w:p w:rsidR="00184338" w:rsidRPr="00184338" w:rsidRDefault="000A0483" w:rsidP="00184338">
      <w:pPr>
        <w:pStyle w:val="Ttulo3"/>
        <w:rPr>
          <w:rFonts w:ascii="Calibri" w:hAnsi="Calibri" w:cs="Calibri"/>
          <w:b/>
          <w:bCs/>
          <w:sz w:val="24"/>
          <w:szCs w:val="24"/>
        </w:rPr>
      </w:pPr>
      <w:r w:rsidRPr="00472724">
        <w:rPr>
          <w:rFonts w:ascii="Calibri" w:hAnsi="Calibri" w:cs="Calibri"/>
          <w:b/>
          <w:bCs/>
          <w:sz w:val="24"/>
          <w:szCs w:val="24"/>
        </w:rPr>
        <w:lastRenderedPageBreak/>
        <w:t xml:space="preserve">COMPANHIA DOCAS DO RIO DE JANEIRO </w:t>
      </w:r>
      <w:r w:rsidR="00184338">
        <w:rPr>
          <w:rFonts w:ascii="Calibri" w:hAnsi="Calibri" w:cs="Calibri"/>
          <w:b/>
          <w:bCs/>
          <w:sz w:val="24"/>
          <w:szCs w:val="24"/>
        </w:rPr>
        <w:t>–</w:t>
      </w:r>
      <w:r w:rsidRPr="00472724">
        <w:rPr>
          <w:rFonts w:ascii="Calibri" w:hAnsi="Calibri" w:cs="Calibri"/>
          <w:b/>
          <w:bCs/>
          <w:sz w:val="24"/>
          <w:szCs w:val="24"/>
        </w:rPr>
        <w:t xml:space="preserve"> CDRJ</w:t>
      </w:r>
    </w:p>
    <w:p w:rsidR="000A0483" w:rsidRPr="00472724" w:rsidRDefault="000A0483" w:rsidP="000A0483">
      <w:pPr>
        <w:jc w:val="center"/>
        <w:rPr>
          <w:rFonts w:ascii="Calibri" w:hAnsi="Calibri" w:cs="Calibri"/>
          <w:b/>
          <w:sz w:val="24"/>
          <w:szCs w:val="24"/>
        </w:rPr>
      </w:pPr>
      <w:r w:rsidRPr="00472724">
        <w:rPr>
          <w:rFonts w:ascii="Calibri" w:hAnsi="Calibri" w:cs="Calibri"/>
          <w:b/>
          <w:bCs/>
          <w:sz w:val="24"/>
          <w:szCs w:val="24"/>
        </w:rPr>
        <w:t>DEMONSTRAÇÃO</w:t>
      </w:r>
      <w:r w:rsidRPr="00472724">
        <w:rPr>
          <w:rFonts w:ascii="Calibri" w:hAnsi="Calibri" w:cs="Calibri"/>
          <w:b/>
          <w:sz w:val="24"/>
          <w:szCs w:val="24"/>
        </w:rPr>
        <w:t xml:space="preserve"> DO </w:t>
      </w:r>
      <w:r w:rsidR="009C5118" w:rsidRPr="00472724">
        <w:rPr>
          <w:rFonts w:ascii="Calibri" w:hAnsi="Calibri" w:cs="Calibri"/>
          <w:b/>
          <w:sz w:val="24"/>
          <w:szCs w:val="24"/>
        </w:rPr>
        <w:t>FLUXO DE CAIXA</w:t>
      </w:r>
    </w:p>
    <w:p w:rsidR="000A0483" w:rsidRDefault="000A0483" w:rsidP="00472724">
      <w:pPr>
        <w:jc w:val="center"/>
        <w:rPr>
          <w:rFonts w:ascii="Calibri" w:hAnsi="Calibri" w:cs="Calibri"/>
          <w:sz w:val="22"/>
          <w:szCs w:val="22"/>
        </w:rPr>
      </w:pPr>
      <w:r w:rsidRPr="00A10DC2">
        <w:rPr>
          <w:rFonts w:ascii="Calibri" w:hAnsi="Calibri" w:cs="Calibri"/>
          <w:sz w:val="22"/>
          <w:szCs w:val="22"/>
        </w:rPr>
        <w:t xml:space="preserve">(Em </w:t>
      </w:r>
      <w:r w:rsidR="00C24648">
        <w:rPr>
          <w:rFonts w:ascii="Calibri" w:hAnsi="Calibri" w:cs="Calibri"/>
          <w:sz w:val="22"/>
          <w:szCs w:val="22"/>
        </w:rPr>
        <w:t xml:space="preserve">milhares de </w:t>
      </w:r>
      <w:r w:rsidR="00F951DD">
        <w:rPr>
          <w:rFonts w:ascii="Calibri" w:hAnsi="Calibri" w:cs="Calibri"/>
          <w:sz w:val="22"/>
          <w:szCs w:val="22"/>
        </w:rPr>
        <w:t>Reais)</w:t>
      </w:r>
    </w:p>
    <w:p w:rsidR="00FD3C01" w:rsidRDefault="00FD3C01" w:rsidP="00472724">
      <w:pPr>
        <w:jc w:val="center"/>
        <w:rPr>
          <w:rFonts w:ascii="Calibri" w:hAnsi="Calibri" w:cs="Calibri"/>
          <w:sz w:val="22"/>
          <w:szCs w:val="22"/>
        </w:rPr>
      </w:pPr>
    </w:p>
    <w:p w:rsidR="001D4F78" w:rsidRDefault="00D4531E" w:rsidP="00472724">
      <w:pPr>
        <w:jc w:val="center"/>
        <w:rPr>
          <w:rFonts w:ascii="Calibri" w:hAnsi="Calibri" w:cs="Calibri"/>
          <w:sz w:val="22"/>
          <w:szCs w:val="22"/>
        </w:rPr>
      </w:pPr>
      <w:r>
        <w:rPr>
          <w:noProof/>
        </w:rPr>
        <w:tab/>
      </w:r>
      <w:r w:rsidR="002A182A" w:rsidRPr="002A182A">
        <w:rPr>
          <w:noProof/>
        </w:rPr>
        <w:drawing>
          <wp:inline distT="0" distB="0" distL="0" distR="0">
            <wp:extent cx="5591175" cy="7743825"/>
            <wp:effectExtent l="0" t="0" r="9525" b="952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1175" cy="7743825"/>
                    </a:xfrm>
                    <a:prstGeom prst="rect">
                      <a:avLst/>
                    </a:prstGeom>
                    <a:noFill/>
                    <a:ln>
                      <a:noFill/>
                    </a:ln>
                  </pic:spPr>
                </pic:pic>
              </a:graphicData>
            </a:graphic>
          </wp:inline>
        </w:drawing>
      </w:r>
    </w:p>
    <w:p w:rsidR="00215501" w:rsidRPr="00D61B21" w:rsidRDefault="00215501" w:rsidP="00215501">
      <w:pPr>
        <w:pStyle w:val="Ttulo3"/>
        <w:rPr>
          <w:rFonts w:ascii="Calibri" w:hAnsi="Calibri" w:cs="Calibri"/>
          <w:b/>
          <w:bCs/>
          <w:sz w:val="24"/>
          <w:szCs w:val="24"/>
        </w:rPr>
      </w:pPr>
      <w:r w:rsidRPr="00D61B21">
        <w:rPr>
          <w:rFonts w:ascii="Calibri" w:hAnsi="Calibri" w:cs="Calibri"/>
          <w:b/>
          <w:bCs/>
          <w:sz w:val="24"/>
          <w:szCs w:val="24"/>
        </w:rPr>
        <w:lastRenderedPageBreak/>
        <w:t>COMPANHIA DOCAS DO RIO DE JANEIRO - CDRJ</w:t>
      </w:r>
    </w:p>
    <w:p w:rsidR="00215501" w:rsidRPr="00D61B21" w:rsidRDefault="00215501" w:rsidP="00215501">
      <w:pPr>
        <w:jc w:val="center"/>
        <w:rPr>
          <w:rFonts w:ascii="Calibri" w:hAnsi="Calibri" w:cs="Calibri"/>
          <w:b/>
          <w:sz w:val="24"/>
          <w:szCs w:val="24"/>
        </w:rPr>
      </w:pPr>
      <w:r w:rsidRPr="00D61B21">
        <w:rPr>
          <w:rFonts w:ascii="Calibri" w:hAnsi="Calibri" w:cs="Calibri"/>
          <w:b/>
          <w:bCs/>
          <w:sz w:val="24"/>
          <w:szCs w:val="24"/>
        </w:rPr>
        <w:t>DEMONSTRAÇÃO</w:t>
      </w:r>
      <w:r w:rsidRPr="00D61B21">
        <w:rPr>
          <w:rFonts w:ascii="Calibri" w:hAnsi="Calibri" w:cs="Calibri"/>
          <w:b/>
          <w:sz w:val="24"/>
          <w:szCs w:val="24"/>
        </w:rPr>
        <w:t xml:space="preserve"> DO VALOR ADICIONADO</w:t>
      </w:r>
    </w:p>
    <w:p w:rsidR="00151481" w:rsidRDefault="00215501" w:rsidP="00215501">
      <w:pPr>
        <w:jc w:val="center"/>
        <w:rPr>
          <w:rFonts w:ascii="Calibri" w:hAnsi="Calibri" w:cs="Calibri"/>
          <w:sz w:val="22"/>
          <w:szCs w:val="22"/>
        </w:rPr>
      </w:pPr>
      <w:r w:rsidRPr="00A10DC2">
        <w:rPr>
          <w:rFonts w:ascii="Calibri" w:hAnsi="Calibri" w:cs="Calibri"/>
          <w:sz w:val="22"/>
          <w:szCs w:val="22"/>
        </w:rPr>
        <w:t xml:space="preserve">(Em </w:t>
      </w:r>
      <w:r w:rsidR="00151481">
        <w:rPr>
          <w:rFonts w:ascii="Calibri" w:hAnsi="Calibri" w:cs="Calibri"/>
          <w:sz w:val="22"/>
          <w:szCs w:val="22"/>
        </w:rPr>
        <w:t xml:space="preserve">milhares de </w:t>
      </w:r>
      <w:r w:rsidRPr="00A10DC2">
        <w:rPr>
          <w:rFonts w:ascii="Calibri" w:hAnsi="Calibri" w:cs="Calibri"/>
          <w:sz w:val="22"/>
          <w:szCs w:val="22"/>
        </w:rPr>
        <w:t>Reais)</w:t>
      </w:r>
    </w:p>
    <w:p w:rsidR="00171E69" w:rsidRDefault="00171E69" w:rsidP="00215501">
      <w:pPr>
        <w:jc w:val="center"/>
        <w:rPr>
          <w:rFonts w:ascii="Calibri" w:hAnsi="Calibri" w:cs="Calibri"/>
          <w:sz w:val="22"/>
          <w:szCs w:val="22"/>
        </w:rPr>
      </w:pPr>
    </w:p>
    <w:p w:rsidR="00171E69" w:rsidRDefault="005020AD" w:rsidP="00215501">
      <w:pPr>
        <w:jc w:val="center"/>
        <w:rPr>
          <w:rFonts w:ascii="Calibri" w:hAnsi="Calibri" w:cs="Calibri"/>
          <w:sz w:val="22"/>
          <w:szCs w:val="22"/>
        </w:rPr>
      </w:pPr>
      <w:r w:rsidRPr="005020AD">
        <w:rPr>
          <w:noProof/>
        </w:rPr>
        <w:drawing>
          <wp:inline distT="0" distB="0" distL="0" distR="0">
            <wp:extent cx="6067425" cy="7896225"/>
            <wp:effectExtent l="0" t="0" r="9525"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67425" cy="7896225"/>
                    </a:xfrm>
                    <a:prstGeom prst="rect">
                      <a:avLst/>
                    </a:prstGeom>
                    <a:noFill/>
                    <a:ln>
                      <a:noFill/>
                    </a:ln>
                  </pic:spPr>
                </pic:pic>
              </a:graphicData>
            </a:graphic>
          </wp:inline>
        </w:drawing>
      </w:r>
    </w:p>
    <w:p w:rsidR="00C16DDB" w:rsidRPr="00312424" w:rsidRDefault="00C16DDB" w:rsidP="00C16DDB">
      <w:pPr>
        <w:jc w:val="center"/>
        <w:rPr>
          <w:rFonts w:ascii="Calibri" w:hAnsi="Calibri" w:cs="Calibri"/>
          <w:b/>
          <w:bCs/>
          <w:sz w:val="24"/>
          <w:szCs w:val="24"/>
        </w:rPr>
      </w:pPr>
      <w:r w:rsidRPr="00312424">
        <w:rPr>
          <w:rFonts w:ascii="Calibri" w:hAnsi="Calibri" w:cs="Calibri"/>
          <w:b/>
          <w:bCs/>
          <w:sz w:val="24"/>
          <w:szCs w:val="24"/>
        </w:rPr>
        <w:lastRenderedPageBreak/>
        <w:t>COMPANHIA DOCAS DO RIO DE JANEIRO - CDRJ</w:t>
      </w:r>
    </w:p>
    <w:p w:rsidR="00C16DDB" w:rsidRPr="00312424" w:rsidRDefault="00C16DDB" w:rsidP="00C16DDB">
      <w:pPr>
        <w:pStyle w:val="Ttulo9"/>
        <w:jc w:val="center"/>
        <w:rPr>
          <w:rFonts w:ascii="Calibri" w:hAnsi="Calibri" w:cs="Calibri"/>
          <w:sz w:val="24"/>
          <w:szCs w:val="24"/>
        </w:rPr>
      </w:pPr>
      <w:r w:rsidRPr="00312424">
        <w:rPr>
          <w:rFonts w:ascii="Calibri" w:hAnsi="Calibri" w:cs="Calibri"/>
          <w:sz w:val="24"/>
          <w:szCs w:val="24"/>
        </w:rPr>
        <w:t>Notas Explicativas às Demonstrações Financeiras</w:t>
      </w:r>
    </w:p>
    <w:p w:rsidR="002076AA" w:rsidRDefault="00E42EDB" w:rsidP="00C16DDB">
      <w:pPr>
        <w:pStyle w:val="Ttulo9"/>
        <w:jc w:val="center"/>
        <w:rPr>
          <w:rFonts w:ascii="Calibri" w:hAnsi="Calibri" w:cs="Calibri"/>
          <w:b w:val="0"/>
          <w:sz w:val="24"/>
          <w:szCs w:val="24"/>
        </w:rPr>
      </w:pPr>
      <w:r>
        <w:rPr>
          <w:rFonts w:ascii="Calibri" w:hAnsi="Calibri" w:cs="Calibri"/>
          <w:b w:val="0"/>
          <w:sz w:val="24"/>
          <w:szCs w:val="24"/>
        </w:rPr>
        <w:t>Exercícios findos em 31 de dezembro de 2019 e</w:t>
      </w:r>
      <w:r w:rsidR="00905F4A">
        <w:rPr>
          <w:rFonts w:ascii="Calibri" w:hAnsi="Calibri" w:cs="Calibri"/>
          <w:b w:val="0"/>
          <w:sz w:val="24"/>
          <w:szCs w:val="24"/>
        </w:rPr>
        <w:t xml:space="preserve"> 31 de dezembro de </w:t>
      </w:r>
      <w:r>
        <w:rPr>
          <w:rFonts w:ascii="Calibri" w:hAnsi="Calibri" w:cs="Calibri"/>
          <w:b w:val="0"/>
          <w:sz w:val="24"/>
          <w:szCs w:val="24"/>
        </w:rPr>
        <w:t>2018</w:t>
      </w:r>
    </w:p>
    <w:p w:rsidR="00C16DDB" w:rsidRPr="00312424" w:rsidRDefault="00C16DDB" w:rsidP="00C16DDB">
      <w:pPr>
        <w:tabs>
          <w:tab w:val="left" w:pos="2552"/>
        </w:tabs>
        <w:jc w:val="both"/>
        <w:rPr>
          <w:rFonts w:ascii="Calibri" w:hAnsi="Calibri" w:cs="Calibri"/>
          <w:b/>
          <w:sz w:val="24"/>
          <w:szCs w:val="24"/>
        </w:rPr>
      </w:pPr>
    </w:p>
    <w:p w:rsidR="00C16DDB" w:rsidRPr="00312424" w:rsidRDefault="00C16DDB" w:rsidP="00C16DDB">
      <w:pPr>
        <w:tabs>
          <w:tab w:val="left" w:pos="2552"/>
        </w:tabs>
        <w:jc w:val="both"/>
        <w:rPr>
          <w:rFonts w:ascii="Calibri" w:hAnsi="Calibri" w:cs="Calibri"/>
          <w:b/>
          <w:sz w:val="24"/>
          <w:szCs w:val="24"/>
        </w:rPr>
      </w:pPr>
    </w:p>
    <w:p w:rsidR="00C16DDB" w:rsidRPr="00312424" w:rsidRDefault="00C16DDB" w:rsidP="00C16DDB">
      <w:pPr>
        <w:tabs>
          <w:tab w:val="left" w:pos="2552"/>
        </w:tabs>
        <w:jc w:val="both"/>
        <w:rPr>
          <w:rFonts w:ascii="Calibri" w:hAnsi="Calibri" w:cs="Calibri"/>
          <w:b/>
          <w:sz w:val="24"/>
          <w:szCs w:val="24"/>
          <w:u w:val="single"/>
        </w:rPr>
      </w:pPr>
      <w:r w:rsidRPr="00312424">
        <w:rPr>
          <w:rFonts w:ascii="Calibri" w:hAnsi="Calibri" w:cs="Calibri"/>
          <w:b/>
          <w:sz w:val="24"/>
          <w:szCs w:val="24"/>
        </w:rPr>
        <w:t xml:space="preserve">1 – </w:t>
      </w:r>
      <w:r w:rsidRPr="00312424">
        <w:rPr>
          <w:rFonts w:ascii="Calibri" w:hAnsi="Calibri" w:cs="Calibri"/>
          <w:b/>
          <w:sz w:val="24"/>
          <w:szCs w:val="24"/>
          <w:u w:val="single"/>
        </w:rPr>
        <w:t>CONTEXTO OPERACIONAL</w:t>
      </w:r>
    </w:p>
    <w:p w:rsidR="002076AA" w:rsidRPr="00312424" w:rsidRDefault="002076AA" w:rsidP="00C16DDB">
      <w:pPr>
        <w:pStyle w:val="Default"/>
        <w:rPr>
          <w:rFonts w:ascii="Calibri" w:hAnsi="Calibri" w:cs="Calibri"/>
          <w:color w:val="auto"/>
        </w:rPr>
      </w:pPr>
    </w:p>
    <w:p w:rsidR="00C16DDB" w:rsidRDefault="00C16DDB" w:rsidP="00C16DDB">
      <w:pPr>
        <w:pStyle w:val="Default"/>
        <w:jc w:val="both"/>
        <w:rPr>
          <w:rFonts w:ascii="Calibri" w:hAnsi="Calibri" w:cs="Calibri"/>
          <w:color w:val="auto"/>
        </w:rPr>
      </w:pPr>
      <w:r w:rsidRPr="00312424">
        <w:rPr>
          <w:rFonts w:ascii="Calibri" w:hAnsi="Calibri" w:cs="Calibri"/>
          <w:color w:val="auto"/>
        </w:rPr>
        <w:t xml:space="preserve">A COMPANHIA DOCAS DO RIO DE JANEIRO – CDRJ, </w:t>
      </w:r>
      <w:r w:rsidR="008A71CD">
        <w:rPr>
          <w:rFonts w:ascii="Calibri" w:hAnsi="Calibri" w:cs="Calibri"/>
          <w:color w:val="auto"/>
        </w:rPr>
        <w:t>doravante denominada “CDRJ” ou “Companhia”</w:t>
      </w:r>
      <w:r w:rsidR="003924AB">
        <w:rPr>
          <w:rFonts w:ascii="Calibri" w:hAnsi="Calibri" w:cs="Calibri"/>
          <w:color w:val="auto"/>
        </w:rPr>
        <w:t>,</w:t>
      </w:r>
      <w:r w:rsidR="008A71CD">
        <w:rPr>
          <w:rFonts w:ascii="Calibri" w:hAnsi="Calibri" w:cs="Calibri"/>
          <w:color w:val="auto"/>
        </w:rPr>
        <w:t xml:space="preserve"> </w:t>
      </w:r>
      <w:r w:rsidRPr="00312424">
        <w:rPr>
          <w:rFonts w:ascii="Calibri" w:hAnsi="Calibri" w:cs="Calibri"/>
          <w:color w:val="auto"/>
        </w:rPr>
        <w:t xml:space="preserve">com sede na Rua Acre, 21 Centro – Rio de Janeiro – RJ, é uma </w:t>
      </w:r>
      <w:r w:rsidR="00027744">
        <w:rPr>
          <w:rFonts w:ascii="Calibri" w:hAnsi="Calibri" w:cs="Calibri"/>
          <w:color w:val="auto"/>
        </w:rPr>
        <w:t>empresa pública</w:t>
      </w:r>
      <w:r w:rsidRPr="00312424">
        <w:rPr>
          <w:rFonts w:ascii="Calibri" w:hAnsi="Calibri" w:cs="Calibri"/>
          <w:color w:val="auto"/>
        </w:rPr>
        <w:t>, cuja criação foi autorizada pelo Decreto-Lei nº 794 de 27 de agosto de 1969, constituída sob a forma de sociedade anônima, vinculada ao Ministério d</w:t>
      </w:r>
      <w:r w:rsidR="00351A64">
        <w:rPr>
          <w:rFonts w:ascii="Calibri" w:hAnsi="Calibri" w:cs="Calibri"/>
          <w:color w:val="auto"/>
        </w:rPr>
        <w:t>a Infraestrutura</w:t>
      </w:r>
      <w:r w:rsidRPr="00312424">
        <w:rPr>
          <w:rFonts w:ascii="Calibri" w:hAnsi="Calibri" w:cs="Calibri"/>
          <w:color w:val="auto"/>
        </w:rPr>
        <w:t xml:space="preserve">, regendo-se pela legislação relativa às sociedades por ações, Lei 6.404, de 15 de dezembro de 1976, </w:t>
      </w:r>
      <w:r w:rsidR="00027744">
        <w:rPr>
          <w:rFonts w:ascii="Calibri" w:hAnsi="Calibri" w:cs="Calibri"/>
          <w:color w:val="auto"/>
        </w:rPr>
        <w:t xml:space="preserve">pela Lei das Estatais, Lei nº 13.303, de 30 de junho de 2016, </w:t>
      </w:r>
      <w:r w:rsidRPr="00312424">
        <w:rPr>
          <w:rFonts w:ascii="Calibri" w:hAnsi="Calibri" w:cs="Calibri"/>
          <w:color w:val="auto"/>
        </w:rPr>
        <w:t>e</w:t>
      </w:r>
      <w:r w:rsidR="00027744">
        <w:rPr>
          <w:rFonts w:ascii="Calibri" w:hAnsi="Calibri" w:cs="Calibri"/>
          <w:color w:val="auto"/>
        </w:rPr>
        <w:t>,</w:t>
      </w:r>
      <w:r w:rsidRPr="00312424">
        <w:rPr>
          <w:rFonts w:ascii="Calibri" w:hAnsi="Calibri" w:cs="Calibri"/>
          <w:color w:val="auto"/>
        </w:rPr>
        <w:t xml:space="preserve"> no que lhe for aplicável, pela Lei 12.815, de 5 de junho de 2013, que dispõe sobre a exploração direta e indireta pela União de portos e instalações portuárias e sobre as atividades desempenhadas pelos operadores portuários</w:t>
      </w:r>
      <w:r w:rsidR="00027744">
        <w:rPr>
          <w:rFonts w:ascii="Calibri" w:hAnsi="Calibri" w:cs="Calibri"/>
          <w:color w:val="auto"/>
        </w:rPr>
        <w:t>. A CDRJ tem</w:t>
      </w:r>
      <w:r w:rsidRPr="00312424">
        <w:rPr>
          <w:rFonts w:ascii="Calibri" w:hAnsi="Calibri" w:cs="Calibri"/>
          <w:color w:val="auto"/>
        </w:rPr>
        <w:t xml:space="preserve"> por objeto social realizar, direta ou indiretamente, em harmonia com os planos e programas do Ministério d</w:t>
      </w:r>
      <w:r w:rsidR="005D7DDB">
        <w:rPr>
          <w:rFonts w:ascii="Calibri" w:hAnsi="Calibri" w:cs="Calibri"/>
          <w:color w:val="auto"/>
        </w:rPr>
        <w:t>a Infraestrutura</w:t>
      </w:r>
      <w:r w:rsidRPr="00312424">
        <w:rPr>
          <w:rFonts w:ascii="Calibri" w:hAnsi="Calibri" w:cs="Calibri"/>
          <w:color w:val="auto"/>
        </w:rPr>
        <w:t xml:space="preserve">, a administração e exploração comercial dos portos organizados e demais instalações portuárias do Estado </w:t>
      </w:r>
      <w:r w:rsidR="00E37661">
        <w:rPr>
          <w:rFonts w:ascii="Calibri" w:hAnsi="Calibri" w:cs="Calibri"/>
          <w:color w:val="auto"/>
        </w:rPr>
        <w:t>do Rio de Janeiro</w:t>
      </w:r>
      <w:r w:rsidRPr="00312424">
        <w:rPr>
          <w:rFonts w:ascii="Calibri" w:hAnsi="Calibri" w:cs="Calibri"/>
          <w:color w:val="auto"/>
        </w:rPr>
        <w:t>.</w:t>
      </w:r>
    </w:p>
    <w:p w:rsidR="00184338" w:rsidRDefault="00184338" w:rsidP="00C16DDB">
      <w:pPr>
        <w:pStyle w:val="Default"/>
        <w:jc w:val="both"/>
        <w:rPr>
          <w:rFonts w:ascii="Calibri" w:hAnsi="Calibri" w:cs="Calibri"/>
          <w:color w:val="auto"/>
        </w:rPr>
      </w:pPr>
    </w:p>
    <w:p w:rsidR="00184338" w:rsidRPr="00184338" w:rsidRDefault="00184338" w:rsidP="00184338">
      <w:pPr>
        <w:pStyle w:val="Default"/>
        <w:numPr>
          <w:ilvl w:val="1"/>
          <w:numId w:val="17"/>
        </w:numPr>
        <w:jc w:val="both"/>
        <w:rPr>
          <w:rFonts w:ascii="Calibri" w:hAnsi="Calibri" w:cs="Calibri"/>
          <w:b/>
          <w:color w:val="auto"/>
        </w:rPr>
      </w:pPr>
      <w:r w:rsidRPr="00184338">
        <w:rPr>
          <w:rFonts w:ascii="Calibri" w:hAnsi="Calibri" w:cs="Calibri"/>
          <w:b/>
          <w:color w:val="auto"/>
        </w:rPr>
        <w:t xml:space="preserve">   Continuidade Operacional</w:t>
      </w:r>
    </w:p>
    <w:p w:rsidR="00184338" w:rsidRDefault="00184338" w:rsidP="00184338">
      <w:pPr>
        <w:pStyle w:val="Default"/>
        <w:jc w:val="both"/>
        <w:rPr>
          <w:rFonts w:ascii="Calibri" w:hAnsi="Calibri" w:cs="Calibri"/>
          <w:color w:val="auto"/>
        </w:rPr>
      </w:pPr>
    </w:p>
    <w:p w:rsidR="00226799" w:rsidRDefault="00226799" w:rsidP="00184338">
      <w:pPr>
        <w:pStyle w:val="Recuodecorpodetexto"/>
        <w:widowControl/>
        <w:autoSpaceDE w:val="0"/>
        <w:autoSpaceDN w:val="0"/>
        <w:ind w:left="851"/>
        <w:rPr>
          <w:rFonts w:ascii="Calibri" w:hAnsi="Calibri" w:cs="Calibri"/>
          <w:szCs w:val="24"/>
          <w:lang w:val="pt-BR"/>
        </w:rPr>
      </w:pPr>
      <w:r>
        <w:rPr>
          <w:rFonts w:ascii="Calibri" w:hAnsi="Calibri" w:cs="Calibri"/>
          <w:szCs w:val="24"/>
          <w:lang w:val="pt-BR"/>
        </w:rPr>
        <w:t>As demonstrações financeiras da CDRJ foram preparadas no pressuposto da continuidade normal de suas operações.</w:t>
      </w:r>
    </w:p>
    <w:p w:rsidR="00226799" w:rsidRDefault="00226799" w:rsidP="00184338">
      <w:pPr>
        <w:pStyle w:val="Recuodecorpodetexto"/>
        <w:widowControl/>
        <w:autoSpaceDE w:val="0"/>
        <w:autoSpaceDN w:val="0"/>
        <w:ind w:left="851"/>
        <w:rPr>
          <w:rFonts w:ascii="Calibri" w:hAnsi="Calibri" w:cs="Calibri"/>
          <w:szCs w:val="24"/>
          <w:lang w:val="pt-BR"/>
        </w:rPr>
      </w:pPr>
    </w:p>
    <w:p w:rsidR="00226799" w:rsidRDefault="00226799" w:rsidP="00184338">
      <w:pPr>
        <w:pStyle w:val="Recuodecorpodetexto"/>
        <w:widowControl/>
        <w:autoSpaceDE w:val="0"/>
        <w:autoSpaceDN w:val="0"/>
        <w:ind w:left="851"/>
        <w:rPr>
          <w:rFonts w:ascii="Calibri" w:hAnsi="Calibri" w:cs="Calibri"/>
          <w:szCs w:val="24"/>
          <w:lang w:val="pt-BR"/>
        </w:rPr>
      </w:pPr>
      <w:r>
        <w:rPr>
          <w:rFonts w:ascii="Calibri" w:hAnsi="Calibri" w:cs="Calibri"/>
          <w:szCs w:val="24"/>
          <w:lang w:val="pt-BR"/>
        </w:rPr>
        <w:t xml:space="preserve">Conforme apresentado nos relatórios, a CDRJ incorreu, no exercício findo em 31 de dezembro de 2019, em </w:t>
      </w:r>
      <w:r w:rsidR="000E535D">
        <w:rPr>
          <w:rFonts w:ascii="Calibri" w:hAnsi="Calibri" w:cs="Calibri"/>
          <w:szCs w:val="24"/>
          <w:lang w:val="pt-BR"/>
        </w:rPr>
        <w:t>lucro</w:t>
      </w:r>
      <w:r>
        <w:rPr>
          <w:rFonts w:ascii="Calibri" w:hAnsi="Calibri" w:cs="Calibri"/>
          <w:szCs w:val="24"/>
          <w:lang w:val="pt-BR"/>
        </w:rPr>
        <w:t xml:space="preserve"> no montante de R$ </w:t>
      </w:r>
      <w:r w:rsidR="000E535D">
        <w:rPr>
          <w:rFonts w:ascii="Calibri" w:hAnsi="Calibri" w:cs="Calibri"/>
          <w:szCs w:val="24"/>
          <w:lang w:val="pt-BR"/>
        </w:rPr>
        <w:t>947</w:t>
      </w:r>
      <w:r>
        <w:rPr>
          <w:rFonts w:ascii="Calibri" w:hAnsi="Calibri" w:cs="Calibri"/>
          <w:szCs w:val="24"/>
          <w:lang w:val="pt-BR"/>
        </w:rPr>
        <w:t>.</w:t>
      </w:r>
      <w:r w:rsidR="000E535D">
        <w:rPr>
          <w:rFonts w:ascii="Calibri" w:hAnsi="Calibri" w:cs="Calibri"/>
          <w:szCs w:val="24"/>
          <w:lang w:val="pt-BR"/>
        </w:rPr>
        <w:t>892</w:t>
      </w:r>
      <w:r>
        <w:rPr>
          <w:rFonts w:ascii="Calibri" w:hAnsi="Calibri" w:cs="Calibri"/>
          <w:szCs w:val="24"/>
          <w:lang w:val="pt-BR"/>
        </w:rPr>
        <w:t xml:space="preserve"> mil (</w:t>
      </w:r>
      <w:r w:rsidR="000E535D">
        <w:rPr>
          <w:rFonts w:ascii="Calibri" w:hAnsi="Calibri" w:cs="Calibri"/>
          <w:szCs w:val="24"/>
          <w:lang w:val="pt-BR"/>
        </w:rPr>
        <w:t xml:space="preserve">prejuízo de </w:t>
      </w:r>
      <w:r>
        <w:rPr>
          <w:rFonts w:ascii="Calibri" w:hAnsi="Calibri" w:cs="Calibri"/>
          <w:szCs w:val="24"/>
          <w:lang w:val="pt-BR"/>
        </w:rPr>
        <w:t>R$ 3</w:t>
      </w:r>
      <w:r w:rsidR="000E535D">
        <w:rPr>
          <w:rFonts w:ascii="Calibri" w:hAnsi="Calibri" w:cs="Calibri"/>
          <w:szCs w:val="24"/>
          <w:lang w:val="pt-BR"/>
        </w:rPr>
        <w:t>30</w:t>
      </w:r>
      <w:r>
        <w:rPr>
          <w:rFonts w:ascii="Calibri" w:hAnsi="Calibri" w:cs="Calibri"/>
          <w:szCs w:val="24"/>
          <w:lang w:val="pt-BR"/>
        </w:rPr>
        <w:t>.</w:t>
      </w:r>
      <w:r w:rsidR="000E535D">
        <w:rPr>
          <w:rFonts w:ascii="Calibri" w:hAnsi="Calibri" w:cs="Calibri"/>
          <w:szCs w:val="24"/>
          <w:lang w:val="pt-BR"/>
        </w:rPr>
        <w:t>745</w:t>
      </w:r>
      <w:r>
        <w:rPr>
          <w:rFonts w:ascii="Calibri" w:hAnsi="Calibri" w:cs="Calibri"/>
          <w:szCs w:val="24"/>
          <w:lang w:val="pt-BR"/>
        </w:rPr>
        <w:t xml:space="preserve"> mil em 31 de dezembro de 2018), em especial pelo reflexo d</w:t>
      </w:r>
      <w:r w:rsidR="000E535D">
        <w:rPr>
          <w:rFonts w:ascii="Calibri" w:hAnsi="Calibri" w:cs="Calibri"/>
          <w:szCs w:val="24"/>
          <w:lang w:val="pt-BR"/>
        </w:rPr>
        <w:t>a reversão das provisões para contingências, classificadas até o exercício anterior.</w:t>
      </w:r>
    </w:p>
    <w:p w:rsidR="00226799" w:rsidRDefault="00226799" w:rsidP="00184338">
      <w:pPr>
        <w:pStyle w:val="Recuodecorpodetexto"/>
        <w:widowControl/>
        <w:autoSpaceDE w:val="0"/>
        <w:autoSpaceDN w:val="0"/>
        <w:ind w:left="851"/>
        <w:rPr>
          <w:rFonts w:ascii="Calibri" w:hAnsi="Calibri" w:cs="Calibri"/>
          <w:szCs w:val="24"/>
          <w:lang w:val="pt-BR"/>
        </w:rPr>
      </w:pPr>
    </w:p>
    <w:p w:rsidR="00226799" w:rsidRDefault="00226799" w:rsidP="00184338">
      <w:pPr>
        <w:pStyle w:val="Recuodecorpodetexto"/>
        <w:widowControl/>
        <w:autoSpaceDE w:val="0"/>
        <w:autoSpaceDN w:val="0"/>
        <w:ind w:left="851"/>
        <w:rPr>
          <w:rFonts w:ascii="Calibri" w:hAnsi="Calibri" w:cs="Calibri"/>
          <w:szCs w:val="24"/>
          <w:lang w:val="pt-BR"/>
        </w:rPr>
      </w:pPr>
      <w:r>
        <w:rPr>
          <w:rFonts w:ascii="Calibri" w:hAnsi="Calibri" w:cs="Calibri"/>
          <w:szCs w:val="24"/>
          <w:lang w:val="pt-BR"/>
        </w:rPr>
        <w:t xml:space="preserve">Embora a CDRJ possua natureza jurídica de empresa pública não sujeita às regras de falência </w:t>
      </w:r>
      <w:r w:rsidR="00981AFC">
        <w:rPr>
          <w:rFonts w:ascii="Calibri" w:hAnsi="Calibri" w:cs="Calibri"/>
          <w:szCs w:val="24"/>
          <w:lang w:val="pt-BR"/>
        </w:rPr>
        <w:t xml:space="preserve">e recuperação de empresas, as suas atividades passaram por um processo de reestruturação operacional e financeira, por meio do qual a Administração tomou medidas que visam o equacionamento dos resultados, otimizar custos e despesas com o objetivo de alcançar o equilíbrio do capital circulante líquido e recuperar a lucratividade das operações. O Conselho de Administração aprovou, em sua 741ª reunião, de 8 de junho de 2020, </w:t>
      </w:r>
      <w:r w:rsidR="00F5054E">
        <w:rPr>
          <w:rFonts w:ascii="Calibri" w:hAnsi="Calibri" w:cs="Calibri"/>
          <w:szCs w:val="24"/>
          <w:lang w:val="pt-BR"/>
        </w:rPr>
        <w:t>o</w:t>
      </w:r>
      <w:r w:rsidR="00981AFC">
        <w:rPr>
          <w:rFonts w:ascii="Calibri" w:hAnsi="Calibri" w:cs="Calibri"/>
          <w:szCs w:val="24"/>
          <w:lang w:val="pt-BR"/>
        </w:rPr>
        <w:t xml:space="preserve"> plano de reduç</w:t>
      </w:r>
      <w:r w:rsidR="00F5054E">
        <w:rPr>
          <w:rFonts w:ascii="Calibri" w:hAnsi="Calibri" w:cs="Calibri"/>
          <w:szCs w:val="24"/>
          <w:lang w:val="pt-BR"/>
        </w:rPr>
        <w:t>ão de despesas elaborado pela Diretoria Executiva.</w:t>
      </w:r>
    </w:p>
    <w:p w:rsidR="00226799" w:rsidRDefault="00226799" w:rsidP="00184338">
      <w:pPr>
        <w:pStyle w:val="Recuodecorpodetexto"/>
        <w:widowControl/>
        <w:autoSpaceDE w:val="0"/>
        <w:autoSpaceDN w:val="0"/>
        <w:ind w:left="851"/>
        <w:rPr>
          <w:rFonts w:ascii="Calibri" w:hAnsi="Calibri" w:cs="Calibri"/>
          <w:szCs w:val="24"/>
          <w:lang w:val="pt-BR"/>
        </w:rPr>
      </w:pPr>
    </w:p>
    <w:p w:rsidR="00C16DDB" w:rsidRPr="00921985" w:rsidRDefault="00C16DDB" w:rsidP="00C16DDB">
      <w:pPr>
        <w:tabs>
          <w:tab w:val="left" w:pos="2552"/>
        </w:tabs>
        <w:jc w:val="both"/>
        <w:rPr>
          <w:rFonts w:ascii="Calibri" w:hAnsi="Calibri" w:cs="Calibri"/>
          <w:sz w:val="24"/>
          <w:szCs w:val="24"/>
        </w:rPr>
      </w:pPr>
    </w:p>
    <w:p w:rsidR="00C16DDB" w:rsidRPr="00312424" w:rsidRDefault="00C16DDB" w:rsidP="00C16DDB">
      <w:pPr>
        <w:tabs>
          <w:tab w:val="left" w:pos="2552"/>
        </w:tabs>
        <w:jc w:val="both"/>
        <w:rPr>
          <w:rFonts w:ascii="Calibri" w:hAnsi="Calibri" w:cs="Calibri"/>
          <w:b/>
          <w:sz w:val="24"/>
          <w:szCs w:val="24"/>
          <w:u w:val="single"/>
        </w:rPr>
      </w:pPr>
      <w:r w:rsidRPr="00312424">
        <w:rPr>
          <w:rFonts w:ascii="Calibri" w:hAnsi="Calibri" w:cs="Calibri"/>
          <w:b/>
          <w:sz w:val="24"/>
          <w:szCs w:val="24"/>
        </w:rPr>
        <w:t xml:space="preserve">2 – </w:t>
      </w:r>
      <w:r w:rsidRPr="00312424">
        <w:rPr>
          <w:rFonts w:ascii="Calibri" w:hAnsi="Calibri" w:cs="Calibri"/>
          <w:b/>
          <w:sz w:val="24"/>
          <w:szCs w:val="24"/>
          <w:u w:val="single"/>
        </w:rPr>
        <w:t>APRESENTAÇÃO DAS DEMONSTRAÇÕES FINANCEIRAS</w:t>
      </w:r>
    </w:p>
    <w:p w:rsidR="00C16DDB" w:rsidRPr="00312424" w:rsidRDefault="00C16DDB" w:rsidP="00C16DDB">
      <w:pPr>
        <w:pStyle w:val="Recuodecorpodetexto"/>
        <w:ind w:left="1021"/>
        <w:rPr>
          <w:rFonts w:ascii="Calibri" w:hAnsi="Calibri" w:cs="Calibri"/>
          <w:szCs w:val="24"/>
        </w:rPr>
      </w:pPr>
    </w:p>
    <w:p w:rsidR="00B9551E" w:rsidRDefault="00C16DDB" w:rsidP="00C16DDB">
      <w:pPr>
        <w:tabs>
          <w:tab w:val="left" w:pos="2552"/>
        </w:tabs>
        <w:jc w:val="both"/>
        <w:rPr>
          <w:rFonts w:ascii="Calibri" w:hAnsi="Calibri" w:cs="Calibri"/>
          <w:sz w:val="24"/>
          <w:szCs w:val="24"/>
        </w:rPr>
      </w:pPr>
      <w:r w:rsidRPr="00312424">
        <w:rPr>
          <w:rFonts w:ascii="Calibri" w:hAnsi="Calibri" w:cs="Calibri"/>
          <w:sz w:val="24"/>
          <w:szCs w:val="24"/>
        </w:rPr>
        <w:t xml:space="preserve">As demonstrações financeiras da Companhia Docas do Rio de Janeiro, inclusive as notas explicativas, estão apresentadas em </w:t>
      </w:r>
      <w:r w:rsidR="00351A64">
        <w:rPr>
          <w:rFonts w:ascii="Calibri" w:hAnsi="Calibri" w:cs="Calibri"/>
          <w:sz w:val="24"/>
          <w:szCs w:val="24"/>
        </w:rPr>
        <w:t xml:space="preserve">milhares de </w:t>
      </w:r>
      <w:r w:rsidRPr="00312424">
        <w:rPr>
          <w:rFonts w:ascii="Calibri" w:hAnsi="Calibri" w:cs="Calibri"/>
          <w:sz w:val="24"/>
          <w:szCs w:val="24"/>
        </w:rPr>
        <w:t>reais</w:t>
      </w:r>
      <w:r w:rsidR="00351A64">
        <w:rPr>
          <w:rFonts w:ascii="Calibri" w:hAnsi="Calibri" w:cs="Calibri"/>
          <w:sz w:val="24"/>
          <w:szCs w:val="24"/>
        </w:rPr>
        <w:t>, exceto quando indicadas de outra forma,</w:t>
      </w:r>
      <w:r w:rsidR="00027744">
        <w:rPr>
          <w:rFonts w:ascii="Calibri" w:hAnsi="Calibri" w:cs="Calibri"/>
          <w:sz w:val="24"/>
          <w:szCs w:val="24"/>
        </w:rPr>
        <w:t xml:space="preserve"> e</w:t>
      </w:r>
      <w:r w:rsidRPr="00312424">
        <w:rPr>
          <w:rFonts w:ascii="Calibri" w:hAnsi="Calibri" w:cs="Calibri"/>
          <w:sz w:val="24"/>
          <w:szCs w:val="24"/>
        </w:rPr>
        <w:t xml:space="preserve"> estão sendo apresentadas de acordo com as práticas contábeis adotadas no Brasil</w:t>
      </w:r>
      <w:r w:rsidR="00B9551E">
        <w:rPr>
          <w:rFonts w:ascii="Calibri" w:hAnsi="Calibri" w:cs="Calibri"/>
          <w:sz w:val="24"/>
          <w:szCs w:val="24"/>
        </w:rPr>
        <w:t>.</w:t>
      </w:r>
    </w:p>
    <w:p w:rsidR="00B9551E" w:rsidRDefault="00B9551E" w:rsidP="00C16DDB">
      <w:pPr>
        <w:tabs>
          <w:tab w:val="left" w:pos="2552"/>
        </w:tabs>
        <w:jc w:val="both"/>
        <w:rPr>
          <w:rFonts w:ascii="Calibri" w:hAnsi="Calibri" w:cs="Calibri"/>
          <w:sz w:val="24"/>
          <w:szCs w:val="24"/>
        </w:rPr>
      </w:pPr>
    </w:p>
    <w:p w:rsidR="00B9551E" w:rsidRDefault="00B9551E" w:rsidP="00C16DDB">
      <w:pPr>
        <w:tabs>
          <w:tab w:val="left" w:pos="2552"/>
        </w:tabs>
        <w:jc w:val="both"/>
        <w:rPr>
          <w:rFonts w:ascii="Calibri" w:hAnsi="Calibri" w:cs="Calibri"/>
          <w:sz w:val="24"/>
          <w:szCs w:val="24"/>
        </w:rPr>
      </w:pPr>
      <w:r>
        <w:rPr>
          <w:rFonts w:ascii="Calibri" w:hAnsi="Calibri" w:cs="Calibri"/>
          <w:sz w:val="24"/>
          <w:szCs w:val="24"/>
        </w:rPr>
        <w:t>A autorização, pela Diretoria Executiva, para conclusão da preparação destas demonstrações, ocorreu em 23 de julho de 2020.</w:t>
      </w:r>
    </w:p>
    <w:p w:rsidR="00B9551E" w:rsidRPr="00B9551E" w:rsidRDefault="00B9551E" w:rsidP="00B9551E">
      <w:pPr>
        <w:pStyle w:val="PargrafodaLista"/>
        <w:numPr>
          <w:ilvl w:val="1"/>
          <w:numId w:val="25"/>
        </w:numPr>
        <w:tabs>
          <w:tab w:val="left" w:pos="284"/>
        </w:tabs>
        <w:spacing w:after="0" w:line="240" w:lineRule="auto"/>
        <w:ind w:left="709" w:hanging="425"/>
        <w:contextualSpacing w:val="0"/>
        <w:jc w:val="both"/>
        <w:rPr>
          <w:rFonts w:cs="Calibri"/>
          <w:b/>
          <w:bCs/>
          <w:sz w:val="24"/>
          <w:szCs w:val="24"/>
        </w:rPr>
      </w:pPr>
      <w:r w:rsidRPr="00B9551E">
        <w:rPr>
          <w:rFonts w:cs="Calibri"/>
          <w:b/>
          <w:bCs/>
          <w:sz w:val="24"/>
          <w:szCs w:val="24"/>
        </w:rPr>
        <w:lastRenderedPageBreak/>
        <w:t xml:space="preserve">  Moeda funcional e moeda de apresentação</w:t>
      </w:r>
    </w:p>
    <w:p w:rsidR="00B9551E" w:rsidRPr="00B9551E" w:rsidRDefault="00B9551E" w:rsidP="00B9551E">
      <w:pPr>
        <w:pStyle w:val="PargrafodaLista"/>
        <w:tabs>
          <w:tab w:val="left" w:pos="142"/>
          <w:tab w:val="left" w:pos="426"/>
        </w:tabs>
        <w:spacing w:after="0" w:line="240" w:lineRule="auto"/>
        <w:ind w:left="709"/>
        <w:contextualSpacing w:val="0"/>
        <w:jc w:val="both"/>
        <w:rPr>
          <w:rFonts w:cs="Calibri"/>
          <w:b/>
          <w:bCs/>
          <w:sz w:val="24"/>
          <w:szCs w:val="24"/>
        </w:rPr>
      </w:pPr>
    </w:p>
    <w:p w:rsidR="00B9551E" w:rsidRPr="00B9551E" w:rsidRDefault="00B9551E" w:rsidP="00B9551E">
      <w:pPr>
        <w:pStyle w:val="PargrafodaLista"/>
        <w:spacing w:after="0" w:line="240" w:lineRule="auto"/>
        <w:ind w:left="851"/>
        <w:jc w:val="both"/>
        <w:rPr>
          <w:rFonts w:cs="Calibri"/>
          <w:sz w:val="24"/>
          <w:szCs w:val="24"/>
        </w:rPr>
      </w:pPr>
      <w:r w:rsidRPr="00B9551E">
        <w:rPr>
          <w:rFonts w:cs="Calibri"/>
          <w:sz w:val="24"/>
          <w:szCs w:val="24"/>
        </w:rPr>
        <w:t>Essas demonstrações financeiras intermediárias estão apresentadas em Reais, que é a moeda funcional da Companhia. Todos os saldos foram arredondados para o milhar mais próximo, exceto quando indicado de outra forma.</w:t>
      </w:r>
    </w:p>
    <w:p w:rsidR="00B9551E" w:rsidRPr="00B9551E" w:rsidRDefault="00B9551E" w:rsidP="00C16DDB">
      <w:pPr>
        <w:tabs>
          <w:tab w:val="left" w:pos="2552"/>
        </w:tabs>
        <w:jc w:val="both"/>
        <w:rPr>
          <w:rFonts w:ascii="Calibri" w:hAnsi="Calibri" w:cs="Calibri"/>
          <w:sz w:val="24"/>
          <w:szCs w:val="24"/>
        </w:rPr>
      </w:pPr>
    </w:p>
    <w:p w:rsidR="008738AC" w:rsidRPr="007964CD" w:rsidRDefault="008738AC" w:rsidP="008738AC">
      <w:pPr>
        <w:rPr>
          <w:rFonts w:ascii="Calibri" w:hAnsi="Calibri" w:cs="Calibri"/>
          <w:sz w:val="24"/>
          <w:szCs w:val="24"/>
        </w:rPr>
      </w:pPr>
    </w:p>
    <w:p w:rsidR="008738AC" w:rsidRPr="00312424" w:rsidRDefault="008738AC" w:rsidP="008738AC">
      <w:pPr>
        <w:pStyle w:val="Recuodecorpodetexto"/>
        <w:widowControl/>
        <w:autoSpaceDE w:val="0"/>
        <w:autoSpaceDN w:val="0"/>
        <w:ind w:left="0"/>
        <w:rPr>
          <w:rFonts w:ascii="Calibri" w:hAnsi="Calibri" w:cs="Calibri"/>
          <w:b/>
          <w:szCs w:val="24"/>
          <w:u w:val="single"/>
        </w:rPr>
      </w:pPr>
      <w:r>
        <w:rPr>
          <w:rFonts w:ascii="Calibri" w:hAnsi="Calibri" w:cs="Calibri"/>
          <w:b/>
          <w:szCs w:val="24"/>
          <w:lang w:val="pt-BR"/>
        </w:rPr>
        <w:t>3</w:t>
      </w:r>
      <w:r w:rsidRPr="00312424">
        <w:rPr>
          <w:rFonts w:ascii="Calibri" w:hAnsi="Calibri" w:cs="Calibri"/>
          <w:b/>
          <w:szCs w:val="24"/>
          <w:lang w:val="pt-BR"/>
        </w:rPr>
        <w:t xml:space="preserve"> </w:t>
      </w:r>
      <w:r w:rsidRPr="00312424">
        <w:rPr>
          <w:rFonts w:ascii="Calibri" w:hAnsi="Calibri" w:cs="Calibri"/>
          <w:b/>
          <w:szCs w:val="24"/>
        </w:rPr>
        <w:t xml:space="preserve">– </w:t>
      </w:r>
      <w:r>
        <w:rPr>
          <w:rFonts w:ascii="Calibri" w:hAnsi="Calibri" w:cs="Calibri"/>
          <w:b/>
          <w:szCs w:val="24"/>
          <w:u w:val="single"/>
          <w:lang w:val="pt-BR"/>
        </w:rPr>
        <w:t>REAPRESENTAÇÃO PARA FINS COMPARATIVOS</w:t>
      </w:r>
    </w:p>
    <w:p w:rsidR="008738AC" w:rsidRPr="00E33E15" w:rsidRDefault="008738AC" w:rsidP="008738AC">
      <w:pPr>
        <w:pStyle w:val="Recuodecorpodetexto"/>
        <w:widowControl/>
        <w:autoSpaceDE w:val="0"/>
        <w:autoSpaceDN w:val="0"/>
        <w:ind w:left="0"/>
        <w:rPr>
          <w:rFonts w:ascii="Arial" w:hAnsi="Arial" w:cs="Arial"/>
          <w:sz w:val="19"/>
          <w:szCs w:val="19"/>
        </w:rPr>
      </w:pPr>
    </w:p>
    <w:p w:rsidR="008738AC" w:rsidRPr="0043773C" w:rsidRDefault="008738AC" w:rsidP="008738AC">
      <w:pPr>
        <w:pStyle w:val="Recuodecorpodetexto"/>
        <w:widowControl/>
        <w:autoSpaceDE w:val="0"/>
        <w:autoSpaceDN w:val="0"/>
        <w:ind w:left="0"/>
        <w:rPr>
          <w:rFonts w:ascii="Calibri" w:hAnsi="Calibri" w:cs="Calibri"/>
          <w:szCs w:val="24"/>
          <w:lang w:val="pt-BR"/>
        </w:rPr>
      </w:pPr>
      <w:r w:rsidRPr="0043773C">
        <w:rPr>
          <w:rFonts w:ascii="Calibri" w:hAnsi="Calibri" w:cs="Calibri"/>
          <w:szCs w:val="24"/>
          <w:lang w:val="pt-BR"/>
        </w:rPr>
        <w:t>As demonstrações contábeis correspondentes a 31 de dezembro de 201</w:t>
      </w:r>
      <w:r>
        <w:rPr>
          <w:rFonts w:ascii="Calibri" w:hAnsi="Calibri" w:cs="Calibri"/>
          <w:szCs w:val="24"/>
          <w:lang w:val="pt-BR"/>
        </w:rPr>
        <w:t>8</w:t>
      </w:r>
      <w:r w:rsidRPr="0043773C">
        <w:rPr>
          <w:rFonts w:ascii="Calibri" w:hAnsi="Calibri" w:cs="Calibri"/>
          <w:szCs w:val="24"/>
          <w:lang w:val="pt-BR"/>
        </w:rPr>
        <w:t xml:space="preserve">, originalmente divulgadas em </w:t>
      </w:r>
      <w:r>
        <w:rPr>
          <w:rFonts w:ascii="Calibri" w:hAnsi="Calibri" w:cs="Calibri"/>
          <w:szCs w:val="24"/>
          <w:lang w:val="pt-BR"/>
        </w:rPr>
        <w:t>17</w:t>
      </w:r>
      <w:r w:rsidRPr="0043773C">
        <w:rPr>
          <w:rFonts w:ascii="Calibri" w:hAnsi="Calibri" w:cs="Calibri"/>
          <w:szCs w:val="24"/>
          <w:lang w:val="pt-BR"/>
        </w:rPr>
        <w:t>/04/201</w:t>
      </w:r>
      <w:r>
        <w:rPr>
          <w:rFonts w:ascii="Calibri" w:hAnsi="Calibri" w:cs="Calibri"/>
          <w:szCs w:val="24"/>
          <w:lang w:val="pt-BR"/>
        </w:rPr>
        <w:t>9</w:t>
      </w:r>
      <w:r w:rsidRPr="0043773C">
        <w:rPr>
          <w:rFonts w:ascii="Calibri" w:hAnsi="Calibri" w:cs="Calibri"/>
          <w:szCs w:val="24"/>
          <w:lang w:val="pt-BR"/>
        </w:rPr>
        <w:t>, estão sendo reapresentadas, em conformidade com o CPC 23 - Políticas Contábeis, Mudança de Estimativa e Retificação de Erro e CPC 26 (R1) – Apresentação das Demonstrações Contábeis, para melhor refletir as operações da Companhia.</w:t>
      </w:r>
    </w:p>
    <w:p w:rsidR="008738AC" w:rsidRPr="0043773C" w:rsidRDefault="008738AC" w:rsidP="008738AC">
      <w:pPr>
        <w:pStyle w:val="Recuodecorpodetexto"/>
        <w:widowControl/>
        <w:autoSpaceDE w:val="0"/>
        <w:autoSpaceDN w:val="0"/>
        <w:ind w:left="0"/>
        <w:rPr>
          <w:rFonts w:ascii="Calibri" w:hAnsi="Calibri" w:cs="Calibri"/>
          <w:szCs w:val="24"/>
          <w:lang w:val="pt-BR"/>
        </w:rPr>
      </w:pPr>
    </w:p>
    <w:p w:rsidR="008738AC" w:rsidRDefault="008738AC" w:rsidP="008738AC">
      <w:pPr>
        <w:pStyle w:val="Recuodecorpodetexto"/>
        <w:widowControl/>
        <w:autoSpaceDE w:val="0"/>
        <w:autoSpaceDN w:val="0"/>
        <w:ind w:left="0"/>
        <w:rPr>
          <w:rFonts w:ascii="Calibri" w:hAnsi="Calibri" w:cs="Calibri"/>
          <w:szCs w:val="24"/>
          <w:lang w:val="pt-BR"/>
        </w:rPr>
      </w:pPr>
      <w:r w:rsidRPr="0043773C">
        <w:rPr>
          <w:rFonts w:ascii="Calibri" w:hAnsi="Calibri" w:cs="Calibri"/>
          <w:szCs w:val="24"/>
          <w:lang w:val="pt-BR"/>
        </w:rPr>
        <w:t xml:space="preserve">Para tanto, a </w:t>
      </w:r>
      <w:r>
        <w:rPr>
          <w:rFonts w:ascii="Calibri" w:hAnsi="Calibri" w:cs="Calibri"/>
          <w:szCs w:val="24"/>
          <w:lang w:val="pt-BR"/>
        </w:rPr>
        <w:t>A</w:t>
      </w:r>
      <w:r w:rsidRPr="0043773C">
        <w:rPr>
          <w:rFonts w:ascii="Calibri" w:hAnsi="Calibri" w:cs="Calibri"/>
          <w:szCs w:val="24"/>
          <w:lang w:val="pt-BR"/>
        </w:rPr>
        <w:t>dministração da Companhia revisou a forma de contabilização e apresentação dos saldos das demonstrações contábeis, considerando os ativos, passivos e resultado do exercício, conforme sucinta descrição dos fatos:</w:t>
      </w:r>
    </w:p>
    <w:p w:rsidR="008738AC" w:rsidRDefault="008738AC" w:rsidP="008738AC">
      <w:pPr>
        <w:pStyle w:val="Recuodecorpodetexto"/>
        <w:widowControl/>
        <w:autoSpaceDE w:val="0"/>
        <w:autoSpaceDN w:val="0"/>
        <w:ind w:left="0"/>
        <w:rPr>
          <w:rFonts w:ascii="Calibri" w:hAnsi="Calibri" w:cs="Calibri"/>
          <w:szCs w:val="24"/>
          <w:lang w:val="pt-BR"/>
        </w:rPr>
      </w:pPr>
    </w:p>
    <w:p w:rsidR="008738AC" w:rsidRDefault="008738AC" w:rsidP="008738AC">
      <w:pPr>
        <w:pStyle w:val="Recuodecorpodetexto"/>
        <w:widowControl/>
        <w:autoSpaceDE w:val="0"/>
        <w:autoSpaceDN w:val="0"/>
        <w:ind w:left="0"/>
        <w:rPr>
          <w:rFonts w:ascii="Calibri" w:hAnsi="Calibri" w:cs="Calibri"/>
          <w:szCs w:val="24"/>
          <w:lang w:val="pt-BR"/>
        </w:rPr>
      </w:pPr>
      <w:r>
        <w:rPr>
          <w:rFonts w:ascii="Calibri" w:hAnsi="Calibri" w:cs="Calibri"/>
          <w:szCs w:val="24"/>
          <w:lang w:val="pt-BR"/>
        </w:rPr>
        <w:t>A CDRJ celebrou o contrato 043/2019 com a empresa César Amaral Assessoria e Perícia Contábil – Sociedade Simples – Ltda. para a prestação dos serviços de elaboração e revisão de cálculos judiciais nas esferas trabalhista, cível e tributária.</w:t>
      </w:r>
    </w:p>
    <w:p w:rsidR="008738AC" w:rsidRDefault="008738AC" w:rsidP="008738AC">
      <w:pPr>
        <w:pStyle w:val="Recuodecorpodetexto"/>
        <w:widowControl/>
        <w:autoSpaceDE w:val="0"/>
        <w:autoSpaceDN w:val="0"/>
        <w:ind w:left="0"/>
        <w:rPr>
          <w:rFonts w:ascii="Calibri" w:hAnsi="Calibri" w:cs="Calibri"/>
          <w:szCs w:val="24"/>
          <w:lang w:val="pt-BR"/>
        </w:rPr>
      </w:pPr>
    </w:p>
    <w:p w:rsidR="008738AC" w:rsidRDefault="008738AC" w:rsidP="008738AC">
      <w:pPr>
        <w:pStyle w:val="Recuodecorpodetexto"/>
        <w:widowControl/>
        <w:autoSpaceDE w:val="0"/>
        <w:autoSpaceDN w:val="0"/>
        <w:ind w:left="0"/>
        <w:rPr>
          <w:rFonts w:ascii="Calibri" w:hAnsi="Calibri" w:cs="Calibri"/>
          <w:szCs w:val="24"/>
          <w:lang w:val="pt-BR"/>
        </w:rPr>
      </w:pPr>
      <w:r>
        <w:rPr>
          <w:rFonts w:ascii="Calibri" w:hAnsi="Calibri" w:cs="Calibri"/>
          <w:szCs w:val="24"/>
          <w:lang w:val="pt-BR"/>
        </w:rPr>
        <w:t xml:space="preserve">O perito responsável pelos cálculos concluiu que os valores das provisões para contingências, dos processos cíveis e tributários, no exercício de 2018, foram apresentados sem a devida correção monetária. O trabalho resultou também na revisão de três grandes passivos em discussões judiciais: Arrendamentos Mercantil dos Bancos J. P. Morgan e </w:t>
      </w:r>
      <w:proofErr w:type="spellStart"/>
      <w:r>
        <w:rPr>
          <w:rFonts w:ascii="Calibri" w:hAnsi="Calibri" w:cs="Calibri"/>
          <w:szCs w:val="24"/>
          <w:lang w:val="pt-BR"/>
        </w:rPr>
        <w:t>Dibens</w:t>
      </w:r>
      <w:proofErr w:type="spellEnd"/>
      <w:r>
        <w:rPr>
          <w:rFonts w:ascii="Calibri" w:hAnsi="Calibri" w:cs="Calibri"/>
          <w:szCs w:val="24"/>
          <w:lang w:val="pt-BR"/>
        </w:rPr>
        <w:t xml:space="preserve"> Leasing e a Reserva por Tempo de Serviço Anterior – RTSA, do </w:t>
      </w:r>
      <w:proofErr w:type="spellStart"/>
      <w:r>
        <w:rPr>
          <w:rFonts w:ascii="Calibri" w:hAnsi="Calibri" w:cs="Calibri"/>
          <w:szCs w:val="24"/>
          <w:lang w:val="pt-BR"/>
        </w:rPr>
        <w:t>Portus</w:t>
      </w:r>
      <w:proofErr w:type="spellEnd"/>
      <w:r>
        <w:rPr>
          <w:rFonts w:ascii="Calibri" w:hAnsi="Calibri" w:cs="Calibri"/>
          <w:szCs w:val="24"/>
          <w:lang w:val="pt-BR"/>
        </w:rPr>
        <w:t xml:space="preserve"> – Instituto de Seguridade Social, todos classificados no Passivo Não Circulante. Segundo o laudo, o passivo estava superavaliado e os valores foram baixados por decisão da Diretoria Executiva, em sua 2379ª reunião, de 28 de novembro de 2019, sendo mantidos apenas os valores considerados como perdas prováveis, na rubrica Provisão para Contingências. A revisão das demais ações cíveis e tributárias resultou no ajuste de R$ 1.475.161 mil (R$ 1.360.236 mil em 2017).</w:t>
      </w:r>
    </w:p>
    <w:p w:rsidR="008738AC" w:rsidRDefault="008738AC" w:rsidP="008738AC">
      <w:pPr>
        <w:pStyle w:val="Recuodecorpodetexto"/>
        <w:widowControl/>
        <w:autoSpaceDE w:val="0"/>
        <w:autoSpaceDN w:val="0"/>
        <w:ind w:left="0"/>
        <w:rPr>
          <w:rFonts w:ascii="Calibri" w:hAnsi="Calibri" w:cs="Calibri"/>
          <w:szCs w:val="24"/>
          <w:lang w:val="pt-BR"/>
        </w:rPr>
      </w:pPr>
    </w:p>
    <w:p w:rsidR="008738AC" w:rsidRDefault="008738AC" w:rsidP="008738AC">
      <w:pPr>
        <w:pStyle w:val="Recuodecorpodetexto"/>
        <w:widowControl/>
        <w:autoSpaceDE w:val="0"/>
        <w:autoSpaceDN w:val="0"/>
        <w:ind w:left="0"/>
        <w:rPr>
          <w:rFonts w:ascii="Calibri" w:hAnsi="Calibri" w:cs="Calibri"/>
          <w:szCs w:val="24"/>
          <w:lang w:val="pt-BR"/>
        </w:rPr>
      </w:pPr>
      <w:r>
        <w:rPr>
          <w:rFonts w:ascii="Calibri" w:hAnsi="Calibri" w:cs="Calibri"/>
          <w:szCs w:val="24"/>
          <w:lang w:val="pt-BR"/>
        </w:rPr>
        <w:t>Conforme nota explicativa nº 17, o cálculo do déficit atuarial, realizado para o exercício de 2017, também gerou ajustes retrospectivos, os quais também foram considerados nesta reapresentação.</w:t>
      </w:r>
    </w:p>
    <w:p w:rsidR="008738AC" w:rsidRDefault="008738AC" w:rsidP="008738AC">
      <w:pPr>
        <w:pStyle w:val="Recuodecorpodetexto"/>
        <w:widowControl/>
        <w:autoSpaceDE w:val="0"/>
        <w:autoSpaceDN w:val="0"/>
        <w:ind w:left="0"/>
        <w:rPr>
          <w:rFonts w:ascii="Calibri" w:hAnsi="Calibri" w:cs="Calibri"/>
          <w:szCs w:val="24"/>
          <w:lang w:val="pt-BR"/>
        </w:rPr>
      </w:pPr>
    </w:p>
    <w:p w:rsidR="008738AC" w:rsidRDefault="008738AC" w:rsidP="008738AC">
      <w:pPr>
        <w:pStyle w:val="Recuodecorpodetexto"/>
        <w:widowControl/>
        <w:autoSpaceDE w:val="0"/>
        <w:autoSpaceDN w:val="0"/>
        <w:ind w:left="0"/>
        <w:rPr>
          <w:rFonts w:ascii="Calibri" w:hAnsi="Calibri" w:cs="Calibri"/>
          <w:szCs w:val="24"/>
          <w:lang w:val="pt-BR"/>
        </w:rPr>
      </w:pPr>
      <w:r>
        <w:rPr>
          <w:rFonts w:ascii="Calibri" w:hAnsi="Calibri" w:cs="Calibri"/>
          <w:szCs w:val="24"/>
          <w:lang w:val="pt-BR"/>
        </w:rPr>
        <w:t>A seguir apresentamos um resumo das demonstrações contábeis (Balanço Patrimonial e Demonstração do Resultado do Exercício) originais, comparadas às demonstrações ora apresentadas, bem como uma breve descrição de cada ajuste. Os demais demonstrativos foram apresentados apenas como alteração nos valores comparativos do exercício anterior.</w:t>
      </w:r>
    </w:p>
    <w:p w:rsidR="008738AC" w:rsidRDefault="008738AC" w:rsidP="008738AC">
      <w:pPr>
        <w:pStyle w:val="Recuodecorpodetexto"/>
        <w:widowControl/>
        <w:autoSpaceDE w:val="0"/>
        <w:autoSpaceDN w:val="0"/>
        <w:ind w:left="0"/>
        <w:rPr>
          <w:rFonts w:ascii="Calibri" w:hAnsi="Calibri" w:cs="Calibri"/>
          <w:szCs w:val="24"/>
          <w:lang w:val="pt-BR"/>
        </w:rPr>
      </w:pPr>
    </w:p>
    <w:p w:rsidR="008738AC" w:rsidRDefault="008738AC" w:rsidP="008738AC">
      <w:pPr>
        <w:pStyle w:val="Recuodecorpodetexto"/>
        <w:widowControl/>
        <w:autoSpaceDE w:val="0"/>
        <w:autoSpaceDN w:val="0"/>
        <w:ind w:left="0"/>
        <w:rPr>
          <w:rFonts w:ascii="Calibri" w:hAnsi="Calibri" w:cs="Calibri"/>
          <w:szCs w:val="24"/>
          <w:lang w:val="pt-BR"/>
        </w:rPr>
      </w:pPr>
    </w:p>
    <w:p w:rsidR="008738AC" w:rsidRDefault="008738AC" w:rsidP="008738AC">
      <w:pPr>
        <w:pStyle w:val="Recuodecorpodetexto"/>
        <w:widowControl/>
        <w:autoSpaceDE w:val="0"/>
        <w:autoSpaceDN w:val="0"/>
        <w:ind w:left="0"/>
        <w:rPr>
          <w:rFonts w:ascii="Calibri" w:hAnsi="Calibri" w:cs="Calibri"/>
          <w:szCs w:val="24"/>
          <w:lang w:val="pt-BR"/>
        </w:rPr>
      </w:pPr>
    </w:p>
    <w:p w:rsidR="008738AC" w:rsidRDefault="008738AC" w:rsidP="008738AC">
      <w:pPr>
        <w:pStyle w:val="Recuodecorpodetexto"/>
        <w:widowControl/>
        <w:autoSpaceDE w:val="0"/>
        <w:autoSpaceDN w:val="0"/>
        <w:ind w:left="0"/>
        <w:rPr>
          <w:rFonts w:ascii="Calibri" w:hAnsi="Calibri" w:cs="Calibri"/>
          <w:szCs w:val="24"/>
          <w:lang w:val="pt-BR"/>
        </w:rPr>
      </w:pPr>
    </w:p>
    <w:p w:rsidR="008738AC" w:rsidRDefault="008738AC" w:rsidP="008738AC">
      <w:pPr>
        <w:pStyle w:val="Recuodecorpodetexto"/>
        <w:widowControl/>
        <w:autoSpaceDE w:val="0"/>
        <w:autoSpaceDN w:val="0"/>
        <w:ind w:left="0"/>
        <w:rPr>
          <w:rFonts w:ascii="Calibri" w:hAnsi="Calibri" w:cs="Calibri"/>
          <w:szCs w:val="24"/>
          <w:lang w:val="pt-BR"/>
        </w:rPr>
      </w:pPr>
    </w:p>
    <w:p w:rsidR="008738AC" w:rsidRDefault="008738AC" w:rsidP="008738AC">
      <w:pPr>
        <w:pStyle w:val="Recuodecorpodetexto"/>
        <w:widowControl/>
        <w:autoSpaceDE w:val="0"/>
        <w:autoSpaceDN w:val="0"/>
        <w:ind w:left="0"/>
        <w:rPr>
          <w:rFonts w:ascii="Calibri" w:hAnsi="Calibri" w:cs="Calibri"/>
          <w:szCs w:val="24"/>
          <w:lang w:val="pt-BR"/>
        </w:rPr>
      </w:pPr>
    </w:p>
    <w:p w:rsidR="008738AC" w:rsidRDefault="008738AC" w:rsidP="008738AC">
      <w:pPr>
        <w:pStyle w:val="Recuodecorpodetexto"/>
        <w:widowControl/>
        <w:autoSpaceDE w:val="0"/>
        <w:autoSpaceDN w:val="0"/>
        <w:ind w:left="0"/>
        <w:rPr>
          <w:rFonts w:ascii="Calibri" w:hAnsi="Calibri" w:cs="Calibri"/>
          <w:szCs w:val="24"/>
          <w:lang w:val="pt-BR"/>
        </w:rPr>
      </w:pPr>
    </w:p>
    <w:p w:rsidR="008738AC" w:rsidRPr="00B03145" w:rsidRDefault="008738AC" w:rsidP="008738AC">
      <w:pPr>
        <w:pStyle w:val="Ttulo3"/>
        <w:ind w:left="142" w:firstLine="142"/>
        <w:rPr>
          <w:rFonts w:ascii="Calibri" w:hAnsi="Calibri" w:cs="Calibri"/>
          <w:b/>
          <w:bCs/>
          <w:sz w:val="24"/>
          <w:szCs w:val="24"/>
        </w:rPr>
      </w:pPr>
      <w:r w:rsidRPr="00B03145">
        <w:rPr>
          <w:rFonts w:ascii="Calibri" w:hAnsi="Calibri" w:cs="Calibri"/>
          <w:b/>
          <w:bCs/>
          <w:sz w:val="24"/>
          <w:szCs w:val="24"/>
        </w:rPr>
        <w:lastRenderedPageBreak/>
        <w:t>COMPANHIA DOCAS DO RIO DE JANEIRO - CDRJ</w:t>
      </w:r>
    </w:p>
    <w:p w:rsidR="008738AC" w:rsidRPr="00B03145" w:rsidRDefault="008738AC" w:rsidP="008738AC">
      <w:pPr>
        <w:pStyle w:val="Ttulo1"/>
        <w:rPr>
          <w:rFonts w:ascii="Calibri" w:hAnsi="Calibri" w:cs="Calibri"/>
          <w:szCs w:val="24"/>
        </w:rPr>
      </w:pPr>
      <w:r w:rsidRPr="00B03145">
        <w:rPr>
          <w:rFonts w:ascii="Calibri" w:hAnsi="Calibri" w:cs="Calibri"/>
          <w:szCs w:val="24"/>
        </w:rPr>
        <w:t xml:space="preserve">BALANÇO PATRIMONIAL </w:t>
      </w:r>
    </w:p>
    <w:p w:rsidR="008738AC" w:rsidRDefault="008738AC" w:rsidP="008738AC">
      <w:pPr>
        <w:jc w:val="center"/>
        <w:rPr>
          <w:rFonts w:ascii="Calibri" w:hAnsi="Calibri" w:cs="Calibri"/>
          <w:sz w:val="22"/>
          <w:szCs w:val="22"/>
        </w:rPr>
      </w:pPr>
      <w:r w:rsidRPr="00A10DC2">
        <w:rPr>
          <w:rFonts w:ascii="Calibri" w:hAnsi="Calibri" w:cs="Calibri"/>
          <w:sz w:val="22"/>
          <w:szCs w:val="22"/>
        </w:rPr>
        <w:t xml:space="preserve">(Em </w:t>
      </w:r>
      <w:r>
        <w:rPr>
          <w:rFonts w:ascii="Calibri" w:hAnsi="Calibri" w:cs="Calibri"/>
          <w:sz w:val="22"/>
          <w:szCs w:val="22"/>
        </w:rPr>
        <w:t xml:space="preserve">milhares de </w:t>
      </w:r>
      <w:r w:rsidRPr="00A10DC2">
        <w:rPr>
          <w:rFonts w:ascii="Calibri" w:hAnsi="Calibri" w:cs="Calibri"/>
          <w:sz w:val="22"/>
          <w:szCs w:val="22"/>
        </w:rPr>
        <w:t>Reais)</w:t>
      </w:r>
    </w:p>
    <w:p w:rsidR="008738AC" w:rsidRDefault="008738AC" w:rsidP="008738AC">
      <w:pPr>
        <w:jc w:val="center"/>
        <w:rPr>
          <w:rFonts w:ascii="Calibri" w:hAnsi="Calibri" w:cs="Calibri"/>
          <w:sz w:val="22"/>
          <w:szCs w:val="22"/>
        </w:rPr>
      </w:pPr>
    </w:p>
    <w:p w:rsidR="008738AC" w:rsidRDefault="008738AC" w:rsidP="008738AC">
      <w:pPr>
        <w:jc w:val="center"/>
        <w:rPr>
          <w:rFonts w:ascii="Calibri" w:hAnsi="Calibri" w:cs="Calibri"/>
          <w:sz w:val="22"/>
          <w:szCs w:val="22"/>
        </w:rPr>
      </w:pPr>
    </w:p>
    <w:p w:rsidR="008738AC" w:rsidRDefault="00F3561F" w:rsidP="008738AC">
      <w:pPr>
        <w:jc w:val="center"/>
        <w:rPr>
          <w:rFonts w:ascii="Calibri" w:hAnsi="Calibri" w:cs="Calibri"/>
          <w:sz w:val="22"/>
          <w:szCs w:val="22"/>
        </w:rPr>
      </w:pPr>
      <w:r w:rsidRPr="00F3561F">
        <w:rPr>
          <w:noProof/>
        </w:rPr>
        <w:drawing>
          <wp:inline distT="0" distB="0" distL="0" distR="0">
            <wp:extent cx="6336665" cy="3998728"/>
            <wp:effectExtent l="0" t="0" r="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36665" cy="3998728"/>
                    </a:xfrm>
                    <a:prstGeom prst="rect">
                      <a:avLst/>
                    </a:prstGeom>
                    <a:noFill/>
                    <a:ln>
                      <a:noFill/>
                    </a:ln>
                  </pic:spPr>
                </pic:pic>
              </a:graphicData>
            </a:graphic>
          </wp:inline>
        </w:drawing>
      </w:r>
    </w:p>
    <w:p w:rsidR="008738AC" w:rsidRDefault="008738AC" w:rsidP="008738AC">
      <w:pPr>
        <w:pStyle w:val="Recuodecorpodetexto"/>
        <w:widowControl/>
        <w:autoSpaceDE w:val="0"/>
        <w:autoSpaceDN w:val="0"/>
        <w:ind w:left="0"/>
        <w:rPr>
          <w:rFonts w:ascii="Calibri" w:hAnsi="Calibri" w:cs="Calibri"/>
          <w:szCs w:val="24"/>
          <w:lang w:val="pt-BR"/>
        </w:rPr>
      </w:pPr>
    </w:p>
    <w:p w:rsidR="008738AC" w:rsidRDefault="008738AC" w:rsidP="008738AC">
      <w:pPr>
        <w:pStyle w:val="Recuodecorpodetexto"/>
        <w:widowControl/>
        <w:autoSpaceDE w:val="0"/>
        <w:autoSpaceDN w:val="0"/>
        <w:ind w:left="0"/>
        <w:rPr>
          <w:rFonts w:ascii="Calibri" w:hAnsi="Calibri" w:cs="Calibri"/>
          <w:szCs w:val="24"/>
          <w:lang w:val="pt-BR"/>
        </w:rPr>
      </w:pPr>
    </w:p>
    <w:p w:rsidR="008738AC" w:rsidRDefault="008738AC" w:rsidP="008738AC">
      <w:pPr>
        <w:pStyle w:val="Recuodecorpodetexto"/>
        <w:widowControl/>
        <w:autoSpaceDE w:val="0"/>
        <w:autoSpaceDN w:val="0"/>
        <w:ind w:left="0"/>
        <w:rPr>
          <w:rFonts w:ascii="Calibri" w:hAnsi="Calibri" w:cs="Calibri"/>
          <w:szCs w:val="24"/>
          <w:lang w:val="pt-BR"/>
        </w:rPr>
      </w:pPr>
    </w:p>
    <w:p w:rsidR="008738AC" w:rsidRDefault="008738AC" w:rsidP="008738AC">
      <w:pPr>
        <w:pStyle w:val="Recuodecorpodetexto"/>
        <w:widowControl/>
        <w:autoSpaceDE w:val="0"/>
        <w:autoSpaceDN w:val="0"/>
        <w:ind w:left="0"/>
        <w:rPr>
          <w:rFonts w:ascii="Calibri" w:hAnsi="Calibri" w:cs="Calibri"/>
          <w:szCs w:val="24"/>
          <w:lang w:val="pt-BR"/>
        </w:rPr>
      </w:pPr>
    </w:p>
    <w:p w:rsidR="008738AC" w:rsidRDefault="008738AC" w:rsidP="008738AC">
      <w:pPr>
        <w:pStyle w:val="Recuodecorpodetexto"/>
        <w:widowControl/>
        <w:autoSpaceDE w:val="0"/>
        <w:autoSpaceDN w:val="0"/>
        <w:ind w:left="0"/>
        <w:rPr>
          <w:rFonts w:ascii="Calibri" w:hAnsi="Calibri" w:cs="Calibri"/>
          <w:szCs w:val="24"/>
          <w:lang w:val="pt-BR"/>
        </w:rPr>
      </w:pPr>
    </w:p>
    <w:p w:rsidR="008738AC" w:rsidRDefault="008738AC" w:rsidP="008738AC">
      <w:pPr>
        <w:pStyle w:val="Recuodecorpodetexto"/>
        <w:widowControl/>
        <w:autoSpaceDE w:val="0"/>
        <w:autoSpaceDN w:val="0"/>
        <w:ind w:left="0"/>
        <w:rPr>
          <w:rFonts w:ascii="Calibri" w:hAnsi="Calibri" w:cs="Calibri"/>
          <w:szCs w:val="24"/>
          <w:lang w:val="pt-BR"/>
        </w:rPr>
      </w:pPr>
    </w:p>
    <w:p w:rsidR="008738AC" w:rsidRDefault="008738AC" w:rsidP="008738AC">
      <w:pPr>
        <w:pStyle w:val="Recuodecorpodetexto"/>
        <w:widowControl/>
        <w:autoSpaceDE w:val="0"/>
        <w:autoSpaceDN w:val="0"/>
        <w:ind w:left="0"/>
        <w:rPr>
          <w:rFonts w:ascii="Calibri" w:hAnsi="Calibri" w:cs="Calibri"/>
          <w:szCs w:val="24"/>
          <w:lang w:val="pt-BR"/>
        </w:rPr>
      </w:pPr>
    </w:p>
    <w:p w:rsidR="008738AC" w:rsidRDefault="008738AC" w:rsidP="008738AC">
      <w:pPr>
        <w:pStyle w:val="Recuodecorpodetexto"/>
        <w:widowControl/>
        <w:autoSpaceDE w:val="0"/>
        <w:autoSpaceDN w:val="0"/>
        <w:ind w:left="0"/>
        <w:rPr>
          <w:rFonts w:ascii="Calibri" w:hAnsi="Calibri" w:cs="Calibri"/>
          <w:szCs w:val="24"/>
          <w:lang w:val="pt-BR"/>
        </w:rPr>
      </w:pPr>
    </w:p>
    <w:p w:rsidR="008738AC" w:rsidRDefault="008738AC" w:rsidP="008738AC">
      <w:pPr>
        <w:rPr>
          <w:rFonts w:ascii="Calibri" w:hAnsi="Calibri" w:cs="Calibri"/>
          <w:sz w:val="24"/>
          <w:szCs w:val="24"/>
        </w:rPr>
      </w:pPr>
    </w:p>
    <w:p w:rsidR="008738AC" w:rsidRDefault="008738AC" w:rsidP="008738AC">
      <w:pPr>
        <w:rPr>
          <w:rFonts w:ascii="Calibri" w:hAnsi="Calibri" w:cs="Calibri"/>
          <w:sz w:val="24"/>
          <w:szCs w:val="24"/>
        </w:rPr>
      </w:pPr>
    </w:p>
    <w:p w:rsidR="008738AC" w:rsidRDefault="008738AC" w:rsidP="008738AC">
      <w:pPr>
        <w:rPr>
          <w:rFonts w:ascii="Calibri" w:hAnsi="Calibri" w:cs="Calibri"/>
          <w:sz w:val="24"/>
          <w:szCs w:val="24"/>
        </w:rPr>
      </w:pPr>
    </w:p>
    <w:p w:rsidR="008738AC" w:rsidRDefault="008738AC" w:rsidP="008738AC">
      <w:pPr>
        <w:rPr>
          <w:rFonts w:ascii="Calibri" w:hAnsi="Calibri" w:cs="Calibri"/>
          <w:sz w:val="24"/>
          <w:szCs w:val="24"/>
        </w:rPr>
      </w:pPr>
    </w:p>
    <w:p w:rsidR="008738AC" w:rsidRDefault="008738AC" w:rsidP="008738AC">
      <w:pPr>
        <w:rPr>
          <w:rFonts w:ascii="Calibri" w:hAnsi="Calibri" w:cs="Calibri"/>
          <w:sz w:val="24"/>
          <w:szCs w:val="24"/>
        </w:rPr>
      </w:pPr>
    </w:p>
    <w:p w:rsidR="008738AC" w:rsidRDefault="008738AC" w:rsidP="008738AC">
      <w:pPr>
        <w:rPr>
          <w:rFonts w:ascii="Calibri" w:hAnsi="Calibri" w:cs="Calibri"/>
          <w:sz w:val="24"/>
          <w:szCs w:val="24"/>
        </w:rPr>
      </w:pPr>
    </w:p>
    <w:p w:rsidR="008738AC" w:rsidRDefault="008738AC" w:rsidP="008738AC">
      <w:pPr>
        <w:rPr>
          <w:rFonts w:ascii="Calibri" w:hAnsi="Calibri" w:cs="Calibri"/>
          <w:sz w:val="24"/>
          <w:szCs w:val="24"/>
        </w:rPr>
      </w:pPr>
    </w:p>
    <w:p w:rsidR="008738AC" w:rsidRDefault="008738AC" w:rsidP="008738AC">
      <w:pPr>
        <w:rPr>
          <w:rFonts w:ascii="Calibri" w:hAnsi="Calibri" w:cs="Calibri"/>
          <w:sz w:val="24"/>
          <w:szCs w:val="24"/>
        </w:rPr>
      </w:pPr>
    </w:p>
    <w:p w:rsidR="008738AC" w:rsidRDefault="008738AC" w:rsidP="008738AC">
      <w:pPr>
        <w:rPr>
          <w:rFonts w:ascii="Calibri" w:hAnsi="Calibri" w:cs="Calibri"/>
          <w:sz w:val="24"/>
          <w:szCs w:val="24"/>
        </w:rPr>
      </w:pPr>
    </w:p>
    <w:p w:rsidR="008738AC" w:rsidRDefault="008738AC" w:rsidP="008738AC">
      <w:pPr>
        <w:rPr>
          <w:rFonts w:ascii="Calibri" w:hAnsi="Calibri" w:cs="Calibri"/>
          <w:sz w:val="24"/>
          <w:szCs w:val="24"/>
        </w:rPr>
      </w:pPr>
    </w:p>
    <w:p w:rsidR="008738AC" w:rsidRDefault="008738AC" w:rsidP="008738AC">
      <w:pPr>
        <w:rPr>
          <w:rFonts w:ascii="Calibri" w:hAnsi="Calibri" w:cs="Calibri"/>
          <w:sz w:val="24"/>
          <w:szCs w:val="24"/>
        </w:rPr>
      </w:pPr>
    </w:p>
    <w:p w:rsidR="008738AC" w:rsidRDefault="008738AC" w:rsidP="008738AC">
      <w:pPr>
        <w:rPr>
          <w:rFonts w:ascii="Calibri" w:hAnsi="Calibri" w:cs="Calibri"/>
          <w:sz w:val="24"/>
          <w:szCs w:val="24"/>
        </w:rPr>
      </w:pPr>
    </w:p>
    <w:p w:rsidR="008738AC" w:rsidRPr="00B03145" w:rsidRDefault="008738AC" w:rsidP="008738AC">
      <w:pPr>
        <w:pStyle w:val="Ttulo3"/>
        <w:ind w:left="142" w:firstLine="142"/>
        <w:rPr>
          <w:rFonts w:ascii="Calibri" w:hAnsi="Calibri" w:cs="Calibri"/>
          <w:b/>
          <w:bCs/>
          <w:sz w:val="24"/>
          <w:szCs w:val="24"/>
        </w:rPr>
      </w:pPr>
      <w:r w:rsidRPr="00B03145">
        <w:rPr>
          <w:rFonts w:ascii="Calibri" w:hAnsi="Calibri" w:cs="Calibri"/>
          <w:b/>
          <w:bCs/>
          <w:sz w:val="24"/>
          <w:szCs w:val="24"/>
        </w:rPr>
        <w:lastRenderedPageBreak/>
        <w:t>COMPANHIA DOCAS DO RIO DE JANEIRO - CDRJ</w:t>
      </w:r>
    </w:p>
    <w:p w:rsidR="008738AC" w:rsidRPr="00B03145" w:rsidRDefault="008738AC" w:rsidP="008738AC">
      <w:pPr>
        <w:pStyle w:val="Ttulo1"/>
        <w:rPr>
          <w:rFonts w:ascii="Calibri" w:hAnsi="Calibri" w:cs="Calibri"/>
          <w:szCs w:val="24"/>
        </w:rPr>
      </w:pPr>
      <w:r w:rsidRPr="00B03145">
        <w:rPr>
          <w:rFonts w:ascii="Calibri" w:hAnsi="Calibri" w:cs="Calibri"/>
          <w:szCs w:val="24"/>
        </w:rPr>
        <w:t xml:space="preserve">BALANÇO PATRIMONIAL </w:t>
      </w:r>
    </w:p>
    <w:p w:rsidR="008738AC" w:rsidRDefault="008738AC" w:rsidP="008738AC">
      <w:pPr>
        <w:jc w:val="center"/>
        <w:rPr>
          <w:rFonts w:ascii="Calibri" w:hAnsi="Calibri" w:cs="Calibri"/>
          <w:sz w:val="22"/>
          <w:szCs w:val="22"/>
        </w:rPr>
      </w:pPr>
      <w:r w:rsidRPr="00A10DC2">
        <w:rPr>
          <w:rFonts w:ascii="Calibri" w:hAnsi="Calibri" w:cs="Calibri"/>
          <w:sz w:val="22"/>
          <w:szCs w:val="22"/>
        </w:rPr>
        <w:t xml:space="preserve">(Em </w:t>
      </w:r>
      <w:r>
        <w:rPr>
          <w:rFonts w:ascii="Calibri" w:hAnsi="Calibri" w:cs="Calibri"/>
          <w:sz w:val="22"/>
          <w:szCs w:val="22"/>
        </w:rPr>
        <w:t xml:space="preserve">milhares de </w:t>
      </w:r>
      <w:r w:rsidRPr="00A10DC2">
        <w:rPr>
          <w:rFonts w:ascii="Calibri" w:hAnsi="Calibri" w:cs="Calibri"/>
          <w:sz w:val="22"/>
          <w:szCs w:val="22"/>
        </w:rPr>
        <w:t>Reais)</w:t>
      </w:r>
    </w:p>
    <w:p w:rsidR="008738AC" w:rsidRDefault="008738AC" w:rsidP="008738AC">
      <w:pPr>
        <w:jc w:val="center"/>
        <w:rPr>
          <w:rFonts w:ascii="Calibri" w:hAnsi="Calibri" w:cs="Calibri"/>
          <w:sz w:val="22"/>
          <w:szCs w:val="22"/>
        </w:rPr>
      </w:pPr>
    </w:p>
    <w:p w:rsidR="008738AC" w:rsidRDefault="008738AC" w:rsidP="008738AC">
      <w:pPr>
        <w:jc w:val="center"/>
        <w:rPr>
          <w:rFonts w:ascii="Calibri" w:hAnsi="Calibri" w:cs="Calibri"/>
          <w:sz w:val="22"/>
          <w:szCs w:val="22"/>
        </w:rPr>
      </w:pPr>
    </w:p>
    <w:p w:rsidR="008738AC" w:rsidRDefault="00F3561F" w:rsidP="008738AC">
      <w:pPr>
        <w:jc w:val="center"/>
        <w:rPr>
          <w:rFonts w:ascii="Calibri" w:hAnsi="Calibri" w:cs="Calibri"/>
          <w:sz w:val="22"/>
          <w:szCs w:val="22"/>
        </w:rPr>
      </w:pPr>
      <w:r w:rsidRPr="00F3561F">
        <w:rPr>
          <w:noProof/>
        </w:rPr>
        <w:drawing>
          <wp:inline distT="0" distB="0" distL="0" distR="0">
            <wp:extent cx="6336665" cy="3796385"/>
            <wp:effectExtent l="0" t="0" r="6985"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36665" cy="3796385"/>
                    </a:xfrm>
                    <a:prstGeom prst="rect">
                      <a:avLst/>
                    </a:prstGeom>
                    <a:noFill/>
                    <a:ln>
                      <a:noFill/>
                    </a:ln>
                  </pic:spPr>
                </pic:pic>
              </a:graphicData>
            </a:graphic>
          </wp:inline>
        </w:drawing>
      </w:r>
    </w:p>
    <w:p w:rsidR="008738AC" w:rsidRDefault="008738AC" w:rsidP="008738AC">
      <w:pPr>
        <w:rPr>
          <w:rFonts w:ascii="Calibri" w:hAnsi="Calibri" w:cs="Calibri"/>
          <w:sz w:val="24"/>
          <w:szCs w:val="24"/>
        </w:rPr>
      </w:pPr>
    </w:p>
    <w:p w:rsidR="008738AC" w:rsidRDefault="008738AC" w:rsidP="008738AC">
      <w:pPr>
        <w:rPr>
          <w:rFonts w:ascii="Calibri" w:hAnsi="Calibri" w:cs="Calibri"/>
          <w:sz w:val="24"/>
          <w:szCs w:val="24"/>
        </w:rPr>
      </w:pPr>
    </w:p>
    <w:p w:rsidR="008738AC" w:rsidRDefault="008738AC" w:rsidP="008738AC">
      <w:pPr>
        <w:rPr>
          <w:rFonts w:ascii="Calibri" w:hAnsi="Calibri" w:cs="Calibri"/>
          <w:sz w:val="24"/>
          <w:szCs w:val="24"/>
        </w:rPr>
      </w:pPr>
    </w:p>
    <w:p w:rsidR="008738AC" w:rsidRDefault="008738AC" w:rsidP="008738AC">
      <w:pPr>
        <w:rPr>
          <w:rFonts w:ascii="Calibri" w:hAnsi="Calibri" w:cs="Calibri"/>
          <w:sz w:val="24"/>
          <w:szCs w:val="24"/>
        </w:rPr>
      </w:pPr>
    </w:p>
    <w:p w:rsidR="008738AC" w:rsidRDefault="008738AC" w:rsidP="008738AC">
      <w:pPr>
        <w:rPr>
          <w:rFonts w:ascii="Calibri" w:hAnsi="Calibri" w:cs="Calibri"/>
          <w:sz w:val="24"/>
          <w:szCs w:val="24"/>
        </w:rPr>
      </w:pPr>
    </w:p>
    <w:p w:rsidR="008738AC" w:rsidRDefault="008738AC" w:rsidP="008738AC">
      <w:pPr>
        <w:rPr>
          <w:rFonts w:ascii="Calibri" w:hAnsi="Calibri" w:cs="Calibri"/>
          <w:sz w:val="24"/>
          <w:szCs w:val="24"/>
        </w:rPr>
      </w:pPr>
    </w:p>
    <w:p w:rsidR="008738AC" w:rsidRDefault="008738AC" w:rsidP="008738AC">
      <w:pPr>
        <w:rPr>
          <w:rFonts w:ascii="Calibri" w:hAnsi="Calibri" w:cs="Calibri"/>
          <w:sz w:val="24"/>
          <w:szCs w:val="24"/>
        </w:rPr>
      </w:pPr>
    </w:p>
    <w:p w:rsidR="008738AC" w:rsidRDefault="008738AC" w:rsidP="008738AC">
      <w:pPr>
        <w:rPr>
          <w:rFonts w:ascii="Calibri" w:hAnsi="Calibri" w:cs="Calibri"/>
          <w:sz w:val="24"/>
          <w:szCs w:val="24"/>
        </w:rPr>
      </w:pPr>
    </w:p>
    <w:p w:rsidR="008738AC" w:rsidRDefault="008738AC" w:rsidP="008738AC">
      <w:pPr>
        <w:rPr>
          <w:rFonts w:ascii="Calibri" w:hAnsi="Calibri" w:cs="Calibri"/>
          <w:sz w:val="24"/>
          <w:szCs w:val="24"/>
        </w:rPr>
      </w:pPr>
    </w:p>
    <w:p w:rsidR="008738AC" w:rsidRDefault="008738AC" w:rsidP="008738AC">
      <w:pPr>
        <w:rPr>
          <w:rFonts w:ascii="Calibri" w:hAnsi="Calibri" w:cs="Calibri"/>
          <w:sz w:val="24"/>
          <w:szCs w:val="24"/>
        </w:rPr>
      </w:pPr>
    </w:p>
    <w:p w:rsidR="008738AC" w:rsidRDefault="008738AC" w:rsidP="008738AC">
      <w:pPr>
        <w:rPr>
          <w:rFonts w:ascii="Calibri" w:hAnsi="Calibri" w:cs="Calibri"/>
          <w:sz w:val="24"/>
          <w:szCs w:val="24"/>
        </w:rPr>
      </w:pPr>
    </w:p>
    <w:p w:rsidR="008738AC" w:rsidRDefault="008738AC" w:rsidP="008738AC">
      <w:pPr>
        <w:rPr>
          <w:rFonts w:ascii="Calibri" w:hAnsi="Calibri" w:cs="Calibri"/>
          <w:sz w:val="24"/>
          <w:szCs w:val="24"/>
        </w:rPr>
      </w:pPr>
    </w:p>
    <w:p w:rsidR="008738AC" w:rsidRDefault="008738AC" w:rsidP="008738AC">
      <w:pPr>
        <w:rPr>
          <w:rFonts w:ascii="Calibri" w:hAnsi="Calibri" w:cs="Calibri"/>
          <w:sz w:val="24"/>
          <w:szCs w:val="24"/>
        </w:rPr>
      </w:pPr>
    </w:p>
    <w:p w:rsidR="008738AC" w:rsidRDefault="008738AC" w:rsidP="008738AC">
      <w:pPr>
        <w:rPr>
          <w:rFonts w:ascii="Calibri" w:hAnsi="Calibri" w:cs="Calibri"/>
          <w:sz w:val="24"/>
          <w:szCs w:val="24"/>
        </w:rPr>
      </w:pPr>
    </w:p>
    <w:p w:rsidR="008738AC" w:rsidRDefault="008738AC" w:rsidP="008738AC">
      <w:pPr>
        <w:rPr>
          <w:rFonts w:ascii="Calibri" w:hAnsi="Calibri" w:cs="Calibri"/>
          <w:sz w:val="24"/>
          <w:szCs w:val="24"/>
        </w:rPr>
      </w:pPr>
    </w:p>
    <w:p w:rsidR="008738AC" w:rsidRDefault="008738AC" w:rsidP="008738AC">
      <w:pPr>
        <w:rPr>
          <w:rFonts w:ascii="Calibri" w:hAnsi="Calibri" w:cs="Calibri"/>
          <w:sz w:val="24"/>
          <w:szCs w:val="24"/>
        </w:rPr>
      </w:pPr>
    </w:p>
    <w:p w:rsidR="008738AC" w:rsidRDefault="008738AC" w:rsidP="008738AC">
      <w:pPr>
        <w:rPr>
          <w:rFonts w:ascii="Calibri" w:hAnsi="Calibri" w:cs="Calibri"/>
          <w:sz w:val="24"/>
          <w:szCs w:val="24"/>
        </w:rPr>
      </w:pPr>
    </w:p>
    <w:p w:rsidR="008738AC" w:rsidRDefault="008738AC" w:rsidP="008738AC">
      <w:pPr>
        <w:rPr>
          <w:rFonts w:ascii="Calibri" w:hAnsi="Calibri" w:cs="Calibri"/>
          <w:sz w:val="24"/>
          <w:szCs w:val="24"/>
        </w:rPr>
      </w:pPr>
    </w:p>
    <w:p w:rsidR="008738AC" w:rsidRDefault="008738AC" w:rsidP="008738AC">
      <w:pPr>
        <w:rPr>
          <w:rFonts w:ascii="Calibri" w:hAnsi="Calibri" w:cs="Calibri"/>
          <w:sz w:val="24"/>
          <w:szCs w:val="24"/>
        </w:rPr>
      </w:pPr>
    </w:p>
    <w:p w:rsidR="008738AC" w:rsidRDefault="008738AC" w:rsidP="008738AC">
      <w:pPr>
        <w:rPr>
          <w:rFonts w:ascii="Calibri" w:hAnsi="Calibri" w:cs="Calibri"/>
          <w:sz w:val="24"/>
          <w:szCs w:val="24"/>
        </w:rPr>
      </w:pPr>
    </w:p>
    <w:p w:rsidR="008738AC" w:rsidRDefault="008738AC" w:rsidP="008738AC">
      <w:pPr>
        <w:rPr>
          <w:rFonts w:ascii="Calibri" w:hAnsi="Calibri" w:cs="Calibri"/>
          <w:sz w:val="24"/>
          <w:szCs w:val="24"/>
        </w:rPr>
      </w:pPr>
    </w:p>
    <w:p w:rsidR="008738AC" w:rsidRPr="00B03145" w:rsidRDefault="008738AC" w:rsidP="008738AC">
      <w:pPr>
        <w:pStyle w:val="Ttulo3"/>
        <w:rPr>
          <w:rFonts w:ascii="Calibri" w:hAnsi="Calibri" w:cs="Calibri"/>
          <w:b/>
          <w:bCs/>
          <w:sz w:val="24"/>
          <w:szCs w:val="24"/>
        </w:rPr>
      </w:pPr>
      <w:r w:rsidRPr="00B03145">
        <w:rPr>
          <w:rFonts w:ascii="Calibri" w:hAnsi="Calibri" w:cs="Calibri"/>
          <w:b/>
          <w:bCs/>
          <w:sz w:val="24"/>
          <w:szCs w:val="24"/>
        </w:rPr>
        <w:lastRenderedPageBreak/>
        <w:t>COMPANHIA DOCAS DO RIO DE JANEIRO - CDRJ</w:t>
      </w:r>
    </w:p>
    <w:p w:rsidR="008738AC" w:rsidRPr="00B03145" w:rsidRDefault="008738AC" w:rsidP="008738AC">
      <w:pPr>
        <w:jc w:val="center"/>
        <w:rPr>
          <w:rFonts w:ascii="Calibri" w:hAnsi="Calibri" w:cs="Calibri"/>
          <w:b/>
          <w:sz w:val="24"/>
          <w:szCs w:val="24"/>
        </w:rPr>
      </w:pPr>
      <w:r w:rsidRPr="00B03145">
        <w:rPr>
          <w:rFonts w:ascii="Calibri" w:hAnsi="Calibri" w:cs="Calibri"/>
          <w:b/>
          <w:bCs/>
          <w:sz w:val="24"/>
          <w:szCs w:val="24"/>
        </w:rPr>
        <w:t>DEMONSTRAÇÃO</w:t>
      </w:r>
      <w:r w:rsidRPr="00B03145">
        <w:rPr>
          <w:rFonts w:ascii="Calibri" w:hAnsi="Calibri" w:cs="Calibri"/>
          <w:b/>
          <w:sz w:val="24"/>
          <w:szCs w:val="24"/>
        </w:rPr>
        <w:t xml:space="preserve"> DO RESULTADO</w:t>
      </w:r>
      <w:r>
        <w:rPr>
          <w:rFonts w:ascii="Calibri" w:hAnsi="Calibri" w:cs="Calibri"/>
          <w:b/>
          <w:sz w:val="24"/>
          <w:szCs w:val="24"/>
        </w:rPr>
        <w:t xml:space="preserve"> DO EXERCÍCIO E ABRANGENTE</w:t>
      </w:r>
    </w:p>
    <w:p w:rsidR="008738AC" w:rsidRDefault="008738AC" w:rsidP="008738AC">
      <w:pPr>
        <w:jc w:val="center"/>
        <w:rPr>
          <w:rFonts w:ascii="Calibri" w:hAnsi="Calibri" w:cs="Calibri"/>
          <w:sz w:val="22"/>
          <w:szCs w:val="22"/>
        </w:rPr>
      </w:pPr>
      <w:r w:rsidRPr="00A10DC2">
        <w:rPr>
          <w:rFonts w:ascii="Calibri" w:hAnsi="Calibri" w:cs="Calibri"/>
          <w:sz w:val="22"/>
          <w:szCs w:val="22"/>
        </w:rPr>
        <w:t xml:space="preserve"> (Em </w:t>
      </w:r>
      <w:r>
        <w:rPr>
          <w:rFonts w:ascii="Calibri" w:hAnsi="Calibri" w:cs="Calibri"/>
          <w:sz w:val="22"/>
          <w:szCs w:val="22"/>
        </w:rPr>
        <w:t xml:space="preserve">milhares de </w:t>
      </w:r>
      <w:r w:rsidRPr="00A10DC2">
        <w:rPr>
          <w:rFonts w:ascii="Calibri" w:hAnsi="Calibri" w:cs="Calibri"/>
          <w:sz w:val="22"/>
          <w:szCs w:val="22"/>
        </w:rPr>
        <w:t>Reais)</w:t>
      </w:r>
    </w:p>
    <w:p w:rsidR="008738AC" w:rsidRDefault="008738AC" w:rsidP="008738AC">
      <w:pPr>
        <w:jc w:val="center"/>
        <w:rPr>
          <w:rFonts w:ascii="Calibri" w:hAnsi="Calibri" w:cs="Calibri"/>
          <w:sz w:val="22"/>
          <w:szCs w:val="22"/>
        </w:rPr>
      </w:pPr>
    </w:p>
    <w:p w:rsidR="008738AC" w:rsidRDefault="008738AC" w:rsidP="008738AC">
      <w:pPr>
        <w:jc w:val="center"/>
        <w:rPr>
          <w:rFonts w:ascii="Calibri" w:hAnsi="Calibri" w:cs="Calibri"/>
          <w:sz w:val="22"/>
          <w:szCs w:val="22"/>
        </w:rPr>
      </w:pPr>
    </w:p>
    <w:p w:rsidR="008738AC" w:rsidRDefault="00905F4A" w:rsidP="008738AC">
      <w:pPr>
        <w:jc w:val="center"/>
        <w:rPr>
          <w:rFonts w:ascii="Calibri" w:hAnsi="Calibri" w:cs="Calibri"/>
          <w:sz w:val="22"/>
          <w:szCs w:val="22"/>
        </w:rPr>
      </w:pPr>
      <w:r w:rsidRPr="00905F4A">
        <w:rPr>
          <w:noProof/>
        </w:rPr>
        <w:drawing>
          <wp:inline distT="0" distB="0" distL="0" distR="0">
            <wp:extent cx="6336665" cy="3624474"/>
            <wp:effectExtent l="0" t="0" r="6985"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36665" cy="3624474"/>
                    </a:xfrm>
                    <a:prstGeom prst="rect">
                      <a:avLst/>
                    </a:prstGeom>
                    <a:noFill/>
                    <a:ln>
                      <a:noFill/>
                    </a:ln>
                  </pic:spPr>
                </pic:pic>
              </a:graphicData>
            </a:graphic>
          </wp:inline>
        </w:drawing>
      </w:r>
    </w:p>
    <w:p w:rsidR="008738AC" w:rsidRDefault="008738AC" w:rsidP="008738AC">
      <w:pPr>
        <w:rPr>
          <w:rFonts w:ascii="Calibri" w:hAnsi="Calibri" w:cs="Calibri"/>
          <w:sz w:val="24"/>
          <w:szCs w:val="24"/>
        </w:rPr>
      </w:pPr>
    </w:p>
    <w:p w:rsidR="008738AC" w:rsidRDefault="008738AC" w:rsidP="008738AC">
      <w:pPr>
        <w:rPr>
          <w:rFonts w:ascii="Calibri" w:hAnsi="Calibri" w:cs="Calibri"/>
          <w:sz w:val="24"/>
          <w:szCs w:val="24"/>
        </w:rPr>
      </w:pPr>
    </w:p>
    <w:p w:rsidR="008738AC" w:rsidRDefault="008738AC" w:rsidP="008738AC">
      <w:pPr>
        <w:rPr>
          <w:rFonts w:ascii="Calibri" w:hAnsi="Calibri" w:cs="Calibri"/>
          <w:sz w:val="24"/>
          <w:szCs w:val="24"/>
        </w:rPr>
      </w:pPr>
    </w:p>
    <w:p w:rsidR="00905F4A" w:rsidRDefault="00905F4A" w:rsidP="008738AC">
      <w:pPr>
        <w:rPr>
          <w:rFonts w:ascii="Calibri" w:hAnsi="Calibri" w:cs="Calibri"/>
          <w:sz w:val="24"/>
          <w:szCs w:val="24"/>
        </w:rPr>
      </w:pPr>
    </w:p>
    <w:p w:rsidR="00905F4A" w:rsidRDefault="00905F4A" w:rsidP="008738AC">
      <w:pPr>
        <w:rPr>
          <w:rFonts w:ascii="Calibri" w:hAnsi="Calibri" w:cs="Calibri"/>
          <w:sz w:val="24"/>
          <w:szCs w:val="24"/>
        </w:rPr>
      </w:pPr>
    </w:p>
    <w:p w:rsidR="00905F4A" w:rsidRDefault="00905F4A" w:rsidP="008738AC">
      <w:pPr>
        <w:rPr>
          <w:rFonts w:ascii="Calibri" w:hAnsi="Calibri" w:cs="Calibri"/>
          <w:sz w:val="24"/>
          <w:szCs w:val="24"/>
        </w:rPr>
      </w:pPr>
    </w:p>
    <w:p w:rsidR="00905F4A" w:rsidRDefault="00905F4A" w:rsidP="008738AC">
      <w:pPr>
        <w:rPr>
          <w:rFonts w:ascii="Calibri" w:hAnsi="Calibri" w:cs="Calibri"/>
          <w:sz w:val="24"/>
          <w:szCs w:val="24"/>
        </w:rPr>
      </w:pPr>
    </w:p>
    <w:p w:rsidR="00905F4A" w:rsidRDefault="00905F4A" w:rsidP="008738AC">
      <w:pPr>
        <w:rPr>
          <w:rFonts w:ascii="Calibri" w:hAnsi="Calibri" w:cs="Calibri"/>
          <w:sz w:val="24"/>
          <w:szCs w:val="24"/>
        </w:rPr>
      </w:pPr>
    </w:p>
    <w:p w:rsidR="00905F4A" w:rsidRDefault="00905F4A" w:rsidP="008738AC">
      <w:pPr>
        <w:rPr>
          <w:rFonts w:ascii="Calibri" w:hAnsi="Calibri" w:cs="Calibri"/>
          <w:sz w:val="24"/>
          <w:szCs w:val="24"/>
        </w:rPr>
      </w:pPr>
    </w:p>
    <w:p w:rsidR="00905F4A" w:rsidRDefault="00905F4A" w:rsidP="008738AC">
      <w:pPr>
        <w:rPr>
          <w:rFonts w:ascii="Calibri" w:hAnsi="Calibri" w:cs="Calibri"/>
          <w:sz w:val="24"/>
          <w:szCs w:val="24"/>
        </w:rPr>
      </w:pPr>
    </w:p>
    <w:p w:rsidR="00905F4A" w:rsidRDefault="00905F4A" w:rsidP="008738AC">
      <w:pPr>
        <w:rPr>
          <w:rFonts w:ascii="Calibri" w:hAnsi="Calibri" w:cs="Calibri"/>
          <w:sz w:val="24"/>
          <w:szCs w:val="24"/>
        </w:rPr>
      </w:pPr>
    </w:p>
    <w:p w:rsidR="00905F4A" w:rsidRDefault="00905F4A" w:rsidP="008738AC">
      <w:pPr>
        <w:rPr>
          <w:rFonts w:ascii="Calibri" w:hAnsi="Calibri" w:cs="Calibri"/>
          <w:sz w:val="24"/>
          <w:szCs w:val="24"/>
        </w:rPr>
      </w:pPr>
    </w:p>
    <w:p w:rsidR="00905F4A" w:rsidRDefault="00905F4A" w:rsidP="008738AC">
      <w:pPr>
        <w:rPr>
          <w:rFonts w:ascii="Calibri" w:hAnsi="Calibri" w:cs="Calibri"/>
          <w:sz w:val="24"/>
          <w:szCs w:val="24"/>
        </w:rPr>
      </w:pPr>
    </w:p>
    <w:p w:rsidR="00905F4A" w:rsidRDefault="00905F4A" w:rsidP="008738AC">
      <w:pPr>
        <w:rPr>
          <w:rFonts w:ascii="Calibri" w:hAnsi="Calibri" w:cs="Calibri"/>
          <w:sz w:val="24"/>
          <w:szCs w:val="24"/>
        </w:rPr>
      </w:pPr>
    </w:p>
    <w:p w:rsidR="00905F4A" w:rsidRDefault="00905F4A" w:rsidP="008738AC">
      <w:pPr>
        <w:rPr>
          <w:rFonts w:ascii="Calibri" w:hAnsi="Calibri" w:cs="Calibri"/>
          <w:sz w:val="24"/>
          <w:szCs w:val="24"/>
        </w:rPr>
      </w:pPr>
    </w:p>
    <w:p w:rsidR="00905F4A" w:rsidRDefault="00905F4A" w:rsidP="008738AC">
      <w:pPr>
        <w:rPr>
          <w:rFonts w:ascii="Calibri" w:hAnsi="Calibri" w:cs="Calibri"/>
          <w:sz w:val="24"/>
          <w:szCs w:val="24"/>
        </w:rPr>
      </w:pPr>
    </w:p>
    <w:p w:rsidR="00905F4A" w:rsidRDefault="00905F4A" w:rsidP="008738AC">
      <w:pPr>
        <w:rPr>
          <w:rFonts w:ascii="Calibri" w:hAnsi="Calibri" w:cs="Calibri"/>
          <w:sz w:val="24"/>
          <w:szCs w:val="24"/>
        </w:rPr>
      </w:pPr>
    </w:p>
    <w:p w:rsidR="00905F4A" w:rsidRDefault="00905F4A" w:rsidP="008738AC">
      <w:pPr>
        <w:rPr>
          <w:rFonts w:ascii="Calibri" w:hAnsi="Calibri" w:cs="Calibri"/>
          <w:sz w:val="24"/>
          <w:szCs w:val="24"/>
        </w:rPr>
      </w:pPr>
    </w:p>
    <w:p w:rsidR="00905F4A" w:rsidRDefault="00905F4A" w:rsidP="008738AC">
      <w:pPr>
        <w:rPr>
          <w:rFonts w:ascii="Calibri" w:hAnsi="Calibri" w:cs="Calibri"/>
          <w:sz w:val="24"/>
          <w:szCs w:val="24"/>
        </w:rPr>
      </w:pPr>
    </w:p>
    <w:p w:rsidR="00905F4A" w:rsidRDefault="00905F4A" w:rsidP="008738AC">
      <w:pPr>
        <w:rPr>
          <w:rFonts w:ascii="Calibri" w:hAnsi="Calibri" w:cs="Calibri"/>
          <w:sz w:val="24"/>
          <w:szCs w:val="24"/>
        </w:rPr>
      </w:pPr>
    </w:p>
    <w:p w:rsidR="00905F4A" w:rsidRDefault="00905F4A" w:rsidP="008738AC">
      <w:pPr>
        <w:rPr>
          <w:rFonts w:ascii="Calibri" w:hAnsi="Calibri" w:cs="Calibri"/>
          <w:sz w:val="24"/>
          <w:szCs w:val="24"/>
        </w:rPr>
      </w:pPr>
    </w:p>
    <w:p w:rsidR="00905F4A" w:rsidRDefault="00905F4A" w:rsidP="008738AC">
      <w:pPr>
        <w:rPr>
          <w:rFonts w:ascii="Calibri" w:hAnsi="Calibri" w:cs="Calibri"/>
          <w:sz w:val="24"/>
          <w:szCs w:val="24"/>
        </w:rPr>
      </w:pPr>
    </w:p>
    <w:p w:rsidR="00D4531E" w:rsidRPr="00B03145" w:rsidRDefault="00D4531E" w:rsidP="00D4531E">
      <w:pPr>
        <w:pStyle w:val="Ttulo3"/>
        <w:rPr>
          <w:rFonts w:ascii="Calibri" w:hAnsi="Calibri" w:cs="Calibri"/>
          <w:b/>
          <w:bCs/>
          <w:sz w:val="24"/>
          <w:szCs w:val="24"/>
        </w:rPr>
      </w:pPr>
      <w:r w:rsidRPr="00B03145">
        <w:rPr>
          <w:rFonts w:ascii="Calibri" w:hAnsi="Calibri" w:cs="Calibri"/>
          <w:b/>
          <w:bCs/>
          <w:sz w:val="24"/>
          <w:szCs w:val="24"/>
        </w:rPr>
        <w:lastRenderedPageBreak/>
        <w:t>COMPANHIA DOCAS DO RIO DE JANEIRO - CDRJ</w:t>
      </w:r>
    </w:p>
    <w:p w:rsidR="00D4531E" w:rsidRPr="00B03145" w:rsidRDefault="00D4531E" w:rsidP="00D4531E">
      <w:pPr>
        <w:jc w:val="center"/>
        <w:rPr>
          <w:rFonts w:ascii="Calibri" w:hAnsi="Calibri" w:cs="Calibri"/>
          <w:b/>
          <w:sz w:val="24"/>
          <w:szCs w:val="24"/>
        </w:rPr>
      </w:pPr>
      <w:r w:rsidRPr="00B03145">
        <w:rPr>
          <w:rFonts w:ascii="Calibri" w:hAnsi="Calibri" w:cs="Calibri"/>
          <w:b/>
          <w:bCs/>
          <w:sz w:val="24"/>
          <w:szCs w:val="24"/>
        </w:rPr>
        <w:t>DEMONSTRAÇÃO</w:t>
      </w:r>
      <w:r w:rsidRPr="00B03145">
        <w:rPr>
          <w:rFonts w:ascii="Calibri" w:hAnsi="Calibri" w:cs="Calibri"/>
          <w:b/>
          <w:sz w:val="24"/>
          <w:szCs w:val="24"/>
        </w:rPr>
        <w:t xml:space="preserve"> DO </w:t>
      </w:r>
      <w:r>
        <w:rPr>
          <w:rFonts w:ascii="Calibri" w:hAnsi="Calibri" w:cs="Calibri"/>
          <w:b/>
          <w:sz w:val="24"/>
          <w:szCs w:val="24"/>
        </w:rPr>
        <w:t>FLUXO DE CAIXA</w:t>
      </w:r>
    </w:p>
    <w:p w:rsidR="00D4531E" w:rsidRDefault="00D4531E" w:rsidP="00D4531E">
      <w:pPr>
        <w:jc w:val="center"/>
        <w:rPr>
          <w:rFonts w:ascii="Calibri" w:hAnsi="Calibri" w:cs="Calibri"/>
          <w:sz w:val="22"/>
          <w:szCs w:val="22"/>
        </w:rPr>
      </w:pPr>
      <w:r w:rsidRPr="00A10DC2">
        <w:rPr>
          <w:rFonts w:ascii="Calibri" w:hAnsi="Calibri" w:cs="Calibri"/>
          <w:sz w:val="22"/>
          <w:szCs w:val="22"/>
        </w:rPr>
        <w:t xml:space="preserve"> (Em </w:t>
      </w:r>
      <w:r>
        <w:rPr>
          <w:rFonts w:ascii="Calibri" w:hAnsi="Calibri" w:cs="Calibri"/>
          <w:sz w:val="22"/>
          <w:szCs w:val="22"/>
        </w:rPr>
        <w:t xml:space="preserve">milhares de </w:t>
      </w:r>
      <w:r w:rsidRPr="00A10DC2">
        <w:rPr>
          <w:rFonts w:ascii="Calibri" w:hAnsi="Calibri" w:cs="Calibri"/>
          <w:sz w:val="22"/>
          <w:szCs w:val="22"/>
        </w:rPr>
        <w:t>Reais)</w:t>
      </w:r>
    </w:p>
    <w:p w:rsidR="00D4531E" w:rsidRDefault="00D4531E" w:rsidP="008738AC">
      <w:pPr>
        <w:rPr>
          <w:rFonts w:ascii="Calibri" w:hAnsi="Calibri" w:cs="Calibri"/>
          <w:sz w:val="24"/>
          <w:szCs w:val="24"/>
        </w:rPr>
      </w:pPr>
    </w:p>
    <w:p w:rsidR="00D4531E" w:rsidRDefault="00D4531E" w:rsidP="008738AC">
      <w:pPr>
        <w:rPr>
          <w:rFonts w:ascii="Calibri" w:hAnsi="Calibri" w:cs="Calibri"/>
          <w:sz w:val="24"/>
          <w:szCs w:val="24"/>
        </w:rPr>
      </w:pPr>
    </w:p>
    <w:p w:rsidR="00D4531E" w:rsidRDefault="00B328CF" w:rsidP="00D4531E">
      <w:pPr>
        <w:jc w:val="center"/>
        <w:rPr>
          <w:rFonts w:ascii="Calibri" w:hAnsi="Calibri" w:cs="Calibri"/>
          <w:sz w:val="24"/>
          <w:szCs w:val="24"/>
        </w:rPr>
      </w:pPr>
      <w:r w:rsidRPr="00B328CF">
        <w:rPr>
          <w:noProof/>
        </w:rPr>
        <w:drawing>
          <wp:inline distT="0" distB="0" distL="0" distR="0">
            <wp:extent cx="6336665" cy="7613050"/>
            <wp:effectExtent l="0" t="0" r="0" b="698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36665" cy="7613050"/>
                    </a:xfrm>
                    <a:prstGeom prst="rect">
                      <a:avLst/>
                    </a:prstGeom>
                    <a:noFill/>
                    <a:ln>
                      <a:noFill/>
                    </a:ln>
                  </pic:spPr>
                </pic:pic>
              </a:graphicData>
            </a:graphic>
          </wp:inline>
        </w:drawing>
      </w:r>
    </w:p>
    <w:p w:rsidR="00B328CF" w:rsidRPr="00B03145" w:rsidRDefault="00B328CF" w:rsidP="00B328CF">
      <w:pPr>
        <w:pStyle w:val="Ttulo3"/>
        <w:rPr>
          <w:rFonts w:ascii="Calibri" w:hAnsi="Calibri" w:cs="Calibri"/>
          <w:b/>
          <w:bCs/>
          <w:sz w:val="24"/>
          <w:szCs w:val="24"/>
        </w:rPr>
      </w:pPr>
      <w:r w:rsidRPr="00B03145">
        <w:rPr>
          <w:rFonts w:ascii="Calibri" w:hAnsi="Calibri" w:cs="Calibri"/>
          <w:b/>
          <w:bCs/>
          <w:sz w:val="24"/>
          <w:szCs w:val="24"/>
        </w:rPr>
        <w:lastRenderedPageBreak/>
        <w:t>COMPANHIA DOCAS DO RIO DE JANEIRO - CDRJ</w:t>
      </w:r>
    </w:p>
    <w:p w:rsidR="00B328CF" w:rsidRPr="00B03145" w:rsidRDefault="00B328CF" w:rsidP="00B328CF">
      <w:pPr>
        <w:jc w:val="center"/>
        <w:rPr>
          <w:rFonts w:ascii="Calibri" w:hAnsi="Calibri" w:cs="Calibri"/>
          <w:b/>
          <w:sz w:val="24"/>
          <w:szCs w:val="24"/>
        </w:rPr>
      </w:pPr>
      <w:r w:rsidRPr="00B03145">
        <w:rPr>
          <w:rFonts w:ascii="Calibri" w:hAnsi="Calibri" w:cs="Calibri"/>
          <w:b/>
          <w:bCs/>
          <w:sz w:val="24"/>
          <w:szCs w:val="24"/>
        </w:rPr>
        <w:t>DEMONSTRAÇÃO</w:t>
      </w:r>
      <w:r w:rsidRPr="00B03145">
        <w:rPr>
          <w:rFonts w:ascii="Calibri" w:hAnsi="Calibri" w:cs="Calibri"/>
          <w:b/>
          <w:sz w:val="24"/>
          <w:szCs w:val="24"/>
        </w:rPr>
        <w:t xml:space="preserve"> DO </w:t>
      </w:r>
      <w:r>
        <w:rPr>
          <w:rFonts w:ascii="Calibri" w:hAnsi="Calibri" w:cs="Calibri"/>
          <w:b/>
          <w:sz w:val="24"/>
          <w:szCs w:val="24"/>
        </w:rPr>
        <w:t>VALOR ADICIONADO</w:t>
      </w:r>
    </w:p>
    <w:p w:rsidR="00B328CF" w:rsidRDefault="00B328CF" w:rsidP="00B328CF">
      <w:pPr>
        <w:jc w:val="center"/>
        <w:rPr>
          <w:rFonts w:ascii="Calibri" w:hAnsi="Calibri" w:cs="Calibri"/>
          <w:sz w:val="22"/>
          <w:szCs w:val="22"/>
        </w:rPr>
      </w:pPr>
      <w:r w:rsidRPr="00A10DC2">
        <w:rPr>
          <w:rFonts w:ascii="Calibri" w:hAnsi="Calibri" w:cs="Calibri"/>
          <w:sz w:val="22"/>
          <w:szCs w:val="22"/>
        </w:rPr>
        <w:t xml:space="preserve"> (Em </w:t>
      </w:r>
      <w:r>
        <w:rPr>
          <w:rFonts w:ascii="Calibri" w:hAnsi="Calibri" w:cs="Calibri"/>
          <w:sz w:val="22"/>
          <w:szCs w:val="22"/>
        </w:rPr>
        <w:t xml:space="preserve">milhares de </w:t>
      </w:r>
      <w:r w:rsidRPr="00A10DC2">
        <w:rPr>
          <w:rFonts w:ascii="Calibri" w:hAnsi="Calibri" w:cs="Calibri"/>
          <w:sz w:val="22"/>
          <w:szCs w:val="22"/>
        </w:rPr>
        <w:t>Reais)</w:t>
      </w:r>
    </w:p>
    <w:p w:rsidR="00B328CF" w:rsidRDefault="00B328CF" w:rsidP="00B328CF">
      <w:pPr>
        <w:jc w:val="center"/>
        <w:rPr>
          <w:rFonts w:ascii="Calibri" w:hAnsi="Calibri" w:cs="Calibri"/>
          <w:sz w:val="22"/>
          <w:szCs w:val="22"/>
        </w:rPr>
      </w:pPr>
    </w:p>
    <w:p w:rsidR="00B328CF" w:rsidRDefault="00B328CF" w:rsidP="008738AC">
      <w:pPr>
        <w:rPr>
          <w:rFonts w:ascii="Calibri" w:hAnsi="Calibri" w:cs="Calibri"/>
          <w:sz w:val="24"/>
          <w:szCs w:val="24"/>
        </w:rPr>
      </w:pPr>
    </w:p>
    <w:p w:rsidR="00B328CF" w:rsidRDefault="003419F7" w:rsidP="008738AC">
      <w:pPr>
        <w:rPr>
          <w:rFonts w:ascii="Calibri" w:hAnsi="Calibri" w:cs="Calibri"/>
          <w:sz w:val="24"/>
          <w:szCs w:val="24"/>
        </w:rPr>
      </w:pPr>
      <w:r w:rsidRPr="003419F7">
        <w:drawing>
          <wp:inline distT="0" distB="0" distL="0" distR="0">
            <wp:extent cx="6336665" cy="7535395"/>
            <wp:effectExtent l="0" t="0" r="6985" b="889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36665" cy="7535395"/>
                    </a:xfrm>
                    <a:prstGeom prst="rect">
                      <a:avLst/>
                    </a:prstGeom>
                    <a:noFill/>
                    <a:ln>
                      <a:noFill/>
                    </a:ln>
                  </pic:spPr>
                </pic:pic>
              </a:graphicData>
            </a:graphic>
          </wp:inline>
        </w:drawing>
      </w:r>
    </w:p>
    <w:p w:rsidR="00B328CF" w:rsidRDefault="00B328CF" w:rsidP="008738AC">
      <w:pPr>
        <w:rPr>
          <w:rFonts w:ascii="Calibri" w:hAnsi="Calibri" w:cs="Calibri"/>
          <w:sz w:val="24"/>
          <w:szCs w:val="24"/>
        </w:rPr>
      </w:pPr>
    </w:p>
    <w:p w:rsidR="008738AC" w:rsidRDefault="008738AC" w:rsidP="00905F4A">
      <w:pPr>
        <w:pStyle w:val="PargrafodaLista"/>
        <w:numPr>
          <w:ilvl w:val="1"/>
          <w:numId w:val="24"/>
        </w:numPr>
        <w:spacing w:after="0" w:line="240" w:lineRule="auto"/>
        <w:ind w:left="993" w:hanging="567"/>
        <w:rPr>
          <w:rFonts w:cs="Calibri"/>
          <w:b/>
          <w:sz w:val="24"/>
          <w:szCs w:val="24"/>
        </w:rPr>
      </w:pPr>
      <w:r w:rsidRPr="008738AC">
        <w:rPr>
          <w:rFonts w:cs="Calibri"/>
          <w:b/>
          <w:sz w:val="24"/>
          <w:szCs w:val="24"/>
        </w:rPr>
        <w:lastRenderedPageBreak/>
        <w:t>Arrendamento Mercantil</w:t>
      </w:r>
    </w:p>
    <w:p w:rsidR="008738AC" w:rsidRDefault="008738AC" w:rsidP="00905F4A">
      <w:pPr>
        <w:pStyle w:val="PargrafodaLista"/>
        <w:spacing w:after="0" w:line="240" w:lineRule="auto"/>
        <w:ind w:left="993"/>
        <w:rPr>
          <w:rFonts w:cs="Calibri"/>
          <w:b/>
          <w:sz w:val="24"/>
          <w:szCs w:val="24"/>
        </w:rPr>
      </w:pPr>
    </w:p>
    <w:p w:rsidR="008738AC" w:rsidRPr="00905F4A" w:rsidRDefault="008738AC" w:rsidP="00905F4A">
      <w:pPr>
        <w:ind w:left="851"/>
        <w:jc w:val="both"/>
        <w:rPr>
          <w:rFonts w:asciiTheme="minorHAnsi" w:hAnsiTheme="minorHAnsi" w:cstheme="minorHAnsi"/>
          <w:sz w:val="24"/>
          <w:szCs w:val="24"/>
        </w:rPr>
      </w:pPr>
      <w:r w:rsidRPr="00905F4A">
        <w:rPr>
          <w:rFonts w:asciiTheme="minorHAnsi" w:hAnsiTheme="minorHAnsi" w:cstheme="minorHAnsi"/>
          <w:sz w:val="24"/>
          <w:szCs w:val="24"/>
        </w:rPr>
        <w:t xml:space="preserve">Trata-se de contratos de </w:t>
      </w:r>
      <w:r w:rsidRPr="00905F4A">
        <w:rPr>
          <w:rFonts w:asciiTheme="minorHAnsi" w:hAnsiTheme="minorHAnsi" w:cstheme="minorHAnsi"/>
          <w:i/>
          <w:sz w:val="24"/>
          <w:szCs w:val="24"/>
        </w:rPr>
        <w:t>leasing</w:t>
      </w:r>
      <w:r w:rsidRPr="00905F4A">
        <w:rPr>
          <w:rFonts w:asciiTheme="minorHAnsi" w:hAnsiTheme="minorHAnsi" w:cstheme="minorHAnsi"/>
          <w:sz w:val="24"/>
          <w:szCs w:val="24"/>
        </w:rPr>
        <w:t xml:space="preserve"> de equipamentos portuários transferidos da extinta Empresa de Portos do Brasil – PORTOBRAS para a CDRJ, em cobrança judicial.</w:t>
      </w:r>
    </w:p>
    <w:p w:rsidR="008738AC" w:rsidRPr="00905F4A" w:rsidRDefault="008738AC" w:rsidP="00905F4A">
      <w:pPr>
        <w:ind w:left="851"/>
        <w:jc w:val="both"/>
        <w:rPr>
          <w:rFonts w:asciiTheme="minorHAnsi" w:hAnsiTheme="minorHAnsi" w:cstheme="minorHAnsi"/>
          <w:sz w:val="24"/>
          <w:szCs w:val="24"/>
        </w:rPr>
      </w:pPr>
    </w:p>
    <w:p w:rsidR="008738AC" w:rsidRPr="00905F4A" w:rsidRDefault="008738AC" w:rsidP="00905F4A">
      <w:pPr>
        <w:ind w:left="851"/>
        <w:jc w:val="both"/>
        <w:rPr>
          <w:rFonts w:asciiTheme="minorHAnsi" w:hAnsiTheme="minorHAnsi" w:cstheme="minorHAnsi"/>
          <w:sz w:val="24"/>
          <w:szCs w:val="24"/>
        </w:rPr>
      </w:pPr>
      <w:r w:rsidRPr="00905F4A">
        <w:rPr>
          <w:rFonts w:asciiTheme="minorHAnsi" w:hAnsiTheme="minorHAnsi" w:cstheme="minorHAnsi"/>
          <w:sz w:val="24"/>
          <w:szCs w:val="24"/>
        </w:rPr>
        <w:t xml:space="preserve">Os processos tramitam na 3º Vara Federal da Seção Judiciária do Rio de Janeiro e possuem ordem de penhora, em cumprimento, com percentual de 7% (sete por cento) sobre o faturamento, sendo 5% (cinco por cento) em favor do Banco J.P. Morgan, nos autos do Processo nº 0005985-83.1997.4.02.5101 e 2% (dois por cento) em favor do </w:t>
      </w:r>
      <w:proofErr w:type="spellStart"/>
      <w:r w:rsidRPr="00905F4A">
        <w:rPr>
          <w:rFonts w:asciiTheme="minorHAnsi" w:hAnsiTheme="minorHAnsi" w:cstheme="minorHAnsi"/>
          <w:sz w:val="24"/>
          <w:szCs w:val="24"/>
        </w:rPr>
        <w:t>Dibens</w:t>
      </w:r>
      <w:proofErr w:type="spellEnd"/>
      <w:r w:rsidRPr="00905F4A">
        <w:rPr>
          <w:rFonts w:asciiTheme="minorHAnsi" w:hAnsiTheme="minorHAnsi" w:cstheme="minorHAnsi"/>
          <w:sz w:val="24"/>
          <w:szCs w:val="24"/>
        </w:rPr>
        <w:t xml:space="preserve"> Leasing S.A., nos autos do Processo nº 0044608-27.1994.4.02.5101.</w:t>
      </w:r>
    </w:p>
    <w:p w:rsidR="008738AC" w:rsidRPr="00905F4A" w:rsidRDefault="008738AC" w:rsidP="00905F4A">
      <w:pPr>
        <w:ind w:left="851"/>
        <w:jc w:val="both"/>
        <w:rPr>
          <w:rFonts w:asciiTheme="minorHAnsi" w:hAnsiTheme="minorHAnsi" w:cstheme="minorHAnsi"/>
          <w:sz w:val="24"/>
          <w:szCs w:val="24"/>
        </w:rPr>
      </w:pPr>
    </w:p>
    <w:p w:rsidR="008738AC" w:rsidRPr="00905F4A" w:rsidRDefault="008738AC" w:rsidP="00905F4A">
      <w:pPr>
        <w:pStyle w:val="PargrafodaLista"/>
        <w:spacing w:after="0" w:line="240" w:lineRule="auto"/>
        <w:ind w:left="851"/>
        <w:jc w:val="both"/>
        <w:rPr>
          <w:rFonts w:asciiTheme="minorHAnsi" w:hAnsiTheme="minorHAnsi" w:cstheme="minorHAnsi"/>
          <w:sz w:val="24"/>
          <w:szCs w:val="24"/>
        </w:rPr>
      </w:pPr>
      <w:r w:rsidRPr="00905F4A">
        <w:rPr>
          <w:rFonts w:asciiTheme="minorHAnsi" w:hAnsiTheme="minorHAnsi" w:cstheme="minorHAnsi"/>
          <w:sz w:val="24"/>
          <w:szCs w:val="24"/>
        </w:rPr>
        <w:t>Os registros das obrigações foram objeto de perícia contábil, no exercício de 2019, cuja conclusão foi pela baixa dos valores registrados no Passivo Circulante, visto que, segundo o perito, o pagamento já havia ocorrido. O relatório sugeriu também que a CDRJ mantivesse apenas a provisão das contingências jurídicas, conforme nota nº 18. A Administração da CDRJ deliberou por acatar o laudo do perito e determinou a baixa do passivo em sua 2379ª reunião, de 28 de novembro de 2019.</w:t>
      </w:r>
    </w:p>
    <w:p w:rsidR="008738AC" w:rsidRPr="00905F4A" w:rsidRDefault="008738AC" w:rsidP="00905F4A">
      <w:pPr>
        <w:pStyle w:val="PargrafodaLista"/>
        <w:spacing w:after="0" w:line="240" w:lineRule="auto"/>
        <w:ind w:left="851"/>
        <w:rPr>
          <w:rFonts w:asciiTheme="minorHAnsi" w:hAnsiTheme="minorHAnsi" w:cstheme="minorHAnsi"/>
          <w:sz w:val="24"/>
          <w:szCs w:val="24"/>
        </w:rPr>
      </w:pPr>
    </w:p>
    <w:p w:rsidR="008738AC" w:rsidRPr="003B4A4C" w:rsidRDefault="008738AC" w:rsidP="00905F4A">
      <w:pPr>
        <w:pStyle w:val="PargrafodaLista"/>
        <w:spacing w:after="0" w:line="240" w:lineRule="auto"/>
        <w:ind w:left="851"/>
        <w:jc w:val="both"/>
        <w:rPr>
          <w:rFonts w:asciiTheme="minorHAnsi" w:hAnsiTheme="minorHAnsi" w:cstheme="minorHAnsi"/>
          <w:sz w:val="24"/>
          <w:szCs w:val="24"/>
        </w:rPr>
      </w:pPr>
      <w:r w:rsidRPr="00905F4A">
        <w:rPr>
          <w:rFonts w:asciiTheme="minorHAnsi" w:hAnsiTheme="minorHAnsi" w:cstheme="minorHAnsi"/>
          <w:sz w:val="24"/>
          <w:szCs w:val="24"/>
        </w:rPr>
        <w:t xml:space="preserve">Os cálculos são de responsabilidade da empresa César Amaral Assessoria e Perícia Contábil – Sociedade Simples Ltda., segundo termos do Contrato CDRJ nº 043/2019, cujo objeto é a </w:t>
      </w:r>
      <w:r w:rsidRPr="003B4A4C">
        <w:rPr>
          <w:rFonts w:asciiTheme="minorHAnsi" w:hAnsiTheme="minorHAnsi" w:cstheme="minorHAnsi"/>
          <w:sz w:val="24"/>
          <w:szCs w:val="24"/>
        </w:rPr>
        <w:t>“</w:t>
      </w:r>
      <w:r w:rsidRPr="001C4695">
        <w:rPr>
          <w:rFonts w:asciiTheme="minorHAnsi" w:hAnsiTheme="minorHAnsi" w:cstheme="minorHAnsi"/>
          <w:i/>
          <w:sz w:val="24"/>
          <w:szCs w:val="24"/>
        </w:rPr>
        <w:t>elaboração e revisão de cálculos judiciais nas esferas trabalhista e cível / tributária, emissão de pareceres técnicos (...) e elaboração de provisionamento contábil/financeiro, relacionados aos processos em que a CDRJ figure como parte da reclamação processual”.</w:t>
      </w:r>
    </w:p>
    <w:p w:rsidR="008738AC" w:rsidRDefault="008738AC" w:rsidP="00905F4A">
      <w:pPr>
        <w:pStyle w:val="PargrafodaLista"/>
        <w:spacing w:after="0" w:line="240" w:lineRule="auto"/>
        <w:ind w:left="993"/>
        <w:rPr>
          <w:rFonts w:cs="Calibri"/>
          <w:b/>
          <w:sz w:val="24"/>
          <w:szCs w:val="24"/>
        </w:rPr>
      </w:pPr>
    </w:p>
    <w:p w:rsidR="008738AC" w:rsidRDefault="008738AC" w:rsidP="00905F4A">
      <w:pPr>
        <w:pStyle w:val="PargrafodaLista"/>
        <w:numPr>
          <w:ilvl w:val="1"/>
          <w:numId w:val="24"/>
        </w:numPr>
        <w:spacing w:after="0" w:line="240" w:lineRule="auto"/>
        <w:ind w:left="993" w:hanging="567"/>
        <w:rPr>
          <w:rFonts w:cs="Calibri"/>
          <w:b/>
          <w:sz w:val="24"/>
          <w:szCs w:val="24"/>
        </w:rPr>
      </w:pPr>
      <w:r>
        <w:rPr>
          <w:rFonts w:cs="Calibri"/>
          <w:b/>
          <w:sz w:val="24"/>
          <w:szCs w:val="24"/>
        </w:rPr>
        <w:t>Benefícios Pós Emprego</w:t>
      </w:r>
    </w:p>
    <w:p w:rsidR="008738AC" w:rsidRDefault="008738AC" w:rsidP="00905F4A">
      <w:pPr>
        <w:pStyle w:val="PargrafodaLista"/>
        <w:spacing w:after="0" w:line="240" w:lineRule="auto"/>
        <w:ind w:left="993"/>
        <w:rPr>
          <w:rFonts w:cs="Calibri"/>
          <w:b/>
          <w:sz w:val="24"/>
          <w:szCs w:val="24"/>
        </w:rPr>
      </w:pPr>
    </w:p>
    <w:p w:rsidR="008738AC" w:rsidRDefault="008738AC" w:rsidP="00905F4A">
      <w:pPr>
        <w:pStyle w:val="PargrafodaLista"/>
        <w:spacing w:after="0" w:line="240" w:lineRule="auto"/>
        <w:ind w:left="851"/>
        <w:jc w:val="both"/>
        <w:rPr>
          <w:rFonts w:cs="Calibri"/>
          <w:sz w:val="24"/>
          <w:szCs w:val="24"/>
        </w:rPr>
      </w:pPr>
      <w:r>
        <w:rPr>
          <w:rFonts w:cs="Calibri"/>
          <w:sz w:val="24"/>
          <w:szCs w:val="24"/>
        </w:rPr>
        <w:t>Foram realizados dois ajustes na conta de Benefícios Pós Emprego – Passivo Não Circulante: a baixa da Reserva por Tempo de Serviço Anterior – RTSA e o reconhecimento do déficit atuarial.</w:t>
      </w:r>
    </w:p>
    <w:p w:rsidR="008738AC" w:rsidRDefault="008738AC" w:rsidP="00905F4A">
      <w:pPr>
        <w:pStyle w:val="PargrafodaLista"/>
        <w:spacing w:after="0" w:line="240" w:lineRule="auto"/>
        <w:ind w:left="851"/>
        <w:jc w:val="both"/>
        <w:rPr>
          <w:rFonts w:cs="Calibri"/>
          <w:sz w:val="24"/>
          <w:szCs w:val="24"/>
        </w:rPr>
      </w:pPr>
    </w:p>
    <w:p w:rsidR="008738AC" w:rsidRDefault="008738AC" w:rsidP="00905F4A">
      <w:pPr>
        <w:pStyle w:val="PargrafodaLista"/>
        <w:spacing w:after="0" w:line="240" w:lineRule="auto"/>
        <w:ind w:left="851"/>
        <w:jc w:val="both"/>
        <w:rPr>
          <w:rFonts w:cs="Calibri"/>
          <w:sz w:val="24"/>
          <w:szCs w:val="24"/>
        </w:rPr>
      </w:pPr>
      <w:r>
        <w:rPr>
          <w:rFonts w:cs="Calibri"/>
          <w:sz w:val="24"/>
          <w:szCs w:val="24"/>
        </w:rPr>
        <w:t xml:space="preserve">A baixa do RTSA ocorreu pelos mesmos motivos expostos no item 4.1, tendo a Diretoria Executiva deliberado pela baixa do passivo, mantendo apenas a provisão para perda provável, em R$ 62.249 mil, conforme nota nº 18. </w:t>
      </w:r>
    </w:p>
    <w:p w:rsidR="008738AC" w:rsidRDefault="008738AC" w:rsidP="00905F4A">
      <w:pPr>
        <w:pStyle w:val="PargrafodaLista"/>
        <w:spacing w:after="0" w:line="240" w:lineRule="auto"/>
        <w:ind w:left="851"/>
        <w:jc w:val="both"/>
        <w:rPr>
          <w:rFonts w:cs="Calibri"/>
          <w:sz w:val="24"/>
          <w:szCs w:val="24"/>
        </w:rPr>
      </w:pPr>
    </w:p>
    <w:p w:rsidR="008738AC" w:rsidRPr="00EE73A0" w:rsidRDefault="008738AC" w:rsidP="00905F4A">
      <w:pPr>
        <w:pStyle w:val="PargrafodaLista"/>
        <w:spacing w:after="0" w:line="240" w:lineRule="auto"/>
        <w:ind w:left="851"/>
        <w:jc w:val="both"/>
        <w:rPr>
          <w:rFonts w:cs="Calibri"/>
          <w:sz w:val="24"/>
          <w:szCs w:val="24"/>
        </w:rPr>
      </w:pPr>
      <w:r>
        <w:rPr>
          <w:rFonts w:cs="Calibri"/>
          <w:sz w:val="24"/>
          <w:szCs w:val="24"/>
        </w:rPr>
        <w:t>O registro do déficit atuarial está explicado na nota nº 17.</w:t>
      </w:r>
    </w:p>
    <w:p w:rsidR="008738AC" w:rsidRDefault="008738AC" w:rsidP="00905F4A">
      <w:pPr>
        <w:pStyle w:val="PargrafodaLista"/>
        <w:spacing w:after="0" w:line="240" w:lineRule="auto"/>
        <w:ind w:left="851"/>
        <w:jc w:val="both"/>
        <w:rPr>
          <w:rFonts w:cs="Calibri"/>
          <w:sz w:val="24"/>
          <w:szCs w:val="24"/>
        </w:rPr>
      </w:pPr>
    </w:p>
    <w:p w:rsidR="008738AC" w:rsidRPr="00EE73A0" w:rsidRDefault="008738AC" w:rsidP="00905F4A">
      <w:pPr>
        <w:pStyle w:val="PargrafodaLista"/>
        <w:spacing w:after="0" w:line="240" w:lineRule="auto"/>
        <w:ind w:left="851"/>
        <w:jc w:val="both"/>
        <w:rPr>
          <w:rFonts w:cs="Calibri"/>
          <w:sz w:val="24"/>
          <w:szCs w:val="24"/>
        </w:rPr>
      </w:pPr>
      <w:r w:rsidRPr="00EE73A0">
        <w:rPr>
          <w:rFonts w:cs="Calibri"/>
          <w:sz w:val="24"/>
          <w:szCs w:val="24"/>
        </w:rPr>
        <w:t>Segue quadro com a composição do ajuste:</w:t>
      </w:r>
    </w:p>
    <w:p w:rsidR="008738AC" w:rsidRDefault="008738AC" w:rsidP="00905F4A">
      <w:pPr>
        <w:pStyle w:val="Recuodecorpodetexto"/>
        <w:widowControl/>
        <w:autoSpaceDE w:val="0"/>
        <w:autoSpaceDN w:val="0"/>
        <w:ind w:left="993" w:hanging="567"/>
        <w:rPr>
          <w:rFonts w:ascii="Calibri" w:hAnsi="Calibri" w:cs="Calibri"/>
          <w:szCs w:val="24"/>
        </w:rPr>
      </w:pPr>
    </w:p>
    <w:p w:rsidR="00905F4A" w:rsidRPr="00312424" w:rsidRDefault="00905F4A" w:rsidP="00905F4A">
      <w:pPr>
        <w:pStyle w:val="Recuodecorpodetexto"/>
        <w:widowControl/>
        <w:autoSpaceDE w:val="0"/>
        <w:autoSpaceDN w:val="0"/>
        <w:ind w:left="993" w:hanging="567"/>
        <w:rPr>
          <w:rFonts w:ascii="Calibri" w:hAnsi="Calibri" w:cs="Calibri"/>
          <w:szCs w:val="24"/>
        </w:rPr>
      </w:pPr>
    </w:p>
    <w:tbl>
      <w:tblPr>
        <w:tblW w:w="8080" w:type="dxa"/>
        <w:jc w:val="center"/>
        <w:tblLayout w:type="fixed"/>
        <w:tblCellMar>
          <w:left w:w="70" w:type="dxa"/>
          <w:right w:w="70" w:type="dxa"/>
        </w:tblCellMar>
        <w:tblLook w:val="04A0" w:firstRow="1" w:lastRow="0" w:firstColumn="1" w:lastColumn="0" w:noHBand="0" w:noVBand="1"/>
      </w:tblPr>
      <w:tblGrid>
        <w:gridCol w:w="6521"/>
        <w:gridCol w:w="1559"/>
      </w:tblGrid>
      <w:tr w:rsidR="008738AC" w:rsidRPr="005A7065" w:rsidTr="008738AC">
        <w:trPr>
          <w:trHeight w:val="284"/>
          <w:jc w:val="center"/>
        </w:trPr>
        <w:tc>
          <w:tcPr>
            <w:tcW w:w="6521" w:type="dxa"/>
            <w:tcBorders>
              <w:top w:val="nil"/>
              <w:left w:val="nil"/>
              <w:bottom w:val="single" w:sz="4" w:space="0" w:color="auto"/>
              <w:right w:val="single" w:sz="4" w:space="0" w:color="auto"/>
            </w:tcBorders>
            <w:shd w:val="clear" w:color="auto" w:fill="auto"/>
            <w:noWrap/>
            <w:vAlign w:val="bottom"/>
            <w:hideMark/>
          </w:tcPr>
          <w:p w:rsidR="008738AC" w:rsidRPr="005A7065" w:rsidRDefault="008738AC" w:rsidP="008738AC">
            <w:pPr>
              <w:widowControl/>
              <w:ind w:left="993" w:hanging="567"/>
              <w:rPr>
                <w:rFonts w:ascii="Calibri" w:hAnsi="Calibri" w:cs="Calibri"/>
                <w:snapToGrid/>
                <w:color w:val="000000"/>
                <w:sz w:val="24"/>
                <w:szCs w:val="24"/>
              </w:rPr>
            </w:pPr>
            <w:r w:rsidRPr="005A7065">
              <w:rPr>
                <w:rFonts w:ascii="Calibri" w:hAnsi="Calibri" w:cs="Calibri"/>
                <w:snapToGrid/>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8AC" w:rsidRPr="005A7065" w:rsidRDefault="008738AC" w:rsidP="008738AC">
            <w:pPr>
              <w:widowControl/>
              <w:ind w:left="993" w:hanging="567"/>
              <w:jc w:val="center"/>
              <w:rPr>
                <w:rFonts w:ascii="Calibri" w:hAnsi="Calibri" w:cs="Calibri"/>
                <w:b/>
                <w:bCs/>
                <w:snapToGrid/>
                <w:color w:val="000000"/>
                <w:sz w:val="24"/>
                <w:szCs w:val="24"/>
              </w:rPr>
            </w:pPr>
            <w:r>
              <w:rPr>
                <w:rFonts w:ascii="Calibri" w:hAnsi="Calibri" w:cs="Calibri"/>
                <w:b/>
                <w:bCs/>
                <w:snapToGrid/>
                <w:color w:val="000000"/>
                <w:sz w:val="24"/>
                <w:szCs w:val="24"/>
              </w:rPr>
              <w:t>Valores</w:t>
            </w:r>
          </w:p>
        </w:tc>
      </w:tr>
      <w:tr w:rsidR="008738AC" w:rsidRPr="005A7065" w:rsidTr="008738AC">
        <w:trPr>
          <w:trHeight w:val="284"/>
          <w:jc w:val="center"/>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38AC" w:rsidRPr="005A7065" w:rsidRDefault="008738AC" w:rsidP="008738AC">
            <w:pPr>
              <w:widowControl/>
              <w:ind w:left="639" w:hanging="567"/>
              <w:rPr>
                <w:rFonts w:ascii="Calibri" w:hAnsi="Calibri" w:cs="Calibri"/>
                <w:snapToGrid/>
                <w:color w:val="000000"/>
                <w:sz w:val="24"/>
                <w:szCs w:val="24"/>
              </w:rPr>
            </w:pPr>
            <w:r>
              <w:rPr>
                <w:rFonts w:ascii="Calibri" w:hAnsi="Calibri" w:cs="Calibri"/>
                <w:snapToGrid/>
                <w:color w:val="000000"/>
                <w:sz w:val="24"/>
                <w:szCs w:val="24"/>
              </w:rPr>
              <w:t>Baixa da Reserva por Tempo de Serviço Anterior - RTSA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38AC" w:rsidRPr="005A7065" w:rsidRDefault="008738AC" w:rsidP="00905F4A">
            <w:pPr>
              <w:widowControl/>
              <w:ind w:left="993" w:hanging="567"/>
              <w:jc w:val="right"/>
              <w:rPr>
                <w:rFonts w:ascii="Calibri" w:hAnsi="Calibri" w:cs="Calibri"/>
                <w:snapToGrid/>
                <w:color w:val="000000"/>
                <w:sz w:val="24"/>
                <w:szCs w:val="24"/>
              </w:rPr>
            </w:pPr>
            <w:r>
              <w:rPr>
                <w:rFonts w:ascii="Calibri" w:hAnsi="Calibri" w:cs="Calibri"/>
                <w:snapToGrid/>
                <w:color w:val="000000"/>
                <w:sz w:val="24"/>
                <w:szCs w:val="24"/>
              </w:rPr>
              <w:t>(182.00</w:t>
            </w:r>
            <w:r w:rsidR="00905F4A">
              <w:rPr>
                <w:rFonts w:ascii="Calibri" w:hAnsi="Calibri" w:cs="Calibri"/>
                <w:snapToGrid/>
                <w:color w:val="000000"/>
                <w:sz w:val="24"/>
                <w:szCs w:val="24"/>
              </w:rPr>
              <w:t>3</w:t>
            </w:r>
            <w:r>
              <w:rPr>
                <w:rFonts w:ascii="Calibri" w:hAnsi="Calibri" w:cs="Calibri"/>
                <w:snapToGrid/>
                <w:color w:val="000000"/>
                <w:sz w:val="24"/>
                <w:szCs w:val="24"/>
              </w:rPr>
              <w:t>)</w:t>
            </w:r>
          </w:p>
        </w:tc>
      </w:tr>
      <w:tr w:rsidR="008738AC" w:rsidRPr="005A7065" w:rsidTr="008738AC">
        <w:trPr>
          <w:trHeight w:val="284"/>
          <w:jc w:val="center"/>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38AC" w:rsidRPr="005A7065" w:rsidRDefault="008738AC" w:rsidP="008738AC">
            <w:pPr>
              <w:widowControl/>
              <w:ind w:left="639" w:hanging="567"/>
              <w:rPr>
                <w:rFonts w:ascii="Calibri" w:hAnsi="Calibri" w:cs="Calibri"/>
                <w:snapToGrid/>
                <w:color w:val="000000"/>
                <w:sz w:val="24"/>
                <w:szCs w:val="24"/>
              </w:rPr>
            </w:pPr>
            <w:r>
              <w:rPr>
                <w:rFonts w:ascii="Calibri" w:hAnsi="Calibri" w:cs="Calibri"/>
                <w:snapToGrid/>
                <w:color w:val="000000"/>
                <w:sz w:val="24"/>
                <w:szCs w:val="24"/>
              </w:rPr>
              <w:t>Registro do Déficit Atuarial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38AC" w:rsidRPr="005A7065" w:rsidRDefault="008738AC" w:rsidP="008738AC">
            <w:pPr>
              <w:widowControl/>
              <w:ind w:left="993" w:hanging="567"/>
              <w:jc w:val="right"/>
              <w:rPr>
                <w:rFonts w:ascii="Calibri" w:hAnsi="Calibri" w:cs="Calibri"/>
                <w:snapToGrid/>
                <w:color w:val="000000"/>
                <w:sz w:val="24"/>
                <w:szCs w:val="24"/>
              </w:rPr>
            </w:pPr>
            <w:r>
              <w:rPr>
                <w:rFonts w:ascii="Calibri" w:hAnsi="Calibri" w:cs="Calibri"/>
                <w:snapToGrid/>
                <w:color w:val="000000"/>
                <w:sz w:val="24"/>
                <w:szCs w:val="24"/>
              </w:rPr>
              <w:t>350.895</w:t>
            </w:r>
          </w:p>
        </w:tc>
      </w:tr>
      <w:tr w:rsidR="008738AC" w:rsidRPr="005A7065" w:rsidTr="008738AC">
        <w:trPr>
          <w:trHeight w:val="284"/>
          <w:jc w:val="center"/>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8AC" w:rsidRPr="005A7065" w:rsidRDefault="008738AC" w:rsidP="008738AC">
            <w:pPr>
              <w:widowControl/>
              <w:ind w:left="639" w:hanging="567"/>
              <w:rPr>
                <w:rFonts w:ascii="Calibri" w:hAnsi="Calibri" w:cs="Calibri"/>
                <w:b/>
                <w:bCs/>
                <w:snapToGrid/>
                <w:color w:val="000000"/>
                <w:sz w:val="24"/>
                <w:szCs w:val="24"/>
              </w:rPr>
            </w:pPr>
            <w:r>
              <w:rPr>
                <w:rFonts w:ascii="Calibri" w:hAnsi="Calibri" w:cs="Calibri"/>
                <w:b/>
                <w:bCs/>
                <w:snapToGrid/>
                <w:color w:val="000000"/>
                <w:sz w:val="24"/>
                <w:szCs w:val="24"/>
              </w:rPr>
              <w:t>Ajuste Líquido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38AC" w:rsidRPr="005A7065" w:rsidRDefault="00905F4A" w:rsidP="00905F4A">
            <w:pPr>
              <w:widowControl/>
              <w:ind w:left="993" w:hanging="567"/>
              <w:jc w:val="right"/>
              <w:rPr>
                <w:rFonts w:ascii="Calibri" w:hAnsi="Calibri" w:cs="Calibri"/>
                <w:b/>
                <w:bCs/>
                <w:snapToGrid/>
                <w:color w:val="000000"/>
                <w:sz w:val="24"/>
                <w:szCs w:val="24"/>
              </w:rPr>
            </w:pPr>
            <w:r>
              <w:rPr>
                <w:rFonts w:ascii="Calibri" w:hAnsi="Calibri" w:cs="Calibri"/>
                <w:b/>
                <w:bCs/>
                <w:snapToGrid/>
                <w:color w:val="000000"/>
                <w:sz w:val="24"/>
                <w:szCs w:val="24"/>
              </w:rPr>
              <w:t>168</w:t>
            </w:r>
            <w:r w:rsidR="008738AC">
              <w:rPr>
                <w:rFonts w:ascii="Calibri" w:hAnsi="Calibri" w:cs="Calibri"/>
                <w:b/>
                <w:bCs/>
                <w:snapToGrid/>
                <w:color w:val="000000"/>
                <w:sz w:val="24"/>
                <w:szCs w:val="24"/>
              </w:rPr>
              <w:t>.</w:t>
            </w:r>
            <w:r>
              <w:rPr>
                <w:rFonts w:ascii="Calibri" w:hAnsi="Calibri" w:cs="Calibri"/>
                <w:b/>
                <w:bCs/>
                <w:snapToGrid/>
                <w:color w:val="000000"/>
                <w:sz w:val="24"/>
                <w:szCs w:val="24"/>
              </w:rPr>
              <w:t>892</w:t>
            </w:r>
          </w:p>
        </w:tc>
      </w:tr>
    </w:tbl>
    <w:p w:rsidR="008738AC" w:rsidRPr="008738AC" w:rsidRDefault="008738AC" w:rsidP="008738AC">
      <w:pPr>
        <w:pStyle w:val="PargrafodaLista"/>
        <w:ind w:left="851"/>
        <w:rPr>
          <w:rFonts w:cs="Calibri"/>
          <w:sz w:val="24"/>
          <w:szCs w:val="24"/>
        </w:rPr>
      </w:pPr>
    </w:p>
    <w:p w:rsidR="00905F4A" w:rsidRDefault="00905F4A" w:rsidP="008738AC">
      <w:pPr>
        <w:pStyle w:val="PargrafodaLista"/>
        <w:ind w:left="993"/>
        <w:rPr>
          <w:rFonts w:cs="Calibri"/>
          <w:b/>
          <w:sz w:val="24"/>
          <w:szCs w:val="24"/>
        </w:rPr>
      </w:pPr>
    </w:p>
    <w:p w:rsidR="00905F4A" w:rsidRDefault="00905F4A" w:rsidP="008738AC">
      <w:pPr>
        <w:pStyle w:val="PargrafodaLista"/>
        <w:ind w:left="993"/>
        <w:rPr>
          <w:rFonts w:cs="Calibri"/>
          <w:b/>
          <w:sz w:val="24"/>
          <w:szCs w:val="24"/>
        </w:rPr>
      </w:pPr>
    </w:p>
    <w:p w:rsidR="00905F4A" w:rsidRDefault="00905F4A" w:rsidP="008738AC">
      <w:pPr>
        <w:pStyle w:val="PargrafodaLista"/>
        <w:ind w:left="993"/>
        <w:rPr>
          <w:rFonts w:cs="Calibri"/>
          <w:b/>
          <w:sz w:val="24"/>
          <w:szCs w:val="24"/>
        </w:rPr>
      </w:pPr>
    </w:p>
    <w:p w:rsidR="008738AC" w:rsidRPr="008738AC" w:rsidRDefault="008738AC" w:rsidP="008738AC">
      <w:pPr>
        <w:pStyle w:val="PargrafodaLista"/>
        <w:numPr>
          <w:ilvl w:val="1"/>
          <w:numId w:val="24"/>
        </w:numPr>
        <w:spacing w:after="0" w:line="240" w:lineRule="auto"/>
        <w:ind w:left="993" w:hanging="567"/>
        <w:rPr>
          <w:rFonts w:cs="Calibri"/>
          <w:b/>
          <w:sz w:val="24"/>
          <w:szCs w:val="24"/>
        </w:rPr>
      </w:pPr>
      <w:r>
        <w:rPr>
          <w:rFonts w:cs="Calibri"/>
          <w:b/>
          <w:sz w:val="24"/>
          <w:szCs w:val="24"/>
        </w:rPr>
        <w:lastRenderedPageBreak/>
        <w:t>Provisão para Contingências</w:t>
      </w:r>
    </w:p>
    <w:p w:rsidR="008738AC" w:rsidRPr="00085185" w:rsidRDefault="008738AC" w:rsidP="008738AC">
      <w:pPr>
        <w:pStyle w:val="PargrafodaLista"/>
        <w:spacing w:after="0" w:line="240" w:lineRule="auto"/>
        <w:ind w:left="993"/>
        <w:rPr>
          <w:rFonts w:cs="Calibri"/>
          <w:b/>
          <w:sz w:val="24"/>
          <w:szCs w:val="24"/>
        </w:rPr>
      </w:pPr>
    </w:p>
    <w:p w:rsidR="008738AC" w:rsidRDefault="008738AC" w:rsidP="008738AC">
      <w:pPr>
        <w:pStyle w:val="PargrafodaLista"/>
        <w:spacing w:after="0" w:line="240" w:lineRule="auto"/>
        <w:ind w:left="851"/>
        <w:jc w:val="both"/>
        <w:rPr>
          <w:rFonts w:cs="Calibri"/>
          <w:sz w:val="24"/>
          <w:szCs w:val="24"/>
        </w:rPr>
      </w:pPr>
      <w:r>
        <w:rPr>
          <w:rFonts w:cs="Calibri"/>
          <w:sz w:val="24"/>
          <w:szCs w:val="24"/>
        </w:rPr>
        <w:t>Segundo o perito, o passivo estava subavaliado, visto que as provisões dos processos cíveis e tributários foram apresentadas sem a devida correção monetária. O laudo concluiu como perda provável, no exercício de 2018, o montante de R$ 1.727.796 mil, o qual inclui as ações trabalhistas.</w:t>
      </w:r>
    </w:p>
    <w:p w:rsidR="00905F4A" w:rsidRPr="00CE3B09" w:rsidRDefault="00905F4A" w:rsidP="008738AC">
      <w:pPr>
        <w:pStyle w:val="PargrafodaLista"/>
        <w:spacing w:after="0" w:line="240" w:lineRule="auto"/>
        <w:ind w:left="851"/>
        <w:jc w:val="both"/>
        <w:rPr>
          <w:rFonts w:cs="Calibri"/>
          <w:sz w:val="24"/>
          <w:szCs w:val="24"/>
        </w:rPr>
      </w:pPr>
    </w:p>
    <w:p w:rsidR="006715E0" w:rsidRPr="00921985" w:rsidRDefault="006715E0" w:rsidP="00C16DDB">
      <w:pPr>
        <w:tabs>
          <w:tab w:val="left" w:pos="2552"/>
        </w:tabs>
        <w:jc w:val="both"/>
        <w:rPr>
          <w:rFonts w:ascii="Calibri" w:hAnsi="Calibri" w:cs="Calibri"/>
          <w:sz w:val="24"/>
          <w:szCs w:val="24"/>
        </w:rPr>
      </w:pPr>
    </w:p>
    <w:p w:rsidR="00C16DDB" w:rsidRPr="00312424" w:rsidRDefault="008738AC" w:rsidP="00C16DDB">
      <w:pPr>
        <w:tabs>
          <w:tab w:val="left" w:pos="2552"/>
        </w:tabs>
        <w:jc w:val="both"/>
        <w:rPr>
          <w:rFonts w:ascii="Calibri" w:hAnsi="Calibri" w:cs="Calibri"/>
          <w:b/>
          <w:sz w:val="24"/>
          <w:szCs w:val="24"/>
          <w:u w:val="single"/>
        </w:rPr>
      </w:pPr>
      <w:r>
        <w:rPr>
          <w:rFonts w:ascii="Calibri" w:hAnsi="Calibri" w:cs="Calibri"/>
          <w:b/>
          <w:sz w:val="24"/>
          <w:szCs w:val="24"/>
        </w:rPr>
        <w:t>4</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PRINCIPAIS P</w:t>
      </w:r>
      <w:r w:rsidR="000E32C9">
        <w:rPr>
          <w:rFonts w:ascii="Calibri" w:hAnsi="Calibri" w:cs="Calibri"/>
          <w:b/>
          <w:sz w:val="24"/>
          <w:szCs w:val="24"/>
          <w:u w:val="single"/>
        </w:rPr>
        <w:t>OLÍTICAS</w:t>
      </w:r>
      <w:r w:rsidR="00C16DDB" w:rsidRPr="00312424">
        <w:rPr>
          <w:rFonts w:ascii="Calibri" w:hAnsi="Calibri" w:cs="Calibri"/>
          <w:b/>
          <w:sz w:val="24"/>
          <w:szCs w:val="24"/>
          <w:u w:val="single"/>
        </w:rPr>
        <w:t xml:space="preserve"> CONTÁBEIS</w:t>
      </w:r>
    </w:p>
    <w:p w:rsidR="00C16DDB" w:rsidRPr="00312424" w:rsidRDefault="00C16DDB" w:rsidP="00C16DDB">
      <w:pPr>
        <w:tabs>
          <w:tab w:val="left" w:pos="2552"/>
        </w:tabs>
        <w:jc w:val="both"/>
        <w:rPr>
          <w:rFonts w:ascii="Calibri" w:hAnsi="Calibri" w:cs="Calibri"/>
          <w:b/>
          <w:sz w:val="24"/>
          <w:szCs w:val="24"/>
        </w:rPr>
      </w:pPr>
    </w:p>
    <w:p w:rsidR="00C16DDB" w:rsidRPr="00312424" w:rsidRDefault="000E32C9" w:rsidP="00905F4A">
      <w:pPr>
        <w:tabs>
          <w:tab w:val="left" w:pos="2552"/>
        </w:tabs>
        <w:jc w:val="both"/>
        <w:rPr>
          <w:rFonts w:ascii="Calibri" w:hAnsi="Calibri" w:cs="Calibri"/>
          <w:sz w:val="24"/>
          <w:szCs w:val="24"/>
        </w:rPr>
      </w:pPr>
      <w:r>
        <w:rPr>
          <w:rFonts w:ascii="Calibri" w:hAnsi="Calibri" w:cs="Calibri"/>
          <w:sz w:val="24"/>
          <w:szCs w:val="24"/>
        </w:rPr>
        <w:t>As principais políticas contábeis aplicadas na preparação destas informações contábeis estão definidas abaixo.</w:t>
      </w:r>
    </w:p>
    <w:p w:rsidR="00C16DDB" w:rsidRPr="00312424" w:rsidRDefault="00C16DDB" w:rsidP="00905F4A">
      <w:pPr>
        <w:tabs>
          <w:tab w:val="left" w:pos="2552"/>
        </w:tabs>
        <w:jc w:val="both"/>
        <w:rPr>
          <w:rFonts w:ascii="Calibri" w:hAnsi="Calibri" w:cs="Calibri"/>
          <w:b/>
          <w:sz w:val="24"/>
          <w:szCs w:val="24"/>
        </w:rPr>
      </w:pPr>
    </w:p>
    <w:p w:rsidR="008738AC" w:rsidRPr="008738AC" w:rsidRDefault="008738AC" w:rsidP="00905F4A">
      <w:pPr>
        <w:pStyle w:val="PargrafodaLista"/>
        <w:numPr>
          <w:ilvl w:val="0"/>
          <w:numId w:val="5"/>
        </w:numPr>
        <w:autoSpaceDE w:val="0"/>
        <w:autoSpaceDN w:val="0"/>
        <w:spacing w:after="0" w:line="240" w:lineRule="auto"/>
        <w:contextualSpacing w:val="0"/>
        <w:jc w:val="both"/>
        <w:rPr>
          <w:rFonts w:eastAsia="Times New Roman" w:cs="Calibri"/>
          <w:b/>
          <w:snapToGrid w:val="0"/>
          <w:vanish/>
          <w:sz w:val="24"/>
          <w:szCs w:val="24"/>
          <w:lang w:val="x-none" w:eastAsia="x-none"/>
        </w:rPr>
      </w:pPr>
    </w:p>
    <w:p w:rsidR="008738AC" w:rsidRPr="008738AC" w:rsidRDefault="008738AC" w:rsidP="00905F4A">
      <w:pPr>
        <w:pStyle w:val="PargrafodaLista"/>
        <w:numPr>
          <w:ilvl w:val="0"/>
          <w:numId w:val="5"/>
        </w:numPr>
        <w:autoSpaceDE w:val="0"/>
        <w:autoSpaceDN w:val="0"/>
        <w:spacing w:after="0" w:line="240" w:lineRule="auto"/>
        <w:contextualSpacing w:val="0"/>
        <w:jc w:val="both"/>
        <w:rPr>
          <w:rFonts w:eastAsia="Times New Roman" w:cs="Calibri"/>
          <w:b/>
          <w:snapToGrid w:val="0"/>
          <w:vanish/>
          <w:sz w:val="24"/>
          <w:szCs w:val="24"/>
          <w:lang w:val="x-none" w:eastAsia="x-none"/>
        </w:rPr>
      </w:pPr>
    </w:p>
    <w:p w:rsidR="00C16DDB" w:rsidRPr="00312424" w:rsidRDefault="00C16DDB" w:rsidP="00905F4A">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rPr>
        <w:t xml:space="preserve">Apuração do </w:t>
      </w:r>
      <w:r w:rsidR="00947D01">
        <w:rPr>
          <w:rFonts w:ascii="Calibri" w:hAnsi="Calibri" w:cs="Calibri"/>
          <w:b/>
          <w:szCs w:val="24"/>
          <w:lang w:val="pt-BR"/>
        </w:rPr>
        <w:t>Resultado</w:t>
      </w:r>
    </w:p>
    <w:p w:rsidR="00C16DDB" w:rsidRPr="00312424" w:rsidRDefault="00C16DDB" w:rsidP="00905F4A">
      <w:pPr>
        <w:pStyle w:val="Recuodecorpodetexto"/>
        <w:widowControl/>
        <w:autoSpaceDE w:val="0"/>
        <w:autoSpaceDN w:val="0"/>
        <w:ind w:left="851"/>
        <w:rPr>
          <w:rFonts w:ascii="Calibri" w:hAnsi="Calibri" w:cs="Calibri"/>
          <w:b/>
          <w:szCs w:val="24"/>
          <w:lang w:val="pt-BR"/>
        </w:rPr>
      </w:pPr>
    </w:p>
    <w:p w:rsidR="00C16DDB" w:rsidRPr="00312424" w:rsidRDefault="00C16DDB" w:rsidP="00905F4A">
      <w:pPr>
        <w:pStyle w:val="Recuodecorpodetexto"/>
        <w:widowControl/>
        <w:autoSpaceDE w:val="0"/>
        <w:autoSpaceDN w:val="0"/>
        <w:ind w:left="851"/>
        <w:rPr>
          <w:rFonts w:ascii="Calibri" w:hAnsi="Calibri" w:cs="Calibri"/>
          <w:b/>
          <w:szCs w:val="24"/>
          <w:lang w:val="pt-BR"/>
        </w:rPr>
      </w:pPr>
      <w:r w:rsidRPr="00312424">
        <w:rPr>
          <w:rFonts w:ascii="Calibri" w:hAnsi="Calibri" w:cs="Calibri"/>
          <w:szCs w:val="24"/>
        </w:rPr>
        <w:t>O resultado é apurado em conformidade com o regime contábil de competência entre exercícios</w:t>
      </w:r>
      <w:r w:rsidRPr="00312424">
        <w:rPr>
          <w:rFonts w:ascii="Calibri" w:hAnsi="Calibri" w:cs="Calibri"/>
          <w:szCs w:val="24"/>
          <w:lang w:val="pt-BR"/>
        </w:rPr>
        <w:t>, sendo que a</w:t>
      </w:r>
      <w:r w:rsidRPr="00312424">
        <w:rPr>
          <w:rFonts w:ascii="Calibri" w:hAnsi="Calibri" w:cs="Calibri"/>
          <w:szCs w:val="24"/>
        </w:rPr>
        <w:t xml:space="preserve"> receita compreende o valor justo da contraprestação recebida ou a receber pela </w:t>
      </w:r>
      <w:r w:rsidRPr="00312424">
        <w:rPr>
          <w:rFonts w:ascii="Calibri" w:hAnsi="Calibri" w:cs="Calibri"/>
          <w:szCs w:val="24"/>
          <w:lang w:val="pt-BR"/>
        </w:rPr>
        <w:t>prestação dos serviços</w:t>
      </w:r>
      <w:r w:rsidR="000E32C9">
        <w:rPr>
          <w:rFonts w:ascii="Calibri" w:hAnsi="Calibri" w:cs="Calibri"/>
          <w:szCs w:val="24"/>
          <w:lang w:val="pt-BR"/>
        </w:rPr>
        <w:t xml:space="preserve"> (tarifas portuárias)</w:t>
      </w:r>
      <w:r w:rsidRPr="00312424">
        <w:rPr>
          <w:rFonts w:ascii="Calibri" w:hAnsi="Calibri" w:cs="Calibri"/>
          <w:szCs w:val="24"/>
          <w:lang w:val="pt-BR"/>
        </w:rPr>
        <w:t xml:space="preserve">  e arrendamento de áreas portuárias, </w:t>
      </w:r>
      <w:r w:rsidRPr="00312424">
        <w:rPr>
          <w:rFonts w:ascii="Calibri" w:hAnsi="Calibri" w:cs="Calibri"/>
          <w:szCs w:val="24"/>
        </w:rPr>
        <w:t>apresentada líquida dos impostos.</w:t>
      </w:r>
      <w:r w:rsidRPr="00312424">
        <w:rPr>
          <w:rFonts w:ascii="Calibri" w:hAnsi="Calibri" w:cs="Calibri"/>
          <w:szCs w:val="24"/>
          <w:lang w:val="pt-BR"/>
        </w:rPr>
        <w:t xml:space="preserve"> </w:t>
      </w:r>
      <w:r w:rsidRPr="00312424">
        <w:rPr>
          <w:rFonts w:ascii="Calibri" w:hAnsi="Calibri" w:cs="Calibri"/>
          <w:szCs w:val="24"/>
        </w:rPr>
        <w:t>A C</w:t>
      </w:r>
      <w:r w:rsidRPr="00312424">
        <w:rPr>
          <w:rFonts w:ascii="Calibri" w:hAnsi="Calibri" w:cs="Calibri"/>
          <w:szCs w:val="24"/>
          <w:lang w:val="pt-BR"/>
        </w:rPr>
        <w:t xml:space="preserve">DRJ </w:t>
      </w:r>
      <w:r w:rsidRPr="00312424">
        <w:rPr>
          <w:rFonts w:ascii="Calibri" w:hAnsi="Calibri" w:cs="Calibri"/>
          <w:szCs w:val="24"/>
        </w:rPr>
        <w:t>reconhece a receita quando o valor pode ser mensurado com segurança</w:t>
      </w:r>
      <w:r w:rsidRPr="00312424">
        <w:rPr>
          <w:rFonts w:ascii="Calibri" w:hAnsi="Calibri" w:cs="Calibri"/>
          <w:szCs w:val="24"/>
          <w:lang w:val="pt-BR"/>
        </w:rPr>
        <w:t xml:space="preserve"> e quando seja</w:t>
      </w:r>
      <w:r w:rsidRPr="00312424">
        <w:rPr>
          <w:rFonts w:ascii="Calibri" w:hAnsi="Calibri" w:cs="Calibri"/>
          <w:szCs w:val="24"/>
        </w:rPr>
        <w:t xml:space="preserve"> provável que benefícios econômicos</w:t>
      </w:r>
      <w:r w:rsidRPr="00312424">
        <w:rPr>
          <w:rFonts w:ascii="Calibri" w:hAnsi="Calibri" w:cs="Calibri"/>
          <w:szCs w:val="24"/>
          <w:lang w:val="pt-BR"/>
        </w:rPr>
        <w:t xml:space="preserve"> </w:t>
      </w:r>
      <w:r w:rsidRPr="00312424">
        <w:rPr>
          <w:rFonts w:ascii="Calibri" w:hAnsi="Calibri" w:cs="Calibri"/>
          <w:szCs w:val="24"/>
        </w:rPr>
        <w:t>futuros fluam para a entidade</w:t>
      </w:r>
      <w:r w:rsidRPr="00312424">
        <w:rPr>
          <w:rFonts w:ascii="Calibri" w:hAnsi="Calibri" w:cs="Calibri"/>
          <w:szCs w:val="24"/>
          <w:lang w:val="pt-BR"/>
        </w:rPr>
        <w:t xml:space="preserve"> e</w:t>
      </w:r>
      <w:r w:rsidR="00CF6655">
        <w:rPr>
          <w:rFonts w:ascii="Calibri" w:hAnsi="Calibri" w:cs="Calibri"/>
          <w:szCs w:val="24"/>
          <w:lang w:val="pt-BR"/>
        </w:rPr>
        <w:t>,</w:t>
      </w:r>
      <w:r w:rsidRPr="00312424">
        <w:rPr>
          <w:rFonts w:ascii="Calibri" w:hAnsi="Calibri" w:cs="Calibri"/>
          <w:szCs w:val="24"/>
          <w:lang w:val="pt-BR"/>
        </w:rPr>
        <w:t xml:space="preserve"> ainda,</w:t>
      </w:r>
      <w:r w:rsidRPr="00312424">
        <w:rPr>
          <w:rFonts w:ascii="Calibri" w:hAnsi="Calibri" w:cs="Calibri"/>
          <w:szCs w:val="24"/>
        </w:rPr>
        <w:t xml:space="preserve"> quando critérios específicos tiverem sido atendidos para cada uma das atividades da</w:t>
      </w:r>
      <w:r w:rsidRPr="00312424">
        <w:rPr>
          <w:rFonts w:ascii="Calibri" w:hAnsi="Calibri" w:cs="Calibri"/>
          <w:szCs w:val="24"/>
          <w:lang w:val="pt-BR"/>
        </w:rPr>
        <w:t xml:space="preserve"> </w:t>
      </w:r>
      <w:r w:rsidRPr="00312424">
        <w:rPr>
          <w:rFonts w:ascii="Calibri" w:hAnsi="Calibri" w:cs="Calibri"/>
          <w:szCs w:val="24"/>
        </w:rPr>
        <w:t>Companhia.</w:t>
      </w:r>
    </w:p>
    <w:p w:rsidR="00C16DDB" w:rsidRPr="00312424" w:rsidRDefault="00C16DDB" w:rsidP="00905F4A">
      <w:pPr>
        <w:pStyle w:val="Recuodecorpodetexto"/>
        <w:ind w:left="1361"/>
        <w:rPr>
          <w:rFonts w:ascii="Calibri" w:hAnsi="Calibri" w:cs="Calibri"/>
          <w:szCs w:val="24"/>
        </w:rPr>
      </w:pPr>
    </w:p>
    <w:p w:rsidR="00C16DDB" w:rsidRPr="00312424" w:rsidRDefault="00947D01" w:rsidP="00905F4A">
      <w:pPr>
        <w:pStyle w:val="Recuodecorpodetexto"/>
        <w:widowControl/>
        <w:numPr>
          <w:ilvl w:val="1"/>
          <w:numId w:val="5"/>
        </w:numPr>
        <w:autoSpaceDE w:val="0"/>
        <w:autoSpaceDN w:val="0"/>
        <w:ind w:left="993" w:hanging="567"/>
        <w:rPr>
          <w:rFonts w:ascii="Calibri" w:hAnsi="Calibri" w:cs="Calibri"/>
          <w:b/>
          <w:i/>
          <w:szCs w:val="24"/>
        </w:rPr>
      </w:pPr>
      <w:r>
        <w:rPr>
          <w:rFonts w:ascii="Calibri" w:hAnsi="Calibri" w:cs="Calibri"/>
          <w:b/>
          <w:szCs w:val="24"/>
          <w:lang w:val="pt-BR"/>
        </w:rPr>
        <w:t>Caixa e Equivalentes de Caixa</w:t>
      </w:r>
    </w:p>
    <w:p w:rsidR="00C16DDB" w:rsidRPr="00312424" w:rsidRDefault="00C16DDB" w:rsidP="00905F4A">
      <w:pPr>
        <w:pStyle w:val="Recuodecorpodetexto"/>
        <w:ind w:left="1389"/>
        <w:rPr>
          <w:rFonts w:ascii="Calibri" w:hAnsi="Calibri" w:cs="Calibri"/>
          <w:szCs w:val="24"/>
        </w:rPr>
      </w:pPr>
    </w:p>
    <w:p w:rsidR="00C16DDB" w:rsidRPr="00312424" w:rsidRDefault="00C16DDB" w:rsidP="00905F4A">
      <w:pPr>
        <w:pStyle w:val="Recuodecorpodetexto"/>
        <w:ind w:left="851"/>
        <w:rPr>
          <w:rFonts w:ascii="Calibri" w:hAnsi="Calibri" w:cs="Calibri"/>
          <w:szCs w:val="24"/>
        </w:rPr>
      </w:pPr>
      <w:r w:rsidRPr="00312424">
        <w:rPr>
          <w:rFonts w:ascii="Calibri" w:hAnsi="Calibri" w:cs="Calibri"/>
          <w:szCs w:val="24"/>
          <w:lang w:val="pt-BR"/>
        </w:rPr>
        <w:t xml:space="preserve">Caixa e </w:t>
      </w:r>
      <w:r w:rsidR="00947D01">
        <w:rPr>
          <w:rFonts w:ascii="Calibri" w:hAnsi="Calibri" w:cs="Calibri"/>
          <w:szCs w:val="24"/>
          <w:lang w:val="pt-BR"/>
        </w:rPr>
        <w:t>e</w:t>
      </w:r>
      <w:r w:rsidRPr="00312424">
        <w:rPr>
          <w:rFonts w:ascii="Calibri" w:hAnsi="Calibri" w:cs="Calibri"/>
          <w:szCs w:val="24"/>
          <w:lang w:val="pt-BR"/>
        </w:rPr>
        <w:t>quivalentes incluem dinheiro em caixa, saldos bancários e aplicações financeiras de curto prazo</w:t>
      </w:r>
      <w:r w:rsidR="00CF6655">
        <w:rPr>
          <w:rFonts w:ascii="Calibri" w:hAnsi="Calibri" w:cs="Calibri"/>
          <w:szCs w:val="24"/>
          <w:lang w:val="pt-BR"/>
        </w:rPr>
        <w:t>,</w:t>
      </w:r>
      <w:r w:rsidRPr="00312424">
        <w:rPr>
          <w:rFonts w:ascii="Calibri" w:hAnsi="Calibri" w:cs="Calibri"/>
          <w:szCs w:val="24"/>
          <w:lang w:val="pt-BR"/>
        </w:rPr>
        <w:t xml:space="preserve"> de risco insignificante de mudança de valor e de alta liquidez</w:t>
      </w:r>
      <w:r w:rsidRPr="00312424">
        <w:rPr>
          <w:rFonts w:ascii="Calibri" w:hAnsi="Calibri" w:cs="Calibri"/>
          <w:szCs w:val="24"/>
        </w:rPr>
        <w:t>.</w:t>
      </w:r>
    </w:p>
    <w:p w:rsidR="00C16DDB" w:rsidRPr="00312424" w:rsidRDefault="00C16DDB" w:rsidP="00905F4A">
      <w:pPr>
        <w:pStyle w:val="Recuodecorpodetexto"/>
        <w:ind w:left="1361"/>
        <w:rPr>
          <w:rFonts w:ascii="Calibri" w:hAnsi="Calibri" w:cs="Calibri"/>
          <w:szCs w:val="24"/>
        </w:rPr>
      </w:pPr>
    </w:p>
    <w:p w:rsidR="00C16DDB" w:rsidRPr="00312424" w:rsidRDefault="00C16DDB" w:rsidP="00905F4A">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rPr>
        <w:t>C</w:t>
      </w:r>
      <w:r w:rsidRPr="00312424">
        <w:rPr>
          <w:rFonts w:ascii="Calibri" w:hAnsi="Calibri" w:cs="Calibri"/>
          <w:b/>
          <w:szCs w:val="24"/>
          <w:lang w:val="pt-BR"/>
        </w:rPr>
        <w:t>aixa Restrito</w:t>
      </w:r>
    </w:p>
    <w:p w:rsidR="00C16DDB" w:rsidRPr="00312424" w:rsidRDefault="00C16DDB" w:rsidP="00905F4A">
      <w:pPr>
        <w:pStyle w:val="Recuodecorpodetexto"/>
        <w:widowControl/>
        <w:autoSpaceDE w:val="0"/>
        <w:autoSpaceDN w:val="0"/>
        <w:ind w:left="1418"/>
        <w:rPr>
          <w:rFonts w:ascii="Calibri" w:hAnsi="Calibri" w:cs="Calibri"/>
          <w:szCs w:val="24"/>
        </w:rPr>
      </w:pPr>
    </w:p>
    <w:p w:rsidR="00C16DDB" w:rsidRPr="00312424" w:rsidRDefault="00947D01" w:rsidP="00905F4A">
      <w:pPr>
        <w:pStyle w:val="Recuodecorpodetexto"/>
        <w:widowControl/>
        <w:autoSpaceDE w:val="0"/>
        <w:autoSpaceDN w:val="0"/>
        <w:ind w:left="851"/>
        <w:rPr>
          <w:rFonts w:ascii="Calibri" w:hAnsi="Calibri" w:cs="Calibri"/>
          <w:szCs w:val="24"/>
        </w:rPr>
      </w:pPr>
      <w:r>
        <w:rPr>
          <w:rFonts w:ascii="Calibri" w:hAnsi="Calibri" w:cs="Calibri"/>
          <w:szCs w:val="24"/>
          <w:lang w:val="pt-BR"/>
        </w:rPr>
        <w:t>R</w:t>
      </w:r>
      <w:r w:rsidR="00C16DDB" w:rsidRPr="00312424">
        <w:rPr>
          <w:rFonts w:ascii="Calibri" w:hAnsi="Calibri" w:cs="Calibri"/>
          <w:szCs w:val="24"/>
          <w:lang w:val="pt-BR"/>
        </w:rPr>
        <w:t>epresenta os depósitos em Conta Única do Tesouro Nacional efetuados pela União, disponíveis para compromissos específicos em Investimentos</w:t>
      </w:r>
      <w:r w:rsidR="000E32C9">
        <w:rPr>
          <w:rFonts w:ascii="Calibri" w:hAnsi="Calibri" w:cs="Calibri"/>
          <w:szCs w:val="24"/>
          <w:lang w:val="pt-BR"/>
        </w:rPr>
        <w:t xml:space="preserve"> e outros</w:t>
      </w:r>
      <w:r w:rsidR="00C16DDB" w:rsidRPr="00312424">
        <w:rPr>
          <w:rFonts w:ascii="Calibri" w:hAnsi="Calibri" w:cs="Calibri"/>
          <w:szCs w:val="24"/>
          <w:lang w:val="pt-BR"/>
        </w:rPr>
        <w:t>. Os valores são remetidos por meio do Sistema Integrado de Administração Financeira – SIAFI.</w:t>
      </w:r>
    </w:p>
    <w:p w:rsidR="00C16DDB" w:rsidRPr="00312424" w:rsidRDefault="00C16DDB" w:rsidP="00905F4A">
      <w:pPr>
        <w:pStyle w:val="Recuodecorpodetexto"/>
        <w:widowControl/>
        <w:autoSpaceDE w:val="0"/>
        <w:autoSpaceDN w:val="0"/>
        <w:ind w:left="360" w:firstLine="1058"/>
        <w:rPr>
          <w:rFonts w:ascii="Calibri" w:hAnsi="Calibri" w:cs="Calibri"/>
          <w:szCs w:val="24"/>
          <w:lang w:val="pt-BR"/>
        </w:rPr>
      </w:pPr>
    </w:p>
    <w:p w:rsidR="00C16DDB" w:rsidRPr="00312424" w:rsidRDefault="00C16DDB" w:rsidP="00905F4A">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Instrumentos financeiros</w:t>
      </w:r>
    </w:p>
    <w:p w:rsidR="00C16DDB" w:rsidRPr="00312424" w:rsidRDefault="00C16DDB" w:rsidP="00905F4A">
      <w:pPr>
        <w:pStyle w:val="Recuodecorpodetexto"/>
        <w:widowControl/>
        <w:autoSpaceDE w:val="0"/>
        <w:autoSpaceDN w:val="0"/>
        <w:rPr>
          <w:rFonts w:ascii="Calibri" w:hAnsi="Calibri" w:cs="Calibri"/>
          <w:szCs w:val="24"/>
          <w:lang w:val="pt-BR"/>
        </w:rPr>
      </w:pPr>
    </w:p>
    <w:p w:rsidR="00C16DDB" w:rsidRPr="00312424" w:rsidRDefault="00C16DDB" w:rsidP="00905F4A">
      <w:pPr>
        <w:pStyle w:val="Recuodecorpodetexto"/>
        <w:widowControl/>
        <w:numPr>
          <w:ilvl w:val="0"/>
          <w:numId w:val="7"/>
        </w:numPr>
        <w:autoSpaceDE w:val="0"/>
        <w:autoSpaceDN w:val="0"/>
        <w:rPr>
          <w:rFonts w:ascii="Calibri" w:hAnsi="Calibri" w:cs="Calibri"/>
          <w:b/>
          <w:szCs w:val="24"/>
        </w:rPr>
      </w:pPr>
      <w:r w:rsidRPr="00312424">
        <w:rPr>
          <w:rFonts w:ascii="Calibri" w:hAnsi="Calibri" w:cs="Calibri"/>
          <w:b/>
          <w:szCs w:val="24"/>
          <w:lang w:val="pt-BR"/>
        </w:rPr>
        <w:t xml:space="preserve">Ativos </w:t>
      </w:r>
      <w:r w:rsidR="007B713C">
        <w:rPr>
          <w:rFonts w:ascii="Calibri" w:hAnsi="Calibri" w:cs="Calibri"/>
          <w:b/>
          <w:szCs w:val="24"/>
          <w:lang w:val="pt-BR"/>
        </w:rPr>
        <w:t>F</w:t>
      </w:r>
      <w:r w:rsidRPr="00312424">
        <w:rPr>
          <w:rFonts w:ascii="Calibri" w:hAnsi="Calibri" w:cs="Calibri"/>
          <w:b/>
          <w:szCs w:val="24"/>
          <w:lang w:val="pt-BR"/>
        </w:rPr>
        <w:t>inanceiros</w:t>
      </w:r>
    </w:p>
    <w:p w:rsidR="00AF1EA7" w:rsidRDefault="00AF1EA7" w:rsidP="00905F4A">
      <w:pPr>
        <w:pStyle w:val="Recuodecorpodetexto"/>
        <w:widowControl/>
        <w:autoSpaceDE w:val="0"/>
        <w:autoSpaceDN w:val="0"/>
        <w:rPr>
          <w:rFonts w:ascii="Calibri" w:hAnsi="Calibri" w:cs="Calibri"/>
          <w:szCs w:val="24"/>
          <w:lang w:val="pt-BR"/>
        </w:rPr>
      </w:pPr>
    </w:p>
    <w:p w:rsidR="00AF1EA7" w:rsidRPr="007B713C" w:rsidRDefault="007B713C" w:rsidP="00905F4A">
      <w:pPr>
        <w:pStyle w:val="Recuodecorpodetexto"/>
        <w:widowControl/>
        <w:autoSpaceDE w:val="0"/>
        <w:autoSpaceDN w:val="0"/>
        <w:ind w:left="1701"/>
        <w:rPr>
          <w:rFonts w:ascii="Calibri" w:hAnsi="Calibri" w:cs="Calibri"/>
          <w:b/>
          <w:szCs w:val="24"/>
          <w:lang w:val="pt-BR"/>
        </w:rPr>
      </w:pPr>
      <w:r w:rsidRPr="007B713C">
        <w:rPr>
          <w:rFonts w:ascii="Calibri" w:hAnsi="Calibri" w:cs="Calibri"/>
          <w:b/>
          <w:szCs w:val="24"/>
          <w:lang w:val="pt-BR"/>
        </w:rPr>
        <w:t>a)</w:t>
      </w:r>
      <w:r w:rsidR="00AF1EA7" w:rsidRPr="007B713C">
        <w:rPr>
          <w:rFonts w:ascii="Calibri" w:hAnsi="Calibri" w:cs="Calibri"/>
          <w:b/>
          <w:szCs w:val="24"/>
          <w:lang w:val="pt-BR"/>
        </w:rPr>
        <w:t xml:space="preserve"> Reconhecimento </w:t>
      </w:r>
      <w:r w:rsidR="00153B3C">
        <w:rPr>
          <w:rFonts w:ascii="Calibri" w:hAnsi="Calibri" w:cs="Calibri"/>
          <w:b/>
          <w:szCs w:val="24"/>
          <w:lang w:val="pt-BR"/>
        </w:rPr>
        <w:t>I</w:t>
      </w:r>
      <w:r w:rsidR="00AF1EA7" w:rsidRPr="007B713C">
        <w:rPr>
          <w:rFonts w:ascii="Calibri" w:hAnsi="Calibri" w:cs="Calibri"/>
          <w:b/>
          <w:szCs w:val="24"/>
          <w:lang w:val="pt-BR"/>
        </w:rPr>
        <w:t xml:space="preserve">nicial e </w:t>
      </w:r>
      <w:r w:rsidR="00153B3C">
        <w:rPr>
          <w:rFonts w:ascii="Calibri" w:hAnsi="Calibri" w:cs="Calibri"/>
          <w:b/>
          <w:szCs w:val="24"/>
          <w:lang w:val="pt-BR"/>
        </w:rPr>
        <w:t>M</w:t>
      </w:r>
      <w:r w:rsidR="00AF1EA7" w:rsidRPr="007B713C">
        <w:rPr>
          <w:rFonts w:ascii="Calibri" w:hAnsi="Calibri" w:cs="Calibri"/>
          <w:b/>
          <w:szCs w:val="24"/>
          <w:lang w:val="pt-BR"/>
        </w:rPr>
        <w:t>ensuração</w:t>
      </w:r>
    </w:p>
    <w:p w:rsidR="00AF1EA7" w:rsidRDefault="00C16DDB" w:rsidP="00905F4A">
      <w:pPr>
        <w:pStyle w:val="Recuodecorpodetexto"/>
        <w:widowControl/>
        <w:autoSpaceDE w:val="0"/>
        <w:autoSpaceDN w:val="0"/>
        <w:ind w:left="1701"/>
        <w:rPr>
          <w:rFonts w:ascii="Calibri" w:hAnsi="Calibri" w:cs="Calibri"/>
          <w:szCs w:val="24"/>
          <w:lang w:val="pt-BR"/>
        </w:rPr>
      </w:pPr>
      <w:r w:rsidRPr="00312424">
        <w:rPr>
          <w:rFonts w:ascii="Calibri" w:hAnsi="Calibri" w:cs="Calibri"/>
          <w:szCs w:val="24"/>
          <w:lang w:val="pt-BR"/>
        </w:rPr>
        <w:t xml:space="preserve">Os </w:t>
      </w:r>
      <w:r w:rsidR="00947D01">
        <w:rPr>
          <w:rFonts w:ascii="Calibri" w:hAnsi="Calibri" w:cs="Calibri"/>
          <w:szCs w:val="24"/>
          <w:lang w:val="pt-BR"/>
        </w:rPr>
        <w:t>a</w:t>
      </w:r>
      <w:r w:rsidRPr="00312424">
        <w:rPr>
          <w:rFonts w:ascii="Calibri" w:hAnsi="Calibri" w:cs="Calibri"/>
          <w:szCs w:val="24"/>
          <w:lang w:val="pt-BR"/>
        </w:rPr>
        <w:t xml:space="preserve">tivos </w:t>
      </w:r>
      <w:r w:rsidR="00947D01">
        <w:rPr>
          <w:rFonts w:ascii="Calibri" w:hAnsi="Calibri" w:cs="Calibri"/>
          <w:szCs w:val="24"/>
          <w:lang w:val="pt-BR"/>
        </w:rPr>
        <w:t>f</w:t>
      </w:r>
      <w:r w:rsidRPr="00312424">
        <w:rPr>
          <w:rFonts w:ascii="Calibri" w:hAnsi="Calibri" w:cs="Calibri"/>
          <w:szCs w:val="24"/>
          <w:lang w:val="pt-BR"/>
        </w:rPr>
        <w:t xml:space="preserve">inanceiros </w:t>
      </w:r>
      <w:r w:rsidR="00AF1EA7">
        <w:rPr>
          <w:rFonts w:ascii="Calibri" w:hAnsi="Calibri" w:cs="Calibri"/>
          <w:szCs w:val="24"/>
          <w:lang w:val="pt-BR"/>
        </w:rPr>
        <w:t xml:space="preserve">são classificados como ativos financeiros a valor justo por meio do resultado ou empréstimos e recebíveis. A </w:t>
      </w:r>
      <w:r w:rsidR="003924AB">
        <w:rPr>
          <w:rFonts w:ascii="Calibri" w:hAnsi="Calibri" w:cs="Calibri"/>
          <w:szCs w:val="24"/>
          <w:lang w:val="pt-BR"/>
        </w:rPr>
        <w:t>Companhia</w:t>
      </w:r>
      <w:r w:rsidR="00AF1EA7">
        <w:rPr>
          <w:rFonts w:ascii="Calibri" w:hAnsi="Calibri" w:cs="Calibri"/>
          <w:szCs w:val="24"/>
          <w:lang w:val="pt-BR"/>
        </w:rPr>
        <w:t xml:space="preserve"> determina a classificação dos seus ativos financeiros no momento do seu reconhecimento inicial, quando ele se torna parte das disposições contratuais do instrumento.</w:t>
      </w:r>
    </w:p>
    <w:p w:rsidR="00AF1EA7" w:rsidRDefault="00AF1EA7" w:rsidP="00905F4A">
      <w:pPr>
        <w:pStyle w:val="Recuodecorpodetexto"/>
        <w:widowControl/>
        <w:autoSpaceDE w:val="0"/>
        <w:autoSpaceDN w:val="0"/>
        <w:ind w:left="1701"/>
        <w:rPr>
          <w:rFonts w:ascii="Calibri" w:hAnsi="Calibri" w:cs="Calibri"/>
          <w:szCs w:val="24"/>
          <w:lang w:val="pt-BR"/>
        </w:rPr>
      </w:pPr>
    </w:p>
    <w:p w:rsidR="00AF1EA7" w:rsidRDefault="00AF1EA7"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xml:space="preserve">Ativos financeiros são reconhecidos </w:t>
      </w:r>
      <w:r w:rsidRPr="00AF1EA7">
        <w:rPr>
          <w:rFonts w:ascii="Calibri" w:hAnsi="Calibri" w:cs="Calibri"/>
          <w:szCs w:val="24"/>
          <w:lang w:val="pt-BR"/>
        </w:rPr>
        <w:t xml:space="preserve">inicialmente ao valor justo, acrescidos, no caso de investimentos não designados a valor justo por meio do resultado, dos custos de </w:t>
      </w:r>
      <w:r w:rsidRPr="00AF1EA7">
        <w:rPr>
          <w:rFonts w:ascii="Calibri" w:hAnsi="Calibri" w:cs="Calibri"/>
          <w:szCs w:val="24"/>
          <w:lang w:val="pt-BR"/>
        </w:rPr>
        <w:lastRenderedPageBreak/>
        <w:t xml:space="preserve">transação que sejam diretamente atribuíveis à aquisição do ativo financeiro. Os ativos financeiros da </w:t>
      </w:r>
      <w:r w:rsidR="003924AB">
        <w:rPr>
          <w:rFonts w:ascii="Calibri" w:hAnsi="Calibri" w:cs="Calibri"/>
          <w:szCs w:val="24"/>
          <w:lang w:val="pt-BR"/>
        </w:rPr>
        <w:t>Companhia</w:t>
      </w:r>
      <w:r w:rsidRPr="00AF1EA7">
        <w:rPr>
          <w:rFonts w:ascii="Calibri" w:hAnsi="Calibri" w:cs="Calibri"/>
          <w:szCs w:val="24"/>
          <w:lang w:val="pt-BR"/>
        </w:rPr>
        <w:t xml:space="preserve"> incluem caixa e equivalentes de caixa, contas a receber de clientes e outras contas a receber.</w:t>
      </w:r>
    </w:p>
    <w:p w:rsidR="00AF1EA7" w:rsidRDefault="00AF1EA7" w:rsidP="00905F4A">
      <w:pPr>
        <w:pStyle w:val="Recuodecorpodetexto"/>
        <w:widowControl/>
        <w:autoSpaceDE w:val="0"/>
        <w:autoSpaceDN w:val="0"/>
        <w:ind w:left="1701"/>
        <w:rPr>
          <w:rFonts w:ascii="Calibri" w:hAnsi="Calibri" w:cs="Calibri"/>
          <w:szCs w:val="24"/>
          <w:lang w:val="pt-BR"/>
        </w:rPr>
      </w:pPr>
    </w:p>
    <w:p w:rsidR="00AF1EA7" w:rsidRPr="007B713C" w:rsidRDefault="007B713C" w:rsidP="00905F4A">
      <w:pPr>
        <w:pStyle w:val="Recuodecorpodetexto"/>
        <w:widowControl/>
        <w:autoSpaceDE w:val="0"/>
        <w:autoSpaceDN w:val="0"/>
        <w:ind w:left="1701"/>
        <w:rPr>
          <w:rFonts w:ascii="Calibri" w:hAnsi="Calibri" w:cs="Calibri"/>
          <w:b/>
          <w:szCs w:val="24"/>
          <w:lang w:val="pt-BR"/>
        </w:rPr>
      </w:pPr>
      <w:r w:rsidRPr="007B713C">
        <w:rPr>
          <w:rFonts w:ascii="Calibri" w:hAnsi="Calibri" w:cs="Calibri"/>
          <w:b/>
          <w:szCs w:val="24"/>
          <w:lang w:val="pt-BR"/>
        </w:rPr>
        <w:t>b)</w:t>
      </w:r>
      <w:r w:rsidR="00AF1EA7" w:rsidRPr="007B713C">
        <w:rPr>
          <w:rFonts w:ascii="Calibri" w:hAnsi="Calibri" w:cs="Calibri"/>
          <w:b/>
          <w:szCs w:val="24"/>
          <w:lang w:val="pt-BR"/>
        </w:rPr>
        <w:t xml:space="preserve"> Mensuração </w:t>
      </w:r>
      <w:r w:rsidR="00153B3C">
        <w:rPr>
          <w:rFonts w:ascii="Calibri" w:hAnsi="Calibri" w:cs="Calibri"/>
          <w:b/>
          <w:szCs w:val="24"/>
          <w:lang w:val="pt-BR"/>
        </w:rPr>
        <w:t>S</w:t>
      </w:r>
      <w:r w:rsidR="00AF1EA7" w:rsidRPr="007B713C">
        <w:rPr>
          <w:rFonts w:ascii="Calibri" w:hAnsi="Calibri" w:cs="Calibri"/>
          <w:b/>
          <w:szCs w:val="24"/>
          <w:lang w:val="pt-BR"/>
        </w:rPr>
        <w:t>ubsequente</w:t>
      </w:r>
    </w:p>
    <w:p w:rsidR="00AF1EA7" w:rsidRDefault="00AF1EA7"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A mensuração subsequente</w:t>
      </w:r>
      <w:r w:rsidRPr="00AF1EA7">
        <w:rPr>
          <w:rFonts w:ascii="Calibri" w:hAnsi="Calibri" w:cs="Calibri"/>
          <w:szCs w:val="24"/>
          <w:lang w:val="pt-BR"/>
        </w:rPr>
        <w:t xml:space="preserve"> de ativos financeiros depende da sua classificação, que pode ser da seguinte forma:</w:t>
      </w:r>
    </w:p>
    <w:p w:rsidR="00AF1EA7" w:rsidRDefault="00AF1EA7" w:rsidP="00905F4A">
      <w:pPr>
        <w:pStyle w:val="Recuodecorpodetexto"/>
        <w:widowControl/>
        <w:autoSpaceDE w:val="0"/>
        <w:autoSpaceDN w:val="0"/>
        <w:ind w:left="1701"/>
        <w:rPr>
          <w:rFonts w:ascii="Calibri" w:hAnsi="Calibri" w:cs="Calibri"/>
          <w:szCs w:val="24"/>
          <w:lang w:val="pt-BR"/>
        </w:rPr>
      </w:pPr>
    </w:p>
    <w:p w:rsidR="00AF1EA7" w:rsidRPr="00AF1EA7" w:rsidRDefault="00AF1EA7" w:rsidP="00905F4A">
      <w:pPr>
        <w:pStyle w:val="Recuodecorpodetexto"/>
        <w:widowControl/>
        <w:autoSpaceDE w:val="0"/>
        <w:autoSpaceDN w:val="0"/>
        <w:ind w:left="1701"/>
        <w:rPr>
          <w:rFonts w:ascii="Calibri" w:hAnsi="Calibri" w:cs="Calibri"/>
          <w:b/>
          <w:szCs w:val="24"/>
          <w:lang w:val="pt-BR"/>
        </w:rPr>
      </w:pPr>
      <w:r w:rsidRPr="00AF1EA7">
        <w:rPr>
          <w:rFonts w:ascii="Calibri" w:hAnsi="Calibri" w:cs="Calibri"/>
          <w:b/>
          <w:szCs w:val="24"/>
          <w:lang w:val="pt-BR"/>
        </w:rPr>
        <w:t xml:space="preserve">Ativos </w:t>
      </w:r>
      <w:r>
        <w:rPr>
          <w:rFonts w:ascii="Calibri" w:hAnsi="Calibri" w:cs="Calibri"/>
          <w:b/>
          <w:szCs w:val="24"/>
          <w:lang w:val="pt-BR"/>
        </w:rPr>
        <w:t>F</w:t>
      </w:r>
      <w:r w:rsidRPr="00AF1EA7">
        <w:rPr>
          <w:rFonts w:ascii="Calibri" w:hAnsi="Calibri" w:cs="Calibri"/>
          <w:b/>
          <w:szCs w:val="24"/>
          <w:lang w:val="pt-BR"/>
        </w:rPr>
        <w:t xml:space="preserve">inanceiros a </w:t>
      </w:r>
      <w:r>
        <w:rPr>
          <w:rFonts w:ascii="Calibri" w:hAnsi="Calibri" w:cs="Calibri"/>
          <w:b/>
          <w:szCs w:val="24"/>
          <w:lang w:val="pt-BR"/>
        </w:rPr>
        <w:t>V</w:t>
      </w:r>
      <w:r w:rsidRPr="00AF1EA7">
        <w:rPr>
          <w:rFonts w:ascii="Calibri" w:hAnsi="Calibri" w:cs="Calibri"/>
          <w:b/>
          <w:szCs w:val="24"/>
          <w:lang w:val="pt-BR"/>
        </w:rPr>
        <w:t xml:space="preserve">alor </w:t>
      </w:r>
      <w:r>
        <w:rPr>
          <w:rFonts w:ascii="Calibri" w:hAnsi="Calibri" w:cs="Calibri"/>
          <w:b/>
          <w:szCs w:val="24"/>
          <w:lang w:val="pt-BR"/>
        </w:rPr>
        <w:t>J</w:t>
      </w:r>
      <w:r w:rsidRPr="00AF1EA7">
        <w:rPr>
          <w:rFonts w:ascii="Calibri" w:hAnsi="Calibri" w:cs="Calibri"/>
          <w:b/>
          <w:szCs w:val="24"/>
          <w:lang w:val="pt-BR"/>
        </w:rPr>
        <w:t xml:space="preserve">usto por </w:t>
      </w:r>
      <w:r>
        <w:rPr>
          <w:rFonts w:ascii="Calibri" w:hAnsi="Calibri" w:cs="Calibri"/>
          <w:b/>
          <w:szCs w:val="24"/>
          <w:lang w:val="pt-BR"/>
        </w:rPr>
        <w:t>M</w:t>
      </w:r>
      <w:r w:rsidRPr="00AF1EA7">
        <w:rPr>
          <w:rFonts w:ascii="Calibri" w:hAnsi="Calibri" w:cs="Calibri"/>
          <w:b/>
          <w:szCs w:val="24"/>
          <w:lang w:val="pt-BR"/>
        </w:rPr>
        <w:t xml:space="preserve">eio do </w:t>
      </w:r>
      <w:r>
        <w:rPr>
          <w:rFonts w:ascii="Calibri" w:hAnsi="Calibri" w:cs="Calibri"/>
          <w:b/>
          <w:szCs w:val="24"/>
          <w:lang w:val="pt-BR"/>
        </w:rPr>
        <w:t>R</w:t>
      </w:r>
      <w:r w:rsidRPr="00AF1EA7">
        <w:rPr>
          <w:rFonts w:ascii="Calibri" w:hAnsi="Calibri" w:cs="Calibri"/>
          <w:b/>
          <w:szCs w:val="24"/>
          <w:lang w:val="pt-BR"/>
        </w:rPr>
        <w:t>esultado</w:t>
      </w:r>
    </w:p>
    <w:p w:rsidR="00AF1EA7" w:rsidRDefault="00AF1EA7"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xml:space="preserve">Ativos </w:t>
      </w:r>
      <w:r w:rsidRPr="00AF1EA7">
        <w:rPr>
          <w:rFonts w:ascii="Calibri" w:hAnsi="Calibri" w:cs="Calibri"/>
          <w:szCs w:val="24"/>
          <w:lang w:val="pt-BR"/>
        </w:rPr>
        <w:t>financeiros a valor justo por meio do resultado incluem ativos financeiros mantidos para negociação e ativos financeiros designados no reconhecimento inicial a valor justo por meio do resultado. Ativos financeiros são classificados como mantidos para negociação se forem adquiridos com o objetivo de venda no curto prazo. Ativos financeiros a valor justo por meio do resultado são apresentados no balanço patrimonial a valor justo, com os correspondentes ganhos ou perdas reconhecidas na demonstração do resultado.</w:t>
      </w:r>
    </w:p>
    <w:p w:rsidR="00AF1EA7" w:rsidRDefault="00AF1EA7" w:rsidP="00905F4A">
      <w:pPr>
        <w:pStyle w:val="Recuodecorpodetexto"/>
        <w:widowControl/>
        <w:autoSpaceDE w:val="0"/>
        <w:autoSpaceDN w:val="0"/>
        <w:ind w:left="1701"/>
        <w:rPr>
          <w:rFonts w:ascii="Calibri" w:hAnsi="Calibri" w:cs="Calibri"/>
          <w:szCs w:val="24"/>
          <w:lang w:val="pt-BR"/>
        </w:rPr>
      </w:pPr>
    </w:p>
    <w:p w:rsidR="00AF1EA7" w:rsidRPr="00AF1EA7" w:rsidRDefault="00AF1EA7" w:rsidP="00905F4A">
      <w:pPr>
        <w:pStyle w:val="Recuodecorpodetexto"/>
        <w:widowControl/>
        <w:autoSpaceDE w:val="0"/>
        <w:autoSpaceDN w:val="0"/>
        <w:ind w:left="1701"/>
        <w:rPr>
          <w:rFonts w:ascii="Calibri" w:hAnsi="Calibri" w:cs="Calibri"/>
          <w:b/>
          <w:szCs w:val="24"/>
          <w:lang w:val="pt-BR"/>
        </w:rPr>
      </w:pPr>
      <w:r w:rsidRPr="00AF1EA7">
        <w:rPr>
          <w:rFonts w:ascii="Calibri" w:hAnsi="Calibri" w:cs="Calibri"/>
          <w:b/>
          <w:szCs w:val="24"/>
          <w:lang w:val="pt-BR"/>
        </w:rPr>
        <w:t>Empréstimos e Recebíveis</w:t>
      </w:r>
    </w:p>
    <w:p w:rsidR="00AF1EA7" w:rsidRDefault="00AF1EA7"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Empréstimos e R</w:t>
      </w:r>
      <w:r w:rsidRPr="00AF1EA7">
        <w:rPr>
          <w:rFonts w:ascii="Calibri" w:hAnsi="Calibri" w:cs="Calibri"/>
          <w:szCs w:val="24"/>
          <w:lang w:val="pt-BR"/>
        </w:rPr>
        <w:t>ecebíveis são ativos financeiros não derivativos, com pagamentos fixos ou determináveis, não cotados em um mercado ativo. Após a mensuração inicial, esses ativos financeiros são contabilizados ao custo amortizado, utilizando o método de juros efetivos (taxa de juros efetiva), menos perda por redução ao valor recuperável. O custo amortizado é calculado levando em consideração qualquer desconto ou “prêmio” na aquisição e taxas ou custos incorridos. A amortização do método de juros efetivos é incluída na linha de receita financeira na demonstração de resultado. As perdas por redução ao valor recuperável são reconhecidas como despesa financeira no resultado.</w:t>
      </w:r>
    </w:p>
    <w:p w:rsidR="00AF1EA7" w:rsidRDefault="00AF1EA7" w:rsidP="00905F4A">
      <w:pPr>
        <w:pStyle w:val="Recuodecorpodetexto"/>
        <w:widowControl/>
        <w:autoSpaceDE w:val="0"/>
        <w:autoSpaceDN w:val="0"/>
        <w:ind w:left="1701"/>
        <w:rPr>
          <w:rFonts w:ascii="Calibri" w:hAnsi="Calibri" w:cs="Calibri"/>
          <w:szCs w:val="24"/>
          <w:lang w:val="pt-BR"/>
        </w:rPr>
      </w:pPr>
    </w:p>
    <w:p w:rsidR="00AF1EA7" w:rsidRPr="007B713C" w:rsidRDefault="007B713C" w:rsidP="00905F4A">
      <w:pPr>
        <w:pStyle w:val="Recuodecorpodetexto"/>
        <w:widowControl/>
        <w:autoSpaceDE w:val="0"/>
        <w:autoSpaceDN w:val="0"/>
        <w:ind w:left="1701"/>
        <w:rPr>
          <w:rFonts w:ascii="Calibri" w:hAnsi="Calibri" w:cs="Calibri"/>
          <w:b/>
          <w:szCs w:val="24"/>
          <w:lang w:val="pt-BR"/>
        </w:rPr>
      </w:pPr>
      <w:r w:rsidRPr="007B713C">
        <w:rPr>
          <w:rFonts w:ascii="Calibri" w:hAnsi="Calibri" w:cs="Calibri"/>
          <w:b/>
          <w:szCs w:val="24"/>
          <w:lang w:val="pt-BR"/>
        </w:rPr>
        <w:t>c)</w:t>
      </w:r>
      <w:r w:rsidR="00AF1EA7" w:rsidRPr="007B713C">
        <w:rPr>
          <w:rFonts w:ascii="Calibri" w:hAnsi="Calibri" w:cs="Calibri"/>
          <w:b/>
          <w:szCs w:val="24"/>
          <w:lang w:val="pt-BR"/>
        </w:rPr>
        <w:t xml:space="preserve"> Baixa</w:t>
      </w:r>
    </w:p>
    <w:p w:rsidR="007B713C" w:rsidRDefault="007B713C"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xml:space="preserve">Um ativo financeiro </w:t>
      </w:r>
      <w:r w:rsidRPr="007B713C">
        <w:rPr>
          <w:rFonts w:ascii="Calibri" w:hAnsi="Calibri" w:cs="Calibri"/>
          <w:szCs w:val="24"/>
          <w:lang w:val="pt-BR"/>
        </w:rPr>
        <w:t>(ou, quando for o caso, uma parte de um ativo financeiro ou parte de um grupo de ativos financeiros semelhantes) é baixado quando:</w:t>
      </w:r>
    </w:p>
    <w:p w:rsidR="007B713C" w:rsidRDefault="007B713C"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Os direitos de receber fluxos de caixa do ativo expirarem;</w:t>
      </w:r>
    </w:p>
    <w:p w:rsidR="007B713C" w:rsidRDefault="007B713C"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xml:space="preserve">- A empresa transfere </w:t>
      </w:r>
      <w:r w:rsidRPr="007B713C">
        <w:rPr>
          <w:rFonts w:ascii="Calibri" w:hAnsi="Calibri" w:cs="Calibri"/>
          <w:szCs w:val="24"/>
          <w:lang w:val="pt-BR"/>
        </w:rPr>
        <w:t>os seus direitos de receber fluxos de caixa do ativo ou assum</w:t>
      </w:r>
      <w:r>
        <w:rPr>
          <w:rFonts w:ascii="Calibri" w:hAnsi="Calibri" w:cs="Calibri"/>
          <w:szCs w:val="24"/>
          <w:lang w:val="pt-BR"/>
        </w:rPr>
        <w:t>e</w:t>
      </w:r>
      <w:r w:rsidRPr="007B713C">
        <w:rPr>
          <w:rFonts w:ascii="Calibri" w:hAnsi="Calibri" w:cs="Calibri"/>
          <w:szCs w:val="24"/>
          <w:lang w:val="pt-BR"/>
        </w:rPr>
        <w:t xml:space="preserve"> uma obrigação de pagar integralmente os fluxos de caixa recebidos, sem demora significativa, a um terceiro</w:t>
      </w:r>
      <w:r>
        <w:rPr>
          <w:rFonts w:ascii="Calibri" w:hAnsi="Calibri" w:cs="Calibri"/>
          <w:szCs w:val="24"/>
          <w:lang w:val="pt-BR"/>
        </w:rPr>
        <w:t>,</w:t>
      </w:r>
      <w:r w:rsidRPr="007B713C">
        <w:rPr>
          <w:rFonts w:ascii="Calibri" w:hAnsi="Calibri" w:cs="Calibri"/>
          <w:szCs w:val="24"/>
          <w:lang w:val="pt-BR"/>
        </w:rPr>
        <w:t xml:space="preserve"> por força de um acordo de “repasse”;</w:t>
      </w:r>
    </w:p>
    <w:p w:rsidR="007B713C" w:rsidRDefault="007B713C"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A e</w:t>
      </w:r>
      <w:r w:rsidRPr="007B713C">
        <w:rPr>
          <w:rFonts w:ascii="Calibri" w:hAnsi="Calibri" w:cs="Calibri"/>
          <w:szCs w:val="24"/>
          <w:lang w:val="pt-BR"/>
        </w:rPr>
        <w:t>mpresa transfe</w:t>
      </w:r>
      <w:r>
        <w:rPr>
          <w:rFonts w:ascii="Calibri" w:hAnsi="Calibri" w:cs="Calibri"/>
          <w:szCs w:val="24"/>
          <w:lang w:val="pt-BR"/>
        </w:rPr>
        <w:t>re,</w:t>
      </w:r>
      <w:r w:rsidRPr="007B713C">
        <w:rPr>
          <w:rFonts w:ascii="Calibri" w:hAnsi="Calibri" w:cs="Calibri"/>
          <w:szCs w:val="24"/>
          <w:lang w:val="pt-BR"/>
        </w:rPr>
        <w:t xml:space="preserve"> substancialmente</w:t>
      </w:r>
      <w:r>
        <w:rPr>
          <w:rFonts w:ascii="Calibri" w:hAnsi="Calibri" w:cs="Calibri"/>
          <w:szCs w:val="24"/>
          <w:lang w:val="pt-BR"/>
        </w:rPr>
        <w:t>,</w:t>
      </w:r>
      <w:r w:rsidRPr="007B713C">
        <w:rPr>
          <w:rFonts w:ascii="Calibri" w:hAnsi="Calibri" w:cs="Calibri"/>
          <w:szCs w:val="24"/>
          <w:lang w:val="pt-BR"/>
        </w:rPr>
        <w:t xml:space="preserve"> todos os riscos e benefícios do ativo</w:t>
      </w:r>
      <w:r>
        <w:rPr>
          <w:rFonts w:ascii="Calibri" w:hAnsi="Calibri" w:cs="Calibri"/>
          <w:szCs w:val="24"/>
          <w:lang w:val="pt-BR"/>
        </w:rPr>
        <w:t>;</w:t>
      </w:r>
    </w:p>
    <w:p w:rsidR="007B713C" w:rsidRPr="007B713C" w:rsidRDefault="007B713C"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A e</w:t>
      </w:r>
      <w:r w:rsidRPr="007B713C">
        <w:rPr>
          <w:rFonts w:ascii="Calibri" w:hAnsi="Calibri" w:cs="Calibri"/>
          <w:szCs w:val="24"/>
          <w:lang w:val="pt-BR"/>
        </w:rPr>
        <w:t>mpresa não transfer</w:t>
      </w:r>
      <w:r>
        <w:rPr>
          <w:rFonts w:ascii="Calibri" w:hAnsi="Calibri" w:cs="Calibri"/>
          <w:szCs w:val="24"/>
          <w:lang w:val="pt-BR"/>
        </w:rPr>
        <w:t>e</w:t>
      </w:r>
      <w:r w:rsidRPr="007B713C">
        <w:rPr>
          <w:rFonts w:ascii="Calibri" w:hAnsi="Calibri" w:cs="Calibri"/>
          <w:szCs w:val="24"/>
          <w:lang w:val="pt-BR"/>
        </w:rPr>
        <w:t xml:space="preserve"> nem ret</w:t>
      </w:r>
      <w:r>
        <w:rPr>
          <w:rFonts w:ascii="Calibri" w:hAnsi="Calibri" w:cs="Calibri"/>
          <w:szCs w:val="24"/>
          <w:lang w:val="pt-BR"/>
        </w:rPr>
        <w:t>ém</w:t>
      </w:r>
      <w:r w:rsidRPr="007B713C">
        <w:rPr>
          <w:rFonts w:ascii="Calibri" w:hAnsi="Calibri" w:cs="Calibri"/>
          <w:szCs w:val="24"/>
          <w:lang w:val="pt-BR"/>
        </w:rPr>
        <w:t xml:space="preserve"> substancialmente todos os riscos e benefícios relativos ao ativo, mas transfer</w:t>
      </w:r>
      <w:r>
        <w:rPr>
          <w:rFonts w:ascii="Calibri" w:hAnsi="Calibri" w:cs="Calibri"/>
          <w:szCs w:val="24"/>
          <w:lang w:val="pt-BR"/>
        </w:rPr>
        <w:t>e</w:t>
      </w:r>
      <w:r w:rsidRPr="007B713C">
        <w:rPr>
          <w:rFonts w:ascii="Calibri" w:hAnsi="Calibri" w:cs="Calibri"/>
          <w:szCs w:val="24"/>
          <w:lang w:val="pt-BR"/>
        </w:rPr>
        <w:t xml:space="preserve"> o controle sobre o ativo.</w:t>
      </w:r>
    </w:p>
    <w:p w:rsidR="00C16DDB" w:rsidRPr="00312424" w:rsidRDefault="00C16DDB" w:rsidP="00905F4A">
      <w:pPr>
        <w:pStyle w:val="Recuodecorpodetexto"/>
        <w:widowControl/>
        <w:autoSpaceDE w:val="0"/>
        <w:autoSpaceDN w:val="0"/>
        <w:ind w:left="0"/>
        <w:rPr>
          <w:rFonts w:ascii="Calibri" w:hAnsi="Calibri" w:cs="Calibri"/>
          <w:szCs w:val="24"/>
          <w:lang w:val="pt-BR"/>
        </w:rPr>
      </w:pPr>
    </w:p>
    <w:p w:rsidR="00C16DDB" w:rsidRPr="00153B3C" w:rsidRDefault="00153B3C" w:rsidP="00905F4A">
      <w:pPr>
        <w:pStyle w:val="Recuodecorpodetexto"/>
        <w:widowControl/>
        <w:numPr>
          <w:ilvl w:val="0"/>
          <w:numId w:val="7"/>
        </w:numPr>
        <w:autoSpaceDE w:val="0"/>
        <w:autoSpaceDN w:val="0"/>
        <w:rPr>
          <w:rFonts w:ascii="Calibri" w:hAnsi="Calibri" w:cs="Calibri"/>
          <w:b/>
          <w:szCs w:val="24"/>
        </w:rPr>
      </w:pPr>
      <w:r>
        <w:rPr>
          <w:rFonts w:ascii="Calibri" w:hAnsi="Calibri" w:cs="Calibri"/>
          <w:b/>
          <w:szCs w:val="24"/>
          <w:lang w:val="pt-BR"/>
        </w:rPr>
        <w:t xml:space="preserve">Redução ao Valor Recuperável de Ativos </w:t>
      </w:r>
      <w:r w:rsidR="007964CD">
        <w:rPr>
          <w:rFonts w:ascii="Calibri" w:hAnsi="Calibri" w:cs="Calibri"/>
          <w:b/>
          <w:szCs w:val="24"/>
          <w:lang w:val="pt-BR"/>
        </w:rPr>
        <w:t>Financeiros</w:t>
      </w:r>
    </w:p>
    <w:p w:rsidR="00153B3C" w:rsidRDefault="00153B3C" w:rsidP="00905F4A">
      <w:pPr>
        <w:pStyle w:val="Recuodecorpodetexto"/>
        <w:widowControl/>
        <w:autoSpaceDE w:val="0"/>
        <w:autoSpaceDN w:val="0"/>
        <w:rPr>
          <w:rFonts w:ascii="Calibri" w:hAnsi="Calibri" w:cs="Calibri"/>
          <w:b/>
          <w:szCs w:val="24"/>
          <w:lang w:val="pt-BR"/>
        </w:rPr>
      </w:pPr>
    </w:p>
    <w:p w:rsidR="00153B3C" w:rsidRDefault="00153B3C" w:rsidP="00905F4A">
      <w:pPr>
        <w:pStyle w:val="Recuodecorpodetexto"/>
        <w:widowControl/>
        <w:autoSpaceDE w:val="0"/>
        <w:autoSpaceDN w:val="0"/>
        <w:ind w:left="851"/>
        <w:rPr>
          <w:rFonts w:ascii="Calibri" w:hAnsi="Calibri" w:cs="Calibri"/>
          <w:szCs w:val="24"/>
        </w:rPr>
      </w:pPr>
      <w:r w:rsidRPr="00153B3C">
        <w:rPr>
          <w:rFonts w:ascii="Calibri" w:hAnsi="Calibri" w:cs="Calibri"/>
          <w:szCs w:val="24"/>
        </w:rPr>
        <w:t xml:space="preserve">A </w:t>
      </w:r>
      <w:r w:rsidR="003924AB">
        <w:rPr>
          <w:rFonts w:ascii="Calibri" w:hAnsi="Calibri" w:cs="Calibri"/>
          <w:szCs w:val="24"/>
          <w:lang w:val="pt-BR"/>
        </w:rPr>
        <w:t>Companhia</w:t>
      </w:r>
      <w:r w:rsidRPr="00153B3C">
        <w:rPr>
          <w:rFonts w:ascii="Calibri" w:hAnsi="Calibri" w:cs="Calibri"/>
          <w:szCs w:val="24"/>
        </w:rPr>
        <w:t xml:space="preserve"> avalia</w:t>
      </w:r>
      <w:r>
        <w:rPr>
          <w:rFonts w:ascii="Calibri" w:hAnsi="Calibri" w:cs="Calibri"/>
          <w:szCs w:val="24"/>
          <w:lang w:val="pt-BR"/>
        </w:rPr>
        <w:t>,</w:t>
      </w:r>
      <w:r w:rsidRPr="00153B3C">
        <w:rPr>
          <w:rFonts w:ascii="Calibri" w:hAnsi="Calibri" w:cs="Calibri"/>
          <w:szCs w:val="24"/>
        </w:rPr>
        <w:t xml:space="preserve"> nas datas do balanço</w:t>
      </w:r>
      <w:r>
        <w:rPr>
          <w:rFonts w:ascii="Calibri" w:hAnsi="Calibri" w:cs="Calibri"/>
          <w:szCs w:val="24"/>
          <w:lang w:val="pt-BR"/>
        </w:rPr>
        <w:t>,</w:t>
      </w:r>
      <w:r w:rsidRPr="00153B3C">
        <w:rPr>
          <w:rFonts w:ascii="Calibri" w:hAnsi="Calibri" w:cs="Calibri"/>
          <w:szCs w:val="24"/>
        </w:rPr>
        <w:t xml:space="preserve"> se há alguma evidência objetiva que determine se o ativo financeiro ou grupo de ativos financeiros não é recuperável. </w:t>
      </w:r>
    </w:p>
    <w:p w:rsidR="00153B3C" w:rsidRDefault="00153B3C" w:rsidP="00905F4A">
      <w:pPr>
        <w:pStyle w:val="Recuodecorpodetexto"/>
        <w:widowControl/>
        <w:autoSpaceDE w:val="0"/>
        <w:autoSpaceDN w:val="0"/>
        <w:ind w:left="851"/>
        <w:rPr>
          <w:rFonts w:ascii="Calibri" w:hAnsi="Calibri" w:cs="Calibri"/>
          <w:szCs w:val="24"/>
        </w:rPr>
      </w:pPr>
    </w:p>
    <w:p w:rsidR="00153B3C" w:rsidRDefault="00153B3C" w:rsidP="00905F4A">
      <w:pPr>
        <w:pStyle w:val="Recuodecorpodetexto"/>
        <w:widowControl/>
        <w:autoSpaceDE w:val="0"/>
        <w:autoSpaceDN w:val="0"/>
        <w:ind w:left="851"/>
        <w:rPr>
          <w:rFonts w:ascii="Calibri" w:hAnsi="Calibri" w:cs="Calibri"/>
          <w:szCs w:val="24"/>
        </w:rPr>
      </w:pPr>
      <w:r w:rsidRPr="00153B3C">
        <w:rPr>
          <w:rFonts w:ascii="Calibri" w:hAnsi="Calibri" w:cs="Calibri"/>
          <w:szCs w:val="24"/>
        </w:rPr>
        <w:t xml:space="preserve">Um ativo financeiro ou grupo de ativos financeiros é considerado como não recuperável se, e somente se, houver evidência objetiva de ausência de </w:t>
      </w:r>
      <w:proofErr w:type="spellStart"/>
      <w:r w:rsidRPr="00153B3C">
        <w:rPr>
          <w:rFonts w:ascii="Calibri" w:hAnsi="Calibri" w:cs="Calibri"/>
          <w:szCs w:val="24"/>
        </w:rPr>
        <w:t>recuperabilidade</w:t>
      </w:r>
      <w:proofErr w:type="spellEnd"/>
      <w:r w:rsidRPr="00153B3C">
        <w:rPr>
          <w:rFonts w:ascii="Calibri" w:hAnsi="Calibri" w:cs="Calibri"/>
          <w:szCs w:val="24"/>
        </w:rPr>
        <w:t xml:space="preserve"> como resultado de um </w:t>
      </w:r>
      <w:r w:rsidRPr="00153B3C">
        <w:rPr>
          <w:rFonts w:ascii="Calibri" w:hAnsi="Calibri" w:cs="Calibri"/>
          <w:szCs w:val="24"/>
        </w:rPr>
        <w:lastRenderedPageBreak/>
        <w:t xml:space="preserve">ou mais eventos que tenham acontecido depois do reconhecimento inicial do ativo (“um evento de perda” incorrido) e este evento de perda tenha impacto no fluxo de caixa futuro estimado do ativo financeiro ou da </w:t>
      </w:r>
      <w:r>
        <w:rPr>
          <w:rFonts w:ascii="Calibri" w:hAnsi="Calibri" w:cs="Calibri"/>
          <w:szCs w:val="24"/>
          <w:lang w:val="pt-BR"/>
        </w:rPr>
        <w:t>empresa</w:t>
      </w:r>
      <w:r w:rsidRPr="00153B3C">
        <w:rPr>
          <w:rFonts w:ascii="Calibri" w:hAnsi="Calibri" w:cs="Calibri"/>
          <w:szCs w:val="24"/>
        </w:rPr>
        <w:t xml:space="preserve">. </w:t>
      </w:r>
    </w:p>
    <w:p w:rsidR="00153B3C" w:rsidRPr="00153B3C" w:rsidRDefault="00153B3C" w:rsidP="00905F4A">
      <w:pPr>
        <w:pStyle w:val="Recuodecorpodetexto"/>
        <w:widowControl/>
        <w:autoSpaceDE w:val="0"/>
        <w:autoSpaceDN w:val="0"/>
        <w:rPr>
          <w:rFonts w:ascii="Calibri" w:hAnsi="Calibri" w:cs="Calibri"/>
          <w:b/>
          <w:szCs w:val="24"/>
        </w:rPr>
      </w:pPr>
    </w:p>
    <w:p w:rsidR="00153B3C" w:rsidRPr="00153B3C" w:rsidRDefault="00153B3C" w:rsidP="00905F4A">
      <w:pPr>
        <w:pStyle w:val="Recuodecorpodetexto"/>
        <w:widowControl/>
        <w:numPr>
          <w:ilvl w:val="0"/>
          <w:numId w:val="7"/>
        </w:numPr>
        <w:autoSpaceDE w:val="0"/>
        <w:autoSpaceDN w:val="0"/>
        <w:rPr>
          <w:rFonts w:ascii="Calibri" w:hAnsi="Calibri" w:cs="Calibri"/>
          <w:b/>
          <w:szCs w:val="24"/>
        </w:rPr>
      </w:pPr>
      <w:r>
        <w:rPr>
          <w:rFonts w:ascii="Calibri" w:hAnsi="Calibri" w:cs="Calibri"/>
          <w:b/>
          <w:szCs w:val="24"/>
          <w:lang w:val="pt-BR"/>
        </w:rPr>
        <w:t>Passivos Financeiros</w:t>
      </w:r>
    </w:p>
    <w:p w:rsidR="00153B3C" w:rsidRDefault="00153B3C" w:rsidP="00905F4A">
      <w:pPr>
        <w:pStyle w:val="Recuodecorpodetexto"/>
        <w:widowControl/>
        <w:autoSpaceDE w:val="0"/>
        <w:autoSpaceDN w:val="0"/>
        <w:rPr>
          <w:rFonts w:ascii="Calibri" w:hAnsi="Calibri" w:cs="Calibri"/>
          <w:b/>
          <w:szCs w:val="24"/>
          <w:lang w:val="pt-BR"/>
        </w:rPr>
      </w:pPr>
    </w:p>
    <w:p w:rsidR="00153B3C" w:rsidRPr="007B713C" w:rsidRDefault="00153B3C" w:rsidP="00905F4A">
      <w:pPr>
        <w:pStyle w:val="Recuodecorpodetexto"/>
        <w:widowControl/>
        <w:autoSpaceDE w:val="0"/>
        <w:autoSpaceDN w:val="0"/>
        <w:ind w:left="1701"/>
        <w:rPr>
          <w:rFonts w:ascii="Calibri" w:hAnsi="Calibri" w:cs="Calibri"/>
          <w:b/>
          <w:szCs w:val="24"/>
          <w:lang w:val="pt-BR"/>
        </w:rPr>
      </w:pPr>
      <w:r w:rsidRPr="007B713C">
        <w:rPr>
          <w:rFonts w:ascii="Calibri" w:hAnsi="Calibri" w:cs="Calibri"/>
          <w:b/>
          <w:szCs w:val="24"/>
          <w:lang w:val="pt-BR"/>
        </w:rPr>
        <w:t xml:space="preserve">a) Reconhecimento </w:t>
      </w:r>
      <w:r>
        <w:rPr>
          <w:rFonts w:ascii="Calibri" w:hAnsi="Calibri" w:cs="Calibri"/>
          <w:b/>
          <w:szCs w:val="24"/>
          <w:lang w:val="pt-BR"/>
        </w:rPr>
        <w:t>I</w:t>
      </w:r>
      <w:r w:rsidRPr="007B713C">
        <w:rPr>
          <w:rFonts w:ascii="Calibri" w:hAnsi="Calibri" w:cs="Calibri"/>
          <w:b/>
          <w:szCs w:val="24"/>
          <w:lang w:val="pt-BR"/>
        </w:rPr>
        <w:t xml:space="preserve">nicial e </w:t>
      </w:r>
      <w:r>
        <w:rPr>
          <w:rFonts w:ascii="Calibri" w:hAnsi="Calibri" w:cs="Calibri"/>
          <w:b/>
          <w:szCs w:val="24"/>
          <w:lang w:val="pt-BR"/>
        </w:rPr>
        <w:t>M</w:t>
      </w:r>
      <w:r w:rsidRPr="007B713C">
        <w:rPr>
          <w:rFonts w:ascii="Calibri" w:hAnsi="Calibri" w:cs="Calibri"/>
          <w:b/>
          <w:szCs w:val="24"/>
          <w:lang w:val="pt-BR"/>
        </w:rPr>
        <w:t>ensuração</w:t>
      </w:r>
    </w:p>
    <w:p w:rsidR="00BF684A" w:rsidRDefault="00153B3C" w:rsidP="00905F4A">
      <w:pPr>
        <w:pStyle w:val="Recuodecorpodetexto"/>
        <w:widowControl/>
        <w:autoSpaceDE w:val="0"/>
        <w:autoSpaceDN w:val="0"/>
        <w:ind w:left="1701"/>
        <w:rPr>
          <w:rFonts w:ascii="Calibri" w:hAnsi="Calibri" w:cs="Calibri"/>
          <w:szCs w:val="24"/>
          <w:lang w:val="pt-BR"/>
        </w:rPr>
      </w:pPr>
      <w:r w:rsidRPr="00312424">
        <w:rPr>
          <w:rFonts w:ascii="Calibri" w:hAnsi="Calibri" w:cs="Calibri"/>
          <w:szCs w:val="24"/>
          <w:lang w:val="pt-BR"/>
        </w:rPr>
        <w:t xml:space="preserve">Os </w:t>
      </w:r>
      <w:r w:rsidR="00BF684A">
        <w:rPr>
          <w:rFonts w:ascii="Calibri" w:hAnsi="Calibri" w:cs="Calibri"/>
          <w:szCs w:val="24"/>
          <w:lang w:val="pt-BR"/>
        </w:rPr>
        <w:t xml:space="preserve">passivos </w:t>
      </w:r>
      <w:r>
        <w:rPr>
          <w:rFonts w:ascii="Calibri" w:hAnsi="Calibri" w:cs="Calibri"/>
          <w:szCs w:val="24"/>
          <w:lang w:val="pt-BR"/>
        </w:rPr>
        <w:t>f</w:t>
      </w:r>
      <w:r w:rsidRPr="00312424">
        <w:rPr>
          <w:rFonts w:ascii="Calibri" w:hAnsi="Calibri" w:cs="Calibri"/>
          <w:szCs w:val="24"/>
          <w:lang w:val="pt-BR"/>
        </w:rPr>
        <w:t xml:space="preserve">inanceiros </w:t>
      </w:r>
      <w:r>
        <w:rPr>
          <w:rFonts w:ascii="Calibri" w:hAnsi="Calibri" w:cs="Calibri"/>
          <w:szCs w:val="24"/>
          <w:lang w:val="pt-BR"/>
        </w:rPr>
        <w:t xml:space="preserve">são </w:t>
      </w:r>
      <w:r w:rsidR="00BF684A" w:rsidRPr="00BF684A">
        <w:rPr>
          <w:rFonts w:ascii="Calibri" w:hAnsi="Calibri" w:cs="Calibri"/>
          <w:szCs w:val="24"/>
          <w:lang w:val="pt-BR"/>
        </w:rPr>
        <w:t xml:space="preserve">classificados na categoria de empréstimos e financiamentos. A </w:t>
      </w:r>
      <w:r w:rsidR="003924AB">
        <w:rPr>
          <w:rFonts w:ascii="Calibri" w:hAnsi="Calibri" w:cs="Calibri"/>
          <w:szCs w:val="24"/>
          <w:lang w:val="pt-BR"/>
        </w:rPr>
        <w:t>Companhia</w:t>
      </w:r>
      <w:r w:rsidR="00BF684A" w:rsidRPr="00BF684A">
        <w:rPr>
          <w:rFonts w:ascii="Calibri" w:hAnsi="Calibri" w:cs="Calibri"/>
          <w:szCs w:val="24"/>
          <w:lang w:val="pt-BR"/>
        </w:rPr>
        <w:t xml:space="preserve"> determina a classificação dos seus passivos financeiros no momento do seu reconhecimento inicial. </w:t>
      </w:r>
    </w:p>
    <w:p w:rsidR="00BF684A" w:rsidRDefault="00BF684A" w:rsidP="00905F4A">
      <w:pPr>
        <w:pStyle w:val="Recuodecorpodetexto"/>
        <w:widowControl/>
        <w:autoSpaceDE w:val="0"/>
        <w:autoSpaceDN w:val="0"/>
        <w:ind w:left="1701"/>
        <w:rPr>
          <w:rFonts w:ascii="Calibri" w:hAnsi="Calibri" w:cs="Calibri"/>
          <w:szCs w:val="24"/>
          <w:lang w:val="pt-BR"/>
        </w:rPr>
      </w:pPr>
    </w:p>
    <w:p w:rsidR="00153B3C" w:rsidRDefault="00BF684A" w:rsidP="00905F4A">
      <w:pPr>
        <w:pStyle w:val="Recuodecorpodetexto"/>
        <w:widowControl/>
        <w:autoSpaceDE w:val="0"/>
        <w:autoSpaceDN w:val="0"/>
        <w:ind w:left="1701"/>
        <w:rPr>
          <w:rFonts w:ascii="Calibri" w:hAnsi="Calibri" w:cs="Calibri"/>
          <w:szCs w:val="24"/>
          <w:lang w:val="pt-BR"/>
        </w:rPr>
      </w:pPr>
      <w:r w:rsidRPr="00BF684A">
        <w:rPr>
          <w:rFonts w:ascii="Calibri" w:hAnsi="Calibri" w:cs="Calibri"/>
          <w:szCs w:val="24"/>
          <w:lang w:val="pt-BR"/>
        </w:rPr>
        <w:t>Passivos financeiros são inicialmente reconhecidos a valor justo e, no caso de empréstimos e financiamentos, são acrescidos do custo da transação diretamente relacionado.</w:t>
      </w:r>
    </w:p>
    <w:p w:rsidR="00BF684A" w:rsidRDefault="00BF684A" w:rsidP="00905F4A">
      <w:pPr>
        <w:pStyle w:val="Recuodecorpodetexto"/>
        <w:widowControl/>
        <w:autoSpaceDE w:val="0"/>
        <w:autoSpaceDN w:val="0"/>
        <w:ind w:left="1701"/>
        <w:rPr>
          <w:rFonts w:ascii="Calibri" w:hAnsi="Calibri" w:cs="Calibri"/>
          <w:szCs w:val="24"/>
          <w:lang w:val="pt-BR"/>
        </w:rPr>
      </w:pPr>
    </w:p>
    <w:p w:rsidR="00BF684A" w:rsidRDefault="00BF684A"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Os passivos financeiros incluem contas a pagar a fornecedores, outras contas a pagar e empréstimos e financiamentos.</w:t>
      </w:r>
    </w:p>
    <w:p w:rsidR="00153B3C" w:rsidRDefault="00153B3C" w:rsidP="00905F4A">
      <w:pPr>
        <w:pStyle w:val="Recuodecorpodetexto"/>
        <w:widowControl/>
        <w:autoSpaceDE w:val="0"/>
        <w:autoSpaceDN w:val="0"/>
        <w:rPr>
          <w:rFonts w:ascii="Calibri" w:hAnsi="Calibri" w:cs="Calibri"/>
          <w:b/>
          <w:szCs w:val="24"/>
          <w:lang w:val="pt-BR"/>
        </w:rPr>
      </w:pPr>
    </w:p>
    <w:p w:rsidR="00153B3C" w:rsidRPr="007B713C" w:rsidRDefault="00153B3C" w:rsidP="00905F4A">
      <w:pPr>
        <w:pStyle w:val="Recuodecorpodetexto"/>
        <w:widowControl/>
        <w:autoSpaceDE w:val="0"/>
        <w:autoSpaceDN w:val="0"/>
        <w:ind w:left="1701"/>
        <w:rPr>
          <w:rFonts w:ascii="Calibri" w:hAnsi="Calibri" w:cs="Calibri"/>
          <w:b/>
          <w:szCs w:val="24"/>
          <w:lang w:val="pt-BR"/>
        </w:rPr>
      </w:pPr>
      <w:r>
        <w:rPr>
          <w:rFonts w:ascii="Calibri" w:hAnsi="Calibri" w:cs="Calibri"/>
          <w:b/>
          <w:szCs w:val="24"/>
          <w:lang w:val="pt-BR"/>
        </w:rPr>
        <w:t>b</w:t>
      </w:r>
      <w:r w:rsidRPr="007B713C">
        <w:rPr>
          <w:rFonts w:ascii="Calibri" w:hAnsi="Calibri" w:cs="Calibri"/>
          <w:b/>
          <w:szCs w:val="24"/>
          <w:lang w:val="pt-BR"/>
        </w:rPr>
        <w:t xml:space="preserve">) </w:t>
      </w:r>
      <w:r>
        <w:rPr>
          <w:rFonts w:ascii="Calibri" w:hAnsi="Calibri" w:cs="Calibri"/>
          <w:b/>
          <w:szCs w:val="24"/>
          <w:lang w:val="pt-BR"/>
        </w:rPr>
        <w:t>Mensuração Subsequente</w:t>
      </w:r>
    </w:p>
    <w:p w:rsidR="00BF684A" w:rsidRDefault="00BF684A"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A mensuração subsequente dos passivos financeiros depende da sua classificação, que pode ser da seguinte forma:</w:t>
      </w:r>
    </w:p>
    <w:p w:rsidR="00BF684A" w:rsidRDefault="00BF684A" w:rsidP="00905F4A">
      <w:pPr>
        <w:pStyle w:val="Recuodecorpodetexto"/>
        <w:widowControl/>
        <w:autoSpaceDE w:val="0"/>
        <w:autoSpaceDN w:val="0"/>
        <w:ind w:left="1701"/>
        <w:rPr>
          <w:rFonts w:ascii="Calibri" w:hAnsi="Calibri" w:cs="Calibri"/>
          <w:szCs w:val="24"/>
          <w:lang w:val="pt-BR"/>
        </w:rPr>
      </w:pPr>
    </w:p>
    <w:p w:rsidR="00BF684A" w:rsidRPr="00AF1EA7" w:rsidRDefault="00BF684A" w:rsidP="00905F4A">
      <w:pPr>
        <w:pStyle w:val="Recuodecorpodetexto"/>
        <w:widowControl/>
        <w:autoSpaceDE w:val="0"/>
        <w:autoSpaceDN w:val="0"/>
        <w:ind w:left="1701"/>
        <w:rPr>
          <w:rFonts w:ascii="Calibri" w:hAnsi="Calibri" w:cs="Calibri"/>
          <w:b/>
          <w:szCs w:val="24"/>
          <w:lang w:val="pt-BR"/>
        </w:rPr>
      </w:pPr>
      <w:r w:rsidRPr="00AF1EA7">
        <w:rPr>
          <w:rFonts w:ascii="Calibri" w:hAnsi="Calibri" w:cs="Calibri"/>
          <w:b/>
          <w:szCs w:val="24"/>
          <w:lang w:val="pt-BR"/>
        </w:rPr>
        <w:t xml:space="preserve">Empréstimos e </w:t>
      </w:r>
      <w:r>
        <w:rPr>
          <w:rFonts w:ascii="Calibri" w:hAnsi="Calibri" w:cs="Calibri"/>
          <w:b/>
          <w:szCs w:val="24"/>
          <w:lang w:val="pt-BR"/>
        </w:rPr>
        <w:t>Financiamentos</w:t>
      </w:r>
    </w:p>
    <w:p w:rsidR="00BF684A" w:rsidRDefault="00BF684A"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xml:space="preserve">Após </w:t>
      </w:r>
      <w:r w:rsidRPr="00BF684A">
        <w:rPr>
          <w:rFonts w:ascii="Calibri" w:hAnsi="Calibri" w:cs="Calibri"/>
          <w:szCs w:val="24"/>
          <w:lang w:val="pt-BR"/>
        </w:rPr>
        <w:t>reconhecimento inicial, empréstimos e financiamentos sujeitos a juros são mensurados subsequentemente pelo custo amortizado, utilizando o método da taxa de juros efetivos. Ganhos e perdas são reconhecidos na demonstração do resultado no momento da baixa dos passivos, bem como durante o processo de amortização pelo método da taxa de juros efetivos.</w:t>
      </w:r>
    </w:p>
    <w:p w:rsidR="00153B3C" w:rsidRDefault="00153B3C" w:rsidP="00905F4A">
      <w:pPr>
        <w:pStyle w:val="Recuodecorpodetexto"/>
        <w:widowControl/>
        <w:autoSpaceDE w:val="0"/>
        <w:autoSpaceDN w:val="0"/>
        <w:ind w:left="1701"/>
        <w:rPr>
          <w:rFonts w:ascii="Calibri" w:hAnsi="Calibri" w:cs="Calibri"/>
          <w:szCs w:val="24"/>
          <w:lang w:val="pt-BR"/>
        </w:rPr>
      </w:pPr>
    </w:p>
    <w:p w:rsidR="00153B3C" w:rsidRPr="007B713C" w:rsidRDefault="00BF684A" w:rsidP="00905F4A">
      <w:pPr>
        <w:pStyle w:val="Recuodecorpodetexto"/>
        <w:widowControl/>
        <w:autoSpaceDE w:val="0"/>
        <w:autoSpaceDN w:val="0"/>
        <w:ind w:left="1701"/>
        <w:rPr>
          <w:rFonts w:ascii="Calibri" w:hAnsi="Calibri" w:cs="Calibri"/>
          <w:b/>
          <w:szCs w:val="24"/>
          <w:lang w:val="pt-BR"/>
        </w:rPr>
      </w:pPr>
      <w:r>
        <w:rPr>
          <w:rFonts w:ascii="Calibri" w:hAnsi="Calibri" w:cs="Calibri"/>
          <w:b/>
          <w:szCs w:val="24"/>
          <w:lang w:val="pt-BR"/>
        </w:rPr>
        <w:t>c</w:t>
      </w:r>
      <w:r w:rsidR="00153B3C" w:rsidRPr="007B713C">
        <w:rPr>
          <w:rFonts w:ascii="Calibri" w:hAnsi="Calibri" w:cs="Calibri"/>
          <w:b/>
          <w:szCs w:val="24"/>
          <w:lang w:val="pt-BR"/>
        </w:rPr>
        <w:t xml:space="preserve">) </w:t>
      </w:r>
      <w:r w:rsidR="00153B3C">
        <w:rPr>
          <w:rFonts w:ascii="Calibri" w:hAnsi="Calibri" w:cs="Calibri"/>
          <w:b/>
          <w:szCs w:val="24"/>
          <w:lang w:val="pt-BR"/>
        </w:rPr>
        <w:t>Baixa</w:t>
      </w:r>
    </w:p>
    <w:p w:rsidR="00BF684A" w:rsidRDefault="00BF684A"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Um passivo financeiro é baixado quando:</w:t>
      </w:r>
    </w:p>
    <w:p w:rsidR="00BF684A" w:rsidRDefault="00BF684A"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A obrigação é revogada, cancelada ou quando expirar;</w:t>
      </w:r>
    </w:p>
    <w:p w:rsidR="00BF684A" w:rsidRDefault="00BF684A"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xml:space="preserve">- Quando </w:t>
      </w:r>
      <w:r w:rsidRPr="00BF684A">
        <w:rPr>
          <w:rFonts w:ascii="Calibri" w:hAnsi="Calibri" w:cs="Calibri"/>
          <w:szCs w:val="24"/>
          <w:lang w:val="pt-BR"/>
        </w:rPr>
        <w:t>for substituído por outro do mesmo mutuante com termos substancialmente diferentes</w:t>
      </w:r>
      <w:r>
        <w:rPr>
          <w:rFonts w:ascii="Calibri" w:hAnsi="Calibri" w:cs="Calibri"/>
          <w:szCs w:val="24"/>
          <w:lang w:val="pt-BR"/>
        </w:rPr>
        <w:t>;</w:t>
      </w:r>
    </w:p>
    <w:p w:rsidR="00153B3C" w:rsidRDefault="00BF684A"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Quando</w:t>
      </w:r>
      <w:r w:rsidRPr="00BF684A">
        <w:rPr>
          <w:rFonts w:ascii="Calibri" w:hAnsi="Calibri" w:cs="Calibri"/>
          <w:szCs w:val="24"/>
          <w:lang w:val="pt-BR"/>
        </w:rPr>
        <w:t xml:space="preserve"> os termos de um passivo existente forem significativamente de um novo passivo, sendo a diferença nos correspondentes valores contábeis reconhecida na demonstração do resultado.</w:t>
      </w:r>
    </w:p>
    <w:p w:rsidR="00462F47" w:rsidRPr="00312424" w:rsidRDefault="00462F47" w:rsidP="00905F4A">
      <w:pPr>
        <w:pStyle w:val="Recuodecorpodetexto"/>
        <w:widowControl/>
        <w:autoSpaceDE w:val="0"/>
        <w:autoSpaceDN w:val="0"/>
        <w:rPr>
          <w:rFonts w:ascii="Calibri" w:hAnsi="Calibri" w:cs="Calibri"/>
          <w:szCs w:val="24"/>
          <w:lang w:val="pt-BR"/>
        </w:rPr>
      </w:pPr>
    </w:p>
    <w:p w:rsidR="00C16DDB" w:rsidRPr="00312424" w:rsidRDefault="00C16DDB" w:rsidP="00905F4A">
      <w:pPr>
        <w:pStyle w:val="Recuodecorpodetexto"/>
        <w:widowControl/>
        <w:numPr>
          <w:ilvl w:val="1"/>
          <w:numId w:val="5"/>
        </w:numPr>
        <w:autoSpaceDE w:val="0"/>
        <w:autoSpaceDN w:val="0"/>
        <w:ind w:left="567" w:hanging="141"/>
        <w:rPr>
          <w:rFonts w:ascii="Calibri" w:hAnsi="Calibri" w:cs="Calibri"/>
          <w:b/>
          <w:szCs w:val="24"/>
        </w:rPr>
      </w:pPr>
      <w:r w:rsidRPr="00312424">
        <w:rPr>
          <w:rFonts w:ascii="Calibri" w:hAnsi="Calibri" w:cs="Calibri"/>
          <w:b/>
          <w:szCs w:val="24"/>
        </w:rPr>
        <w:t xml:space="preserve"> C</w:t>
      </w:r>
      <w:r w:rsidRPr="00312424">
        <w:rPr>
          <w:rFonts w:ascii="Calibri" w:hAnsi="Calibri" w:cs="Calibri"/>
          <w:b/>
          <w:szCs w:val="24"/>
          <w:lang w:val="pt-BR"/>
        </w:rPr>
        <w:t>ontas a receber</w:t>
      </w:r>
    </w:p>
    <w:p w:rsidR="00C16DDB" w:rsidRPr="00312424" w:rsidRDefault="00C16DDB" w:rsidP="00905F4A">
      <w:pPr>
        <w:pStyle w:val="Recuodecorpodetexto"/>
        <w:widowControl/>
        <w:autoSpaceDE w:val="0"/>
        <w:autoSpaceDN w:val="0"/>
        <w:ind w:left="1418"/>
        <w:rPr>
          <w:rFonts w:ascii="Calibri" w:hAnsi="Calibri" w:cs="Calibri"/>
          <w:szCs w:val="24"/>
        </w:rPr>
      </w:pPr>
    </w:p>
    <w:p w:rsidR="00C16DDB" w:rsidRPr="00312424" w:rsidRDefault="00C16DDB" w:rsidP="00905F4A">
      <w:pPr>
        <w:pStyle w:val="Recuodecorpodetexto"/>
        <w:widowControl/>
        <w:autoSpaceDE w:val="0"/>
        <w:autoSpaceDN w:val="0"/>
        <w:ind w:left="851"/>
        <w:rPr>
          <w:rFonts w:ascii="Calibri" w:hAnsi="Calibri" w:cs="Calibri"/>
          <w:szCs w:val="24"/>
        </w:rPr>
      </w:pPr>
      <w:r w:rsidRPr="00312424">
        <w:rPr>
          <w:rFonts w:ascii="Calibri" w:hAnsi="Calibri" w:cs="Calibri"/>
          <w:szCs w:val="24"/>
          <w:lang w:val="pt-BR"/>
        </w:rPr>
        <w:t xml:space="preserve">As </w:t>
      </w:r>
      <w:r w:rsidR="00CF6655">
        <w:rPr>
          <w:rFonts w:ascii="Calibri" w:hAnsi="Calibri" w:cs="Calibri"/>
          <w:szCs w:val="24"/>
          <w:lang w:val="pt-BR"/>
        </w:rPr>
        <w:t>C</w:t>
      </w:r>
      <w:r w:rsidRPr="00312424">
        <w:rPr>
          <w:rFonts w:ascii="Calibri" w:hAnsi="Calibri" w:cs="Calibri"/>
          <w:szCs w:val="24"/>
          <w:lang w:val="pt-BR"/>
        </w:rPr>
        <w:t xml:space="preserve">ontas a </w:t>
      </w:r>
      <w:r w:rsidR="00CF6655">
        <w:rPr>
          <w:rFonts w:ascii="Calibri" w:hAnsi="Calibri" w:cs="Calibri"/>
          <w:szCs w:val="24"/>
          <w:lang w:val="pt-BR"/>
        </w:rPr>
        <w:t>R</w:t>
      </w:r>
      <w:r w:rsidRPr="00312424">
        <w:rPr>
          <w:rFonts w:ascii="Calibri" w:hAnsi="Calibri" w:cs="Calibri"/>
          <w:szCs w:val="24"/>
          <w:lang w:val="pt-BR"/>
        </w:rPr>
        <w:t>eceber de clientes referem-se aos recebíveis do ativo circulante, sendo os valores faturados correspondentes ao preço da tarifa vigente na data da prestação dos serviços e, no caso de arrendamento de áreas, pelos valores contratados. No saldo de contas a receber estão incluídos todos os serviços prestados e todas as receitas com arrendamentos até a data do encerramento do exercício. Do total do</w:t>
      </w:r>
      <w:r w:rsidR="00CF6655">
        <w:rPr>
          <w:rFonts w:ascii="Calibri" w:hAnsi="Calibri" w:cs="Calibri"/>
          <w:szCs w:val="24"/>
          <w:lang w:val="pt-BR"/>
        </w:rPr>
        <w:t xml:space="preserve"> C</w:t>
      </w:r>
      <w:r w:rsidRPr="00312424">
        <w:rPr>
          <w:rFonts w:ascii="Calibri" w:hAnsi="Calibri" w:cs="Calibri"/>
          <w:szCs w:val="24"/>
          <w:lang w:val="pt-BR"/>
        </w:rPr>
        <w:t xml:space="preserve">ontas a </w:t>
      </w:r>
      <w:r w:rsidR="00CF6655">
        <w:rPr>
          <w:rFonts w:ascii="Calibri" w:hAnsi="Calibri" w:cs="Calibri"/>
          <w:szCs w:val="24"/>
          <w:lang w:val="pt-BR"/>
        </w:rPr>
        <w:t>R</w:t>
      </w:r>
      <w:r w:rsidRPr="00312424">
        <w:rPr>
          <w:rFonts w:ascii="Calibri" w:hAnsi="Calibri" w:cs="Calibri"/>
          <w:szCs w:val="24"/>
          <w:lang w:val="pt-BR"/>
        </w:rPr>
        <w:t xml:space="preserve">eceber, a Companhia deduz as perdas estimadas com crédito de liquidação duvidosa (PECLD) correspondendo à diferença entre o </w:t>
      </w:r>
      <w:r w:rsidRPr="00312424">
        <w:rPr>
          <w:rFonts w:ascii="Calibri" w:hAnsi="Calibri" w:cs="Calibri"/>
          <w:szCs w:val="24"/>
          <w:lang w:val="pt-BR"/>
        </w:rPr>
        <w:lastRenderedPageBreak/>
        <w:t>valor contábil e o valor recuperável. O prazo médio de recebimento das contas a receber é de 30 dias, prazo considerado como parte das condições comerciais normais e inerentes às operações da Companhia. As PECLD são constituídas em montantes considerados suficientes pela Administração para cobrir as possíveis perda</w:t>
      </w:r>
      <w:r w:rsidR="007B3EDF">
        <w:rPr>
          <w:rFonts w:ascii="Calibri" w:hAnsi="Calibri" w:cs="Calibri"/>
          <w:szCs w:val="24"/>
          <w:lang w:val="pt-BR"/>
        </w:rPr>
        <w:t>s na realização destes créditos</w:t>
      </w:r>
      <w:r w:rsidR="00F366E4">
        <w:rPr>
          <w:rFonts w:ascii="Calibri" w:hAnsi="Calibri" w:cs="Calibri"/>
          <w:szCs w:val="24"/>
          <w:lang w:val="pt-BR"/>
        </w:rPr>
        <w:t>.</w:t>
      </w:r>
    </w:p>
    <w:p w:rsidR="00C16DDB" w:rsidRPr="00312424" w:rsidRDefault="00C16DDB" w:rsidP="00905F4A">
      <w:pPr>
        <w:pStyle w:val="Recuodecorpodetexto"/>
        <w:widowControl/>
        <w:autoSpaceDE w:val="0"/>
        <w:autoSpaceDN w:val="0"/>
        <w:ind w:left="0"/>
        <w:rPr>
          <w:rFonts w:ascii="Calibri" w:hAnsi="Calibri" w:cs="Calibri"/>
          <w:b/>
          <w:szCs w:val="24"/>
          <w:u w:val="single"/>
        </w:rPr>
      </w:pPr>
    </w:p>
    <w:p w:rsidR="00C16DDB" w:rsidRPr="00312424" w:rsidRDefault="00C16DDB" w:rsidP="00905F4A">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Estoques</w:t>
      </w:r>
    </w:p>
    <w:p w:rsidR="00C16DDB" w:rsidRPr="00312424" w:rsidRDefault="00C16DDB" w:rsidP="00905F4A">
      <w:pPr>
        <w:pStyle w:val="Recuodecorpodetexto"/>
        <w:widowControl/>
        <w:autoSpaceDE w:val="0"/>
        <w:autoSpaceDN w:val="0"/>
        <w:ind w:left="1418"/>
        <w:rPr>
          <w:rFonts w:ascii="Calibri" w:hAnsi="Calibri" w:cs="Calibri"/>
          <w:szCs w:val="24"/>
        </w:rPr>
      </w:pPr>
    </w:p>
    <w:p w:rsidR="00C16DDB" w:rsidRPr="00312424" w:rsidRDefault="00C16DDB" w:rsidP="00905F4A">
      <w:pPr>
        <w:pStyle w:val="Recuodecorpodetexto"/>
        <w:ind w:left="851"/>
        <w:rPr>
          <w:rFonts w:ascii="Calibri" w:hAnsi="Calibri" w:cs="Calibri"/>
          <w:szCs w:val="24"/>
        </w:rPr>
      </w:pPr>
      <w:r w:rsidRPr="00312424">
        <w:rPr>
          <w:rFonts w:ascii="Calibri" w:hAnsi="Calibri" w:cs="Calibri"/>
          <w:szCs w:val="24"/>
        </w:rPr>
        <w:t xml:space="preserve">Os </w:t>
      </w:r>
      <w:r w:rsidR="00947D01">
        <w:rPr>
          <w:rFonts w:ascii="Calibri" w:hAnsi="Calibri" w:cs="Calibri"/>
          <w:szCs w:val="24"/>
          <w:lang w:val="pt-BR"/>
        </w:rPr>
        <w:t>e</w:t>
      </w:r>
      <w:r w:rsidR="00CF6655">
        <w:rPr>
          <w:rFonts w:ascii="Calibri" w:hAnsi="Calibri" w:cs="Calibri"/>
          <w:szCs w:val="24"/>
          <w:lang w:val="pt-BR"/>
        </w:rPr>
        <w:t xml:space="preserve">stoques </w:t>
      </w:r>
      <w:r w:rsidRPr="00312424">
        <w:rPr>
          <w:rFonts w:ascii="Calibri" w:hAnsi="Calibri" w:cs="Calibri"/>
          <w:szCs w:val="24"/>
        </w:rPr>
        <w:t xml:space="preserve">referem-se a </w:t>
      </w:r>
      <w:r w:rsidRPr="00312424">
        <w:rPr>
          <w:rFonts w:ascii="Calibri" w:hAnsi="Calibri" w:cs="Calibri"/>
          <w:szCs w:val="24"/>
          <w:lang w:val="pt-BR"/>
        </w:rPr>
        <w:t>itens de almoxarifado</w:t>
      </w:r>
      <w:r w:rsidRPr="00312424">
        <w:rPr>
          <w:rFonts w:ascii="Calibri" w:hAnsi="Calibri" w:cs="Calibri"/>
          <w:szCs w:val="24"/>
        </w:rPr>
        <w:t xml:space="preserve"> a serem utilizados nas atividades da </w:t>
      </w:r>
      <w:r w:rsidR="003924AB">
        <w:rPr>
          <w:rFonts w:ascii="Calibri" w:hAnsi="Calibri" w:cs="Calibri"/>
          <w:szCs w:val="24"/>
          <w:lang w:val="pt-BR"/>
        </w:rPr>
        <w:t>Companhia</w:t>
      </w:r>
      <w:r w:rsidRPr="00312424">
        <w:rPr>
          <w:rFonts w:ascii="Calibri" w:hAnsi="Calibri" w:cs="Calibri"/>
          <w:szCs w:val="24"/>
        </w:rPr>
        <w:t xml:space="preserve"> e estão avaliados ao custo médio de aquisição, não excedendo o valor de mercado.</w:t>
      </w:r>
    </w:p>
    <w:p w:rsidR="00C16DDB" w:rsidRPr="00312424" w:rsidRDefault="00C16DDB" w:rsidP="00905F4A">
      <w:pPr>
        <w:pStyle w:val="Recuodecorpodetexto"/>
        <w:widowControl/>
        <w:autoSpaceDE w:val="0"/>
        <w:autoSpaceDN w:val="0"/>
        <w:ind w:left="1353"/>
        <w:rPr>
          <w:rFonts w:ascii="Calibri" w:hAnsi="Calibri" w:cs="Calibri"/>
          <w:b/>
          <w:szCs w:val="24"/>
          <w:lang w:val="pt-BR"/>
        </w:rPr>
      </w:pPr>
    </w:p>
    <w:p w:rsidR="00C16DDB" w:rsidRPr="00312424" w:rsidRDefault="00C16DDB" w:rsidP="00905F4A">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 xml:space="preserve">Créditos </w:t>
      </w:r>
      <w:r w:rsidR="00CF6655">
        <w:rPr>
          <w:rFonts w:ascii="Calibri" w:hAnsi="Calibri" w:cs="Calibri"/>
          <w:b/>
          <w:szCs w:val="24"/>
          <w:lang w:val="pt-BR"/>
        </w:rPr>
        <w:t>F</w:t>
      </w:r>
      <w:r w:rsidRPr="00312424">
        <w:rPr>
          <w:rFonts w:ascii="Calibri" w:hAnsi="Calibri" w:cs="Calibri"/>
          <w:b/>
          <w:szCs w:val="24"/>
          <w:lang w:val="pt-BR"/>
        </w:rPr>
        <w:t xml:space="preserve">iscais a </w:t>
      </w:r>
      <w:r w:rsidR="00CF6655">
        <w:rPr>
          <w:rFonts w:ascii="Calibri" w:hAnsi="Calibri" w:cs="Calibri"/>
          <w:b/>
          <w:szCs w:val="24"/>
          <w:lang w:val="pt-BR"/>
        </w:rPr>
        <w:t>R</w:t>
      </w:r>
      <w:r w:rsidRPr="00312424">
        <w:rPr>
          <w:rFonts w:ascii="Calibri" w:hAnsi="Calibri" w:cs="Calibri"/>
          <w:b/>
          <w:szCs w:val="24"/>
          <w:lang w:val="pt-BR"/>
        </w:rPr>
        <w:t>ecuperar</w:t>
      </w:r>
    </w:p>
    <w:p w:rsidR="00C16DDB" w:rsidRPr="00312424" w:rsidRDefault="00C16DDB" w:rsidP="00905F4A">
      <w:pPr>
        <w:pStyle w:val="Recuodecorpodetexto"/>
        <w:widowControl/>
        <w:autoSpaceDE w:val="0"/>
        <w:autoSpaceDN w:val="0"/>
        <w:ind w:left="1418"/>
        <w:rPr>
          <w:rFonts w:ascii="Calibri" w:hAnsi="Calibri" w:cs="Calibri"/>
          <w:szCs w:val="24"/>
        </w:rPr>
      </w:pPr>
    </w:p>
    <w:p w:rsidR="00C16DDB" w:rsidRPr="00E606FD" w:rsidRDefault="00C16DDB" w:rsidP="00905F4A">
      <w:pPr>
        <w:pStyle w:val="Recuodecorpodetexto"/>
        <w:ind w:left="851"/>
        <w:rPr>
          <w:rFonts w:ascii="Calibri" w:hAnsi="Calibri" w:cs="Calibri"/>
          <w:szCs w:val="24"/>
          <w:lang w:val="pt-BR"/>
        </w:rPr>
      </w:pPr>
      <w:r w:rsidRPr="00312424">
        <w:rPr>
          <w:rFonts w:ascii="Calibri" w:hAnsi="Calibri" w:cs="Calibri"/>
          <w:szCs w:val="24"/>
          <w:lang w:val="pt-BR"/>
        </w:rPr>
        <w:t>Correspondem aos saldos credores de PIS e COFINS a serem utilizados para futuras compensações</w:t>
      </w:r>
      <w:r w:rsidR="00E606FD">
        <w:rPr>
          <w:rFonts w:ascii="Calibri" w:hAnsi="Calibri" w:cs="Calibri"/>
          <w:szCs w:val="24"/>
        </w:rPr>
        <w:t xml:space="preserve">, </w:t>
      </w:r>
      <w:r w:rsidR="00E606FD">
        <w:rPr>
          <w:rFonts w:ascii="Calibri" w:hAnsi="Calibri" w:cs="Calibri"/>
          <w:szCs w:val="24"/>
          <w:lang w:val="pt-BR"/>
        </w:rPr>
        <w:t>além do imposto de renda sobre aplicações financeiras e imposto de renda e contribuição social retid</w:t>
      </w:r>
      <w:r w:rsidR="006715E0">
        <w:rPr>
          <w:rFonts w:ascii="Calibri" w:hAnsi="Calibri" w:cs="Calibri"/>
          <w:szCs w:val="24"/>
          <w:lang w:val="pt-BR"/>
        </w:rPr>
        <w:t>o</w:t>
      </w:r>
      <w:r w:rsidR="00E606FD">
        <w:rPr>
          <w:rFonts w:ascii="Calibri" w:hAnsi="Calibri" w:cs="Calibri"/>
          <w:szCs w:val="24"/>
          <w:lang w:val="pt-BR"/>
        </w:rPr>
        <w:t>s por outros órgãos públicos.</w:t>
      </w:r>
    </w:p>
    <w:p w:rsidR="00C16DDB" w:rsidRPr="00312424" w:rsidRDefault="00C16DDB" w:rsidP="00905F4A">
      <w:pPr>
        <w:pStyle w:val="Recuodecorpodetexto"/>
        <w:widowControl/>
        <w:autoSpaceDE w:val="0"/>
        <w:autoSpaceDN w:val="0"/>
        <w:ind w:left="1353"/>
        <w:rPr>
          <w:rFonts w:ascii="Calibri" w:hAnsi="Calibri" w:cs="Calibri"/>
          <w:b/>
          <w:szCs w:val="24"/>
          <w:lang w:val="pt-BR"/>
        </w:rPr>
      </w:pPr>
    </w:p>
    <w:p w:rsidR="00C16DDB" w:rsidRPr="00312424" w:rsidRDefault="00C16DDB" w:rsidP="00905F4A">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 xml:space="preserve">Bens em </w:t>
      </w:r>
      <w:r w:rsidR="00E606FD">
        <w:rPr>
          <w:rFonts w:ascii="Calibri" w:hAnsi="Calibri" w:cs="Calibri"/>
          <w:b/>
          <w:szCs w:val="24"/>
          <w:lang w:val="pt-BR"/>
        </w:rPr>
        <w:t>P</w:t>
      </w:r>
      <w:r w:rsidRPr="00312424">
        <w:rPr>
          <w:rFonts w:ascii="Calibri" w:hAnsi="Calibri" w:cs="Calibri"/>
          <w:b/>
          <w:szCs w:val="24"/>
          <w:lang w:val="pt-BR"/>
        </w:rPr>
        <w:t xml:space="preserve">rocesso de </w:t>
      </w:r>
      <w:r w:rsidR="00E606FD">
        <w:rPr>
          <w:rFonts w:ascii="Calibri" w:hAnsi="Calibri" w:cs="Calibri"/>
          <w:b/>
          <w:szCs w:val="24"/>
          <w:lang w:val="pt-BR"/>
        </w:rPr>
        <w:t>C</w:t>
      </w:r>
      <w:r w:rsidRPr="00312424">
        <w:rPr>
          <w:rFonts w:ascii="Calibri" w:hAnsi="Calibri" w:cs="Calibri"/>
          <w:b/>
          <w:szCs w:val="24"/>
          <w:lang w:val="pt-BR"/>
        </w:rPr>
        <w:t>essão</w:t>
      </w:r>
    </w:p>
    <w:p w:rsidR="00C16DDB" w:rsidRPr="00312424" w:rsidRDefault="00C16DDB" w:rsidP="00905F4A">
      <w:pPr>
        <w:pStyle w:val="Recuodecorpodetexto"/>
        <w:widowControl/>
        <w:autoSpaceDE w:val="0"/>
        <w:autoSpaceDN w:val="0"/>
        <w:ind w:left="1418"/>
        <w:rPr>
          <w:rFonts w:ascii="Calibri" w:hAnsi="Calibri" w:cs="Calibri"/>
          <w:szCs w:val="24"/>
        </w:rPr>
      </w:pPr>
    </w:p>
    <w:p w:rsidR="00C16DDB" w:rsidRPr="00312424" w:rsidRDefault="00C16DDB" w:rsidP="00905F4A">
      <w:pPr>
        <w:pStyle w:val="Recuodecorpodetexto"/>
        <w:ind w:left="851"/>
        <w:rPr>
          <w:rFonts w:ascii="Calibri" w:hAnsi="Calibri" w:cs="Calibri"/>
          <w:szCs w:val="24"/>
        </w:rPr>
      </w:pPr>
      <w:r w:rsidRPr="00312424">
        <w:rPr>
          <w:rFonts w:ascii="Calibri" w:hAnsi="Calibri" w:cs="Calibri"/>
          <w:szCs w:val="24"/>
          <w:lang w:val="pt-BR"/>
        </w:rPr>
        <w:t>Uma vez classificados como bens disponibilizados para vendas e/ou cessão, os ativos não são depreciados e seu registro se dá pelo menor valor entre seu valor r</w:t>
      </w:r>
      <w:r w:rsidR="00E37661">
        <w:rPr>
          <w:rFonts w:ascii="Calibri" w:hAnsi="Calibri" w:cs="Calibri"/>
          <w:szCs w:val="24"/>
          <w:lang w:val="pt-BR"/>
        </w:rPr>
        <w:t>esidual e seu valor de mercado.</w:t>
      </w:r>
    </w:p>
    <w:p w:rsidR="00C16DDB" w:rsidRPr="00312424" w:rsidRDefault="00C16DDB" w:rsidP="00905F4A">
      <w:pPr>
        <w:pStyle w:val="Recuodecorpodetexto"/>
        <w:widowControl/>
        <w:autoSpaceDE w:val="0"/>
        <w:autoSpaceDN w:val="0"/>
        <w:ind w:left="1353"/>
        <w:rPr>
          <w:rFonts w:ascii="Calibri" w:hAnsi="Calibri" w:cs="Calibri"/>
          <w:b/>
          <w:szCs w:val="24"/>
          <w:lang w:val="pt-BR"/>
        </w:rPr>
      </w:pPr>
    </w:p>
    <w:p w:rsidR="00C16DDB" w:rsidRPr="00312424" w:rsidRDefault="00E606FD" w:rsidP="00905F4A">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 xml:space="preserve">Cauções e </w:t>
      </w:r>
      <w:r>
        <w:rPr>
          <w:rFonts w:ascii="Calibri" w:hAnsi="Calibri" w:cs="Calibri"/>
          <w:b/>
          <w:szCs w:val="24"/>
          <w:lang w:val="pt-BR"/>
        </w:rPr>
        <w:t>D</w:t>
      </w:r>
      <w:r w:rsidRPr="00312424">
        <w:rPr>
          <w:rFonts w:ascii="Calibri" w:hAnsi="Calibri" w:cs="Calibri"/>
          <w:b/>
          <w:szCs w:val="24"/>
          <w:lang w:val="pt-BR"/>
        </w:rPr>
        <w:t xml:space="preserve">epósitos </w:t>
      </w:r>
      <w:r>
        <w:rPr>
          <w:rFonts w:ascii="Calibri" w:hAnsi="Calibri" w:cs="Calibri"/>
          <w:b/>
          <w:szCs w:val="24"/>
          <w:lang w:val="pt-BR"/>
        </w:rPr>
        <w:t>Vinculados</w:t>
      </w:r>
    </w:p>
    <w:p w:rsidR="00C16DDB" w:rsidRPr="00312424" w:rsidRDefault="00C16DDB" w:rsidP="00905F4A">
      <w:pPr>
        <w:pStyle w:val="Recuodecorpodetexto"/>
        <w:widowControl/>
        <w:autoSpaceDE w:val="0"/>
        <w:autoSpaceDN w:val="0"/>
        <w:ind w:left="1418"/>
        <w:rPr>
          <w:rFonts w:ascii="Calibri" w:hAnsi="Calibri" w:cs="Calibri"/>
          <w:szCs w:val="24"/>
        </w:rPr>
      </w:pPr>
    </w:p>
    <w:p w:rsidR="00C16DDB" w:rsidRPr="00312424" w:rsidRDefault="00C16DDB" w:rsidP="00905F4A">
      <w:pPr>
        <w:pStyle w:val="Recuodecorpodetexto"/>
        <w:ind w:left="851"/>
        <w:rPr>
          <w:rFonts w:ascii="Calibri" w:hAnsi="Calibri" w:cs="Calibri"/>
          <w:szCs w:val="24"/>
          <w:lang w:val="pt-BR"/>
        </w:rPr>
      </w:pPr>
      <w:r w:rsidRPr="00312424">
        <w:rPr>
          <w:rFonts w:ascii="Calibri" w:hAnsi="Calibri" w:cs="Calibri"/>
          <w:szCs w:val="24"/>
          <w:lang w:val="pt-BR"/>
        </w:rPr>
        <w:t>Correspondem a valores bloqueados e valores dados em garantia em processos de cobrança, os quais a Companhia mantém discussão</w:t>
      </w:r>
      <w:r w:rsidR="00BD3CB0">
        <w:rPr>
          <w:rFonts w:ascii="Calibri" w:hAnsi="Calibri" w:cs="Calibri"/>
          <w:szCs w:val="24"/>
          <w:lang w:val="pt-BR"/>
        </w:rPr>
        <w:t xml:space="preserve"> judicial</w:t>
      </w:r>
      <w:r w:rsidRPr="00312424">
        <w:rPr>
          <w:rFonts w:ascii="Calibri" w:hAnsi="Calibri" w:cs="Calibri"/>
          <w:szCs w:val="24"/>
          <w:lang w:val="pt-BR"/>
        </w:rPr>
        <w:t xml:space="preserve"> acerca dos valores envolvidos e sua exigibilidade.</w:t>
      </w:r>
    </w:p>
    <w:p w:rsidR="006715E0" w:rsidRPr="00312424" w:rsidRDefault="006715E0" w:rsidP="00905F4A">
      <w:pPr>
        <w:pStyle w:val="Recuodecorpodetexto"/>
        <w:widowControl/>
        <w:autoSpaceDE w:val="0"/>
        <w:autoSpaceDN w:val="0"/>
        <w:ind w:left="1353"/>
        <w:rPr>
          <w:rFonts w:ascii="Calibri" w:hAnsi="Calibri" w:cs="Calibri"/>
          <w:b/>
          <w:szCs w:val="24"/>
          <w:lang w:val="pt-BR"/>
        </w:rPr>
      </w:pPr>
    </w:p>
    <w:p w:rsidR="00C16DDB" w:rsidRPr="00312424" w:rsidRDefault="00C16DDB" w:rsidP="00905F4A">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 xml:space="preserve">Propriedade para </w:t>
      </w:r>
      <w:r w:rsidR="00E606FD">
        <w:rPr>
          <w:rFonts w:ascii="Calibri" w:hAnsi="Calibri" w:cs="Calibri"/>
          <w:b/>
          <w:szCs w:val="24"/>
          <w:lang w:val="pt-BR"/>
        </w:rPr>
        <w:t>I</w:t>
      </w:r>
      <w:r w:rsidRPr="00312424">
        <w:rPr>
          <w:rFonts w:ascii="Calibri" w:hAnsi="Calibri" w:cs="Calibri"/>
          <w:b/>
          <w:szCs w:val="24"/>
          <w:lang w:val="pt-BR"/>
        </w:rPr>
        <w:t>nvestimentos</w:t>
      </w:r>
    </w:p>
    <w:p w:rsidR="00C16DDB" w:rsidRPr="00312424" w:rsidRDefault="00C16DDB" w:rsidP="00905F4A">
      <w:pPr>
        <w:pStyle w:val="Recuodecorpodetexto"/>
        <w:widowControl/>
        <w:autoSpaceDE w:val="0"/>
        <w:autoSpaceDN w:val="0"/>
        <w:ind w:left="1418"/>
        <w:rPr>
          <w:rFonts w:ascii="Calibri" w:hAnsi="Calibri" w:cs="Calibri"/>
          <w:szCs w:val="24"/>
        </w:rPr>
      </w:pPr>
    </w:p>
    <w:p w:rsidR="00C16DDB" w:rsidRPr="00312424" w:rsidRDefault="00C16DDB" w:rsidP="00905F4A">
      <w:pPr>
        <w:pStyle w:val="Ttulo3"/>
        <w:ind w:left="851"/>
        <w:jc w:val="both"/>
        <w:rPr>
          <w:rFonts w:ascii="Calibri" w:hAnsi="Calibri" w:cs="Calibri"/>
          <w:sz w:val="24"/>
          <w:szCs w:val="24"/>
        </w:rPr>
      </w:pPr>
      <w:r w:rsidRPr="00312424">
        <w:rPr>
          <w:rFonts w:ascii="Calibri" w:hAnsi="Calibri" w:cs="Calibri"/>
          <w:sz w:val="24"/>
          <w:szCs w:val="24"/>
        </w:rPr>
        <w:t xml:space="preserve">Propriedade mantida para auferir receita de aluguel ou para valorização de capital e não para venda no curso normal dos negócios, utilização na produção ou fornecimento de produtos ou serviços ou para propósitos administrativos. A propriedade é mensurada pelo custo no reconhecimento inicial. </w:t>
      </w:r>
    </w:p>
    <w:p w:rsidR="00AE3EE6" w:rsidRPr="00312424" w:rsidRDefault="00AE3EE6" w:rsidP="00905F4A">
      <w:pPr>
        <w:rPr>
          <w:rFonts w:ascii="Calibri" w:hAnsi="Calibri" w:cs="Calibri"/>
          <w:sz w:val="24"/>
          <w:szCs w:val="24"/>
        </w:rPr>
      </w:pPr>
    </w:p>
    <w:p w:rsidR="00C16DDB" w:rsidRPr="00312424" w:rsidRDefault="00C16DDB" w:rsidP="00905F4A">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Imobilizado</w:t>
      </w:r>
    </w:p>
    <w:p w:rsidR="00C16DDB" w:rsidRPr="00312424" w:rsidRDefault="00C16DDB" w:rsidP="00905F4A">
      <w:pPr>
        <w:pStyle w:val="Recuodecorpodetexto"/>
        <w:widowControl/>
        <w:autoSpaceDE w:val="0"/>
        <w:autoSpaceDN w:val="0"/>
        <w:ind w:left="1418"/>
        <w:rPr>
          <w:rFonts w:ascii="Calibri" w:hAnsi="Calibri" w:cs="Calibri"/>
          <w:szCs w:val="24"/>
        </w:rPr>
      </w:pPr>
    </w:p>
    <w:p w:rsidR="00861708" w:rsidRDefault="00C16DDB" w:rsidP="00905F4A">
      <w:pPr>
        <w:pStyle w:val="Ttulo3"/>
        <w:ind w:left="851"/>
        <w:jc w:val="both"/>
        <w:rPr>
          <w:rFonts w:ascii="Calibri" w:hAnsi="Calibri" w:cs="Calibri"/>
          <w:sz w:val="24"/>
          <w:szCs w:val="24"/>
        </w:rPr>
      </w:pPr>
      <w:r w:rsidRPr="00312424">
        <w:rPr>
          <w:rFonts w:ascii="Calibri" w:hAnsi="Calibri" w:cs="Calibri"/>
          <w:sz w:val="24"/>
          <w:szCs w:val="24"/>
        </w:rPr>
        <w:t xml:space="preserve">O </w:t>
      </w:r>
      <w:r w:rsidR="00E606FD">
        <w:rPr>
          <w:rFonts w:ascii="Calibri" w:hAnsi="Calibri" w:cs="Calibri"/>
          <w:sz w:val="24"/>
          <w:szCs w:val="24"/>
        </w:rPr>
        <w:tab/>
      </w:r>
      <w:r w:rsidR="00947D01">
        <w:rPr>
          <w:rFonts w:ascii="Calibri" w:hAnsi="Calibri" w:cs="Calibri"/>
          <w:sz w:val="24"/>
          <w:szCs w:val="24"/>
        </w:rPr>
        <w:t>i</w:t>
      </w:r>
      <w:r w:rsidRPr="00312424">
        <w:rPr>
          <w:rFonts w:ascii="Calibri" w:hAnsi="Calibri" w:cs="Calibri"/>
          <w:sz w:val="24"/>
          <w:szCs w:val="24"/>
        </w:rPr>
        <w:t xml:space="preserve">mobilizado </w:t>
      </w:r>
      <w:r w:rsidR="00861708">
        <w:rPr>
          <w:rFonts w:ascii="Calibri" w:hAnsi="Calibri" w:cs="Calibri"/>
          <w:sz w:val="24"/>
          <w:szCs w:val="24"/>
        </w:rPr>
        <w:t xml:space="preserve">é registrado pelo valor de </w:t>
      </w:r>
      <w:r w:rsidRPr="00312424">
        <w:rPr>
          <w:rFonts w:ascii="Calibri" w:hAnsi="Calibri" w:cs="Calibri"/>
          <w:sz w:val="24"/>
          <w:szCs w:val="24"/>
        </w:rPr>
        <w:t>custo</w:t>
      </w:r>
      <w:r w:rsidR="00861708">
        <w:rPr>
          <w:rFonts w:ascii="Calibri" w:hAnsi="Calibri" w:cs="Calibri"/>
          <w:sz w:val="24"/>
          <w:szCs w:val="24"/>
        </w:rPr>
        <w:t>, o qual é formado pelo custo</w:t>
      </w:r>
      <w:r w:rsidRPr="00312424">
        <w:rPr>
          <w:rFonts w:ascii="Calibri" w:hAnsi="Calibri" w:cs="Calibri"/>
          <w:sz w:val="24"/>
          <w:szCs w:val="24"/>
        </w:rPr>
        <w:t xml:space="preserve"> de aquisição,</w:t>
      </w:r>
      <w:r w:rsidR="00861708">
        <w:rPr>
          <w:rFonts w:ascii="Calibri" w:hAnsi="Calibri" w:cs="Calibri"/>
          <w:sz w:val="24"/>
          <w:szCs w:val="24"/>
        </w:rPr>
        <w:t xml:space="preserve"> formação ou construção, adicionados os juros e demais encargos financeiros incorridos durante a construção ou desenvolvimento de projetos, líquido</w:t>
      </w:r>
      <w:r w:rsidRPr="00312424">
        <w:rPr>
          <w:rFonts w:ascii="Calibri" w:hAnsi="Calibri" w:cs="Calibri"/>
          <w:sz w:val="24"/>
          <w:szCs w:val="24"/>
        </w:rPr>
        <w:t xml:space="preserve"> de depreciação</w:t>
      </w:r>
      <w:r w:rsidR="00861708">
        <w:rPr>
          <w:rFonts w:ascii="Calibri" w:hAnsi="Calibri" w:cs="Calibri"/>
          <w:sz w:val="24"/>
          <w:szCs w:val="24"/>
        </w:rPr>
        <w:t>.</w:t>
      </w:r>
      <w:r w:rsidRPr="00312424">
        <w:rPr>
          <w:rFonts w:ascii="Calibri" w:hAnsi="Calibri" w:cs="Calibri"/>
          <w:sz w:val="24"/>
          <w:szCs w:val="24"/>
        </w:rPr>
        <w:t xml:space="preserve"> </w:t>
      </w:r>
    </w:p>
    <w:p w:rsidR="00F5394A" w:rsidRPr="00F5394A" w:rsidRDefault="00F5394A" w:rsidP="00F5394A"/>
    <w:p w:rsidR="00F5394A" w:rsidRPr="00D711D0" w:rsidRDefault="00F5394A" w:rsidP="00F5394A">
      <w:pPr>
        <w:pStyle w:val="PargrafodaLista"/>
        <w:numPr>
          <w:ilvl w:val="0"/>
          <w:numId w:val="26"/>
        </w:numPr>
        <w:jc w:val="both"/>
        <w:rPr>
          <w:rFonts w:cs="Calibri"/>
          <w:b/>
          <w:sz w:val="24"/>
          <w:szCs w:val="24"/>
        </w:rPr>
      </w:pPr>
      <w:r w:rsidRPr="00D711D0">
        <w:rPr>
          <w:rFonts w:cs="Calibri"/>
          <w:b/>
          <w:sz w:val="24"/>
          <w:szCs w:val="24"/>
          <w:u w:val="single"/>
        </w:rPr>
        <w:t>T</w:t>
      </w:r>
      <w:r w:rsidR="00B328CF">
        <w:rPr>
          <w:rFonts w:cs="Calibri"/>
          <w:b/>
          <w:sz w:val="24"/>
          <w:szCs w:val="24"/>
          <w:u w:val="single"/>
        </w:rPr>
        <w:t xml:space="preserve">este de </w:t>
      </w:r>
      <w:proofErr w:type="spellStart"/>
      <w:r w:rsidR="00B328CF">
        <w:rPr>
          <w:rFonts w:cs="Calibri"/>
          <w:b/>
          <w:sz w:val="24"/>
          <w:szCs w:val="24"/>
          <w:u w:val="single"/>
        </w:rPr>
        <w:t>recuperabilidade</w:t>
      </w:r>
      <w:proofErr w:type="spellEnd"/>
      <w:r w:rsidRPr="00D711D0">
        <w:rPr>
          <w:rFonts w:cs="Calibri"/>
          <w:b/>
          <w:sz w:val="24"/>
          <w:szCs w:val="24"/>
          <w:u w:val="single"/>
        </w:rPr>
        <w:t xml:space="preserve"> – </w:t>
      </w:r>
      <w:proofErr w:type="spellStart"/>
      <w:r w:rsidRPr="00D711D0">
        <w:rPr>
          <w:rFonts w:cs="Calibri"/>
          <w:b/>
          <w:i/>
          <w:sz w:val="24"/>
          <w:szCs w:val="24"/>
          <w:u w:val="single"/>
        </w:rPr>
        <w:t>I</w:t>
      </w:r>
      <w:r w:rsidR="00B328CF">
        <w:rPr>
          <w:rFonts w:cs="Calibri"/>
          <w:b/>
          <w:i/>
          <w:sz w:val="24"/>
          <w:szCs w:val="24"/>
          <w:u w:val="single"/>
        </w:rPr>
        <w:t>mpairment</w:t>
      </w:r>
      <w:proofErr w:type="spellEnd"/>
    </w:p>
    <w:p w:rsidR="00F5394A" w:rsidRDefault="00F5394A" w:rsidP="00F5394A">
      <w:pPr>
        <w:ind w:left="851"/>
        <w:jc w:val="both"/>
        <w:rPr>
          <w:rFonts w:ascii="Calibri" w:hAnsi="Calibri" w:cs="Calibri"/>
          <w:noProof/>
          <w:snapToGrid/>
          <w:sz w:val="24"/>
          <w:szCs w:val="24"/>
        </w:rPr>
      </w:pPr>
      <w:r w:rsidRPr="00312424">
        <w:rPr>
          <w:rFonts w:ascii="Calibri" w:hAnsi="Calibri" w:cs="Calibri"/>
          <w:noProof/>
          <w:snapToGrid/>
          <w:sz w:val="24"/>
          <w:szCs w:val="24"/>
        </w:rPr>
        <mc:AlternateContent>
          <mc:Choice Requires="wps">
            <w:drawing>
              <wp:anchor distT="0" distB="0" distL="114300" distR="114300" simplePos="0" relativeHeight="251663872" behindDoc="0" locked="0" layoutInCell="0" allowOverlap="1" wp14:anchorId="29D90AFB" wp14:editId="06870FE3">
                <wp:simplePos x="0" y="0"/>
                <wp:positionH relativeFrom="column">
                  <wp:posOffset>167005</wp:posOffset>
                </wp:positionH>
                <wp:positionV relativeFrom="paragraph">
                  <wp:posOffset>753745</wp:posOffset>
                </wp:positionV>
                <wp:extent cx="1581785" cy="91440"/>
                <wp:effectExtent l="0" t="0" r="0" b="0"/>
                <wp:wrapNone/>
                <wp:docPr id="8" name="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wps:spPr>
                      <wps:txbx>
                        <w:txbxContent>
                          <w:p w:rsidR="00D4531E" w:rsidRPr="00E936EC" w:rsidRDefault="00D4531E" w:rsidP="00F5394A">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0AFB" id="_x0000_t202" coordsize="21600,21600" o:spt="202" path="m,l,21600r21600,l21600,xe">
                <v:stroke joinstyle="miter"/>
                <v:path gradientshapeok="t" o:connecttype="rect"/>
              </v:shapetype>
              <v:shape id="Texto 2" o:spid="_x0000_s1026" type="#_x0000_t202" style="position:absolute;left:0;text-align:left;margin-left:13.15pt;margin-top:59.35pt;width:124.55pt;height:7.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vV4rQIAALI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" o:allowincell="f" filled="f" stroked="f" strokeweight="3e-5mm">
                <v:textbox>
                  <w:txbxContent>
                    <w:p w:rsidR="00D4531E" w:rsidRPr="00E936EC" w:rsidRDefault="00D4531E" w:rsidP="00F5394A">
                      <w:pPr>
                        <w:rPr>
                          <w:sz w:val="18"/>
                          <w:szCs w:val="18"/>
                        </w:rPr>
                      </w:pPr>
                    </w:p>
                  </w:txbxContent>
                </v:textbox>
              </v:shape>
            </w:pict>
          </mc:Fallback>
        </mc:AlternateContent>
      </w:r>
      <w:r>
        <w:rPr>
          <w:rFonts w:ascii="Calibri" w:hAnsi="Calibri" w:cs="Calibri"/>
          <w:noProof/>
          <w:snapToGrid/>
          <w:sz w:val="24"/>
          <w:szCs w:val="24"/>
        </w:rPr>
        <w:t xml:space="preserve">Em 2019, a CDRJ celebrou o contrato nº 034/2019 com a empresa Convergy Serviços e Contabilidade Ltda. para a prestação de serviços de análise e avaliação da redução ao valor recuperável de ativos e análise contábil dos valores registrados no Ativo Imobilizado e no Intangível, para cálculos do valor do </w:t>
      </w:r>
      <w:r w:rsidRPr="00DA75D1">
        <w:rPr>
          <w:rFonts w:ascii="Calibri" w:hAnsi="Calibri" w:cs="Calibri"/>
          <w:i/>
          <w:noProof/>
          <w:snapToGrid/>
          <w:sz w:val="24"/>
          <w:szCs w:val="24"/>
        </w:rPr>
        <w:t>impairment</w:t>
      </w:r>
      <w:r>
        <w:rPr>
          <w:rFonts w:ascii="Calibri" w:hAnsi="Calibri" w:cs="Calibri"/>
          <w:noProof/>
          <w:snapToGrid/>
          <w:sz w:val="24"/>
          <w:szCs w:val="24"/>
        </w:rPr>
        <w:t xml:space="preserve">, vida útil residual e elaboração do fluxo de </w:t>
      </w:r>
      <w:r>
        <w:rPr>
          <w:rFonts w:ascii="Calibri" w:hAnsi="Calibri" w:cs="Calibri"/>
          <w:noProof/>
          <w:snapToGrid/>
          <w:sz w:val="24"/>
          <w:szCs w:val="24"/>
        </w:rPr>
        <w:lastRenderedPageBreak/>
        <w:t>caixa por Unidade Geradora de Caixa – UGC.</w:t>
      </w:r>
    </w:p>
    <w:p w:rsidR="00F5394A" w:rsidRDefault="00F5394A" w:rsidP="00F5394A">
      <w:pPr>
        <w:ind w:left="851"/>
        <w:jc w:val="both"/>
        <w:rPr>
          <w:rFonts w:ascii="Calibri" w:hAnsi="Calibri" w:cs="Calibri"/>
          <w:noProof/>
          <w:snapToGrid/>
          <w:sz w:val="24"/>
          <w:szCs w:val="24"/>
        </w:rPr>
      </w:pPr>
    </w:p>
    <w:p w:rsidR="00F5394A" w:rsidRDefault="00F5394A" w:rsidP="00F5394A">
      <w:pPr>
        <w:ind w:left="851"/>
        <w:jc w:val="both"/>
        <w:rPr>
          <w:rFonts w:ascii="Calibri" w:hAnsi="Calibri" w:cs="Calibri"/>
          <w:noProof/>
          <w:snapToGrid/>
          <w:sz w:val="24"/>
          <w:szCs w:val="24"/>
        </w:rPr>
      </w:pPr>
      <w:r>
        <w:rPr>
          <w:rFonts w:ascii="Calibri" w:hAnsi="Calibri" w:cs="Calibri"/>
          <w:noProof/>
          <w:snapToGrid/>
          <w:sz w:val="24"/>
          <w:szCs w:val="24"/>
        </w:rPr>
        <w:t>A contratada definiu a realização do teste de impairment, inicialmente, utilizando-se da abordagem de Valor em Uso para testar os ativos, dada a sua praticidade, valor preditivo e completa aderência à definição de ativo, segundo o IFRS.</w:t>
      </w:r>
    </w:p>
    <w:p w:rsidR="00F5394A" w:rsidRDefault="00F5394A" w:rsidP="00F5394A">
      <w:pPr>
        <w:ind w:left="851"/>
        <w:jc w:val="both"/>
        <w:rPr>
          <w:rFonts w:ascii="Calibri" w:hAnsi="Calibri" w:cs="Calibri"/>
          <w:noProof/>
          <w:snapToGrid/>
          <w:sz w:val="24"/>
          <w:szCs w:val="24"/>
        </w:rPr>
      </w:pPr>
    </w:p>
    <w:p w:rsidR="00F5394A" w:rsidRDefault="00F5394A" w:rsidP="00F5394A">
      <w:pPr>
        <w:ind w:left="851"/>
        <w:jc w:val="both"/>
        <w:rPr>
          <w:rFonts w:ascii="Calibri" w:hAnsi="Calibri" w:cs="Calibri"/>
          <w:noProof/>
          <w:snapToGrid/>
          <w:sz w:val="24"/>
          <w:szCs w:val="24"/>
        </w:rPr>
      </w:pPr>
      <w:r>
        <w:rPr>
          <w:rFonts w:ascii="Calibri" w:hAnsi="Calibri" w:cs="Calibri"/>
          <w:noProof/>
          <w:snapToGrid/>
          <w:sz w:val="24"/>
          <w:szCs w:val="24"/>
        </w:rPr>
        <w:t>Foram identificadas quatro Unidades Geradoras de Caixa: UGC Porto do Rio de Janeiro, UGC Porto Niterói, UGC Porto de Itaguaí e UGC Porto de Angra dos Reis.</w:t>
      </w:r>
    </w:p>
    <w:p w:rsidR="001C4695" w:rsidRDefault="001C4695" w:rsidP="00F5394A">
      <w:pPr>
        <w:ind w:left="851"/>
        <w:jc w:val="both"/>
        <w:rPr>
          <w:rFonts w:ascii="Calibri" w:hAnsi="Calibri" w:cs="Calibri"/>
          <w:noProof/>
          <w:snapToGrid/>
          <w:sz w:val="24"/>
          <w:szCs w:val="24"/>
        </w:rPr>
      </w:pPr>
    </w:p>
    <w:p w:rsidR="00F5394A" w:rsidRDefault="00F5394A" w:rsidP="00F5394A">
      <w:pPr>
        <w:ind w:left="851"/>
        <w:jc w:val="both"/>
        <w:rPr>
          <w:rFonts w:ascii="Calibri" w:hAnsi="Calibri" w:cs="Calibri"/>
          <w:noProof/>
          <w:snapToGrid/>
          <w:sz w:val="24"/>
          <w:szCs w:val="24"/>
        </w:rPr>
      </w:pPr>
      <w:r>
        <w:rPr>
          <w:rFonts w:ascii="Calibri" w:hAnsi="Calibri" w:cs="Calibri"/>
          <w:noProof/>
          <w:snapToGrid/>
          <w:sz w:val="24"/>
          <w:szCs w:val="24"/>
        </w:rPr>
        <w:t>Os testes provaram a recuperabilidade de todos os ativos tangíveis e intangíveis, tendo sido realizados pelo valor em uso na UGC Porto do Rio de Janeiro e na UGC Porto de Itaguaí, e pelo valor de mercado na UGC Porto de Niterói e na UGC Porto de Angra dos Reis.</w:t>
      </w:r>
    </w:p>
    <w:p w:rsidR="00F5394A" w:rsidRDefault="00F5394A" w:rsidP="00F5394A">
      <w:pPr>
        <w:ind w:left="851"/>
        <w:jc w:val="both"/>
        <w:rPr>
          <w:rFonts w:ascii="Calibri" w:hAnsi="Calibri" w:cs="Calibri"/>
          <w:noProof/>
          <w:snapToGrid/>
          <w:sz w:val="24"/>
          <w:szCs w:val="24"/>
        </w:rPr>
      </w:pPr>
    </w:p>
    <w:p w:rsidR="00F5394A" w:rsidRDefault="00F5394A" w:rsidP="00F5394A">
      <w:pPr>
        <w:ind w:left="851"/>
        <w:jc w:val="both"/>
        <w:rPr>
          <w:rFonts w:ascii="Calibri" w:hAnsi="Calibri" w:cs="Calibri"/>
          <w:noProof/>
          <w:snapToGrid/>
          <w:sz w:val="24"/>
          <w:szCs w:val="24"/>
        </w:rPr>
      </w:pPr>
      <w:r>
        <w:rPr>
          <w:rFonts w:ascii="Calibri" w:hAnsi="Calibri" w:cs="Calibri"/>
          <w:noProof/>
          <w:snapToGrid/>
          <w:sz w:val="24"/>
          <w:szCs w:val="24"/>
        </w:rPr>
        <w:t>Os testes provaram tamém, em procedimento complementar, incluindo os itens administrativos, corporativos e de complementariedade carregados às UGC, que todos os ativos passam no teste de impairment sem indícios de perda por desvalorização.</w:t>
      </w:r>
    </w:p>
    <w:p w:rsidR="00F5394A" w:rsidRPr="00D711D0" w:rsidRDefault="00F5394A" w:rsidP="00F5394A"/>
    <w:p w:rsidR="00F5394A" w:rsidRPr="00D711D0" w:rsidRDefault="00F5394A" w:rsidP="00F5394A">
      <w:pPr>
        <w:pStyle w:val="Ttulo3"/>
        <w:numPr>
          <w:ilvl w:val="0"/>
          <w:numId w:val="26"/>
        </w:numPr>
        <w:jc w:val="both"/>
        <w:rPr>
          <w:rFonts w:ascii="Calibri" w:hAnsi="Calibri" w:cs="Calibri"/>
          <w:b/>
          <w:bCs/>
          <w:sz w:val="24"/>
          <w:szCs w:val="24"/>
        </w:rPr>
      </w:pPr>
      <w:r w:rsidRPr="00D711D0">
        <w:rPr>
          <w:rFonts w:ascii="Calibri" w:hAnsi="Calibri" w:cs="Calibri"/>
          <w:b/>
          <w:bCs/>
          <w:sz w:val="24"/>
          <w:szCs w:val="24"/>
        </w:rPr>
        <w:t>Vida útil</w:t>
      </w:r>
    </w:p>
    <w:p w:rsidR="00F5394A" w:rsidRPr="00D711D0" w:rsidRDefault="00F5394A" w:rsidP="00F5394A"/>
    <w:p w:rsidR="00F5394A" w:rsidRPr="00312424" w:rsidRDefault="00F5394A" w:rsidP="00F5394A">
      <w:pPr>
        <w:pStyle w:val="Ttulo3"/>
        <w:ind w:left="851"/>
        <w:jc w:val="both"/>
        <w:rPr>
          <w:rFonts w:ascii="Calibri" w:hAnsi="Calibri" w:cs="Calibri"/>
          <w:sz w:val="24"/>
          <w:szCs w:val="24"/>
        </w:rPr>
      </w:pPr>
      <w:r w:rsidRPr="00312424">
        <w:rPr>
          <w:rFonts w:ascii="Calibri" w:hAnsi="Calibri" w:cs="Calibri"/>
          <w:sz w:val="24"/>
          <w:szCs w:val="24"/>
        </w:rPr>
        <w:t>A depreciação é calculada segundo o método linear, com base em taxas que contemplam a vida útil-econômica estimada para cada classe de bens</w:t>
      </w:r>
      <w:r>
        <w:rPr>
          <w:rFonts w:ascii="Calibri" w:hAnsi="Calibri" w:cs="Calibri"/>
          <w:sz w:val="24"/>
          <w:szCs w:val="24"/>
        </w:rPr>
        <w:t>.</w:t>
      </w:r>
    </w:p>
    <w:p w:rsidR="00F5394A" w:rsidRDefault="00F5394A" w:rsidP="00F5394A">
      <w:pPr>
        <w:pStyle w:val="Recuodecorpodetexto"/>
        <w:widowControl/>
        <w:autoSpaceDE w:val="0"/>
        <w:autoSpaceDN w:val="0"/>
        <w:ind w:left="1353"/>
        <w:rPr>
          <w:rFonts w:ascii="Calibri" w:hAnsi="Calibri" w:cs="Calibri"/>
          <w:b/>
          <w:szCs w:val="24"/>
          <w:lang w:val="pt-BR"/>
        </w:rPr>
      </w:pPr>
    </w:p>
    <w:p w:rsidR="00F5394A" w:rsidRDefault="00F5394A" w:rsidP="00F5394A">
      <w:pPr>
        <w:pStyle w:val="Ttulo3"/>
        <w:ind w:left="851"/>
        <w:jc w:val="both"/>
        <w:rPr>
          <w:rFonts w:ascii="Calibri" w:hAnsi="Calibri" w:cs="Calibri"/>
          <w:sz w:val="24"/>
          <w:szCs w:val="24"/>
        </w:rPr>
      </w:pPr>
      <w:r>
        <w:rPr>
          <w:rFonts w:ascii="Calibri" w:hAnsi="Calibri" w:cs="Calibri"/>
          <w:sz w:val="24"/>
          <w:szCs w:val="24"/>
        </w:rPr>
        <w:t>O Imobilizado está segregado nos seguintes grupos, segundo o Manual de Contas das Autoridades Portuárias, instituído pela Portaria nº 57, de 8 de março de 2016, da ANTAQ, e possui as seguintes taxas anuais de depreciação:</w:t>
      </w:r>
    </w:p>
    <w:p w:rsidR="008B1598" w:rsidRDefault="008B1598" w:rsidP="008B1598"/>
    <w:tbl>
      <w:tblPr>
        <w:tblW w:w="6789" w:type="dxa"/>
        <w:jc w:val="center"/>
        <w:tblCellMar>
          <w:left w:w="70" w:type="dxa"/>
          <w:right w:w="70" w:type="dxa"/>
        </w:tblCellMar>
        <w:tblLook w:val="04A0" w:firstRow="1" w:lastRow="0" w:firstColumn="1" w:lastColumn="0" w:noHBand="0" w:noVBand="1"/>
      </w:tblPr>
      <w:tblGrid>
        <w:gridCol w:w="195"/>
        <w:gridCol w:w="190"/>
        <w:gridCol w:w="4232"/>
        <w:gridCol w:w="52"/>
        <w:gridCol w:w="2068"/>
        <w:gridCol w:w="52"/>
      </w:tblGrid>
      <w:tr w:rsidR="008B1598" w:rsidRPr="001C4695" w:rsidTr="005020AD">
        <w:trPr>
          <w:gridAfter w:val="1"/>
          <w:wAfter w:w="57" w:type="dxa"/>
          <w:trHeight w:val="284"/>
          <w:jc w:val="center"/>
        </w:trPr>
        <w:tc>
          <w:tcPr>
            <w:tcW w:w="461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Bens em Operação</w:t>
            </w:r>
          </w:p>
        </w:tc>
        <w:tc>
          <w:tcPr>
            <w:tcW w:w="21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Taxas Anuais de Depreciação</w:t>
            </w:r>
          </w:p>
        </w:tc>
      </w:tr>
      <w:tr w:rsidR="008B1598" w:rsidRPr="001C4695" w:rsidTr="005020AD">
        <w:trPr>
          <w:gridAfter w:val="1"/>
          <w:wAfter w:w="57" w:type="dxa"/>
          <w:trHeight w:val="284"/>
          <w:jc w:val="center"/>
        </w:trPr>
        <w:tc>
          <w:tcPr>
            <w:tcW w:w="190"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4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Contas</w:t>
            </w:r>
          </w:p>
        </w:tc>
        <w:tc>
          <w:tcPr>
            <w:tcW w:w="2120" w:type="dxa"/>
            <w:gridSpan w:val="2"/>
            <w:vMerge/>
            <w:tcBorders>
              <w:top w:val="single" w:sz="4" w:space="0" w:color="auto"/>
              <w:left w:val="single" w:sz="4" w:space="0" w:color="auto"/>
              <w:bottom w:val="single" w:sz="4" w:space="0" w:color="auto"/>
              <w:right w:val="single" w:sz="4" w:space="0" w:color="auto"/>
            </w:tcBorders>
            <w:vAlign w:val="center"/>
            <w:hideMark/>
          </w:tcPr>
          <w:p w:rsidR="008B1598" w:rsidRPr="001C4695" w:rsidRDefault="008B1598" w:rsidP="008B1598">
            <w:pPr>
              <w:widowControl/>
              <w:rPr>
                <w:rFonts w:ascii="Calibri" w:hAnsi="Calibri" w:cs="Calibri"/>
                <w:snapToGrid/>
                <w:color w:val="000000"/>
                <w:sz w:val="22"/>
                <w:szCs w:val="22"/>
              </w:rPr>
            </w:pPr>
          </w:p>
        </w:tc>
      </w:tr>
      <w:tr w:rsidR="008B1598" w:rsidRPr="001C4695" w:rsidTr="005020AD">
        <w:trPr>
          <w:gridAfter w:val="1"/>
          <w:wAfter w:w="57" w:type="dxa"/>
          <w:trHeight w:val="284"/>
          <w:jc w:val="center"/>
        </w:trPr>
        <w:tc>
          <w:tcPr>
            <w:tcW w:w="190"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xml:space="preserve">Dragagem </w:t>
            </w:r>
            <w:r w:rsidR="00707B6E" w:rsidRPr="001C4695">
              <w:rPr>
                <w:rFonts w:ascii="Calibri" w:hAnsi="Calibri" w:cs="Calibri"/>
                <w:snapToGrid/>
                <w:color w:val="000000"/>
                <w:sz w:val="22"/>
                <w:szCs w:val="22"/>
              </w:rPr>
              <w:t>–</w:t>
            </w:r>
            <w:r w:rsidRPr="001C4695">
              <w:rPr>
                <w:rFonts w:ascii="Calibri" w:hAnsi="Calibri" w:cs="Calibri"/>
                <w:snapToGrid/>
                <w:color w:val="000000"/>
                <w:sz w:val="22"/>
                <w:szCs w:val="22"/>
              </w:rPr>
              <w:t xml:space="preserve"> Aprofundamento</w:t>
            </w:r>
          </w:p>
        </w:tc>
        <w:tc>
          <w:tcPr>
            <w:tcW w:w="2120" w:type="dxa"/>
            <w:gridSpan w:val="2"/>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10% e 20%</w:t>
            </w:r>
          </w:p>
        </w:tc>
      </w:tr>
      <w:tr w:rsidR="008B1598" w:rsidRPr="001C4695" w:rsidTr="005020AD">
        <w:trPr>
          <w:gridAfter w:val="1"/>
          <w:wAfter w:w="57" w:type="dxa"/>
          <w:trHeight w:val="284"/>
          <w:jc w:val="center"/>
        </w:trPr>
        <w:tc>
          <w:tcPr>
            <w:tcW w:w="190"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Sinalização</w:t>
            </w:r>
          </w:p>
        </w:tc>
        <w:tc>
          <w:tcPr>
            <w:tcW w:w="2120" w:type="dxa"/>
            <w:gridSpan w:val="2"/>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10%</w:t>
            </w:r>
          </w:p>
        </w:tc>
      </w:tr>
      <w:tr w:rsidR="008B1598" w:rsidRPr="001C4695" w:rsidTr="005020AD">
        <w:trPr>
          <w:gridAfter w:val="1"/>
          <w:wAfter w:w="57" w:type="dxa"/>
          <w:trHeight w:val="284"/>
          <w:jc w:val="center"/>
        </w:trPr>
        <w:tc>
          <w:tcPr>
            <w:tcW w:w="190"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Proteção Marítima</w:t>
            </w:r>
          </w:p>
        </w:tc>
        <w:tc>
          <w:tcPr>
            <w:tcW w:w="2120" w:type="dxa"/>
            <w:gridSpan w:val="2"/>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4% e 10%</w:t>
            </w:r>
          </w:p>
        </w:tc>
      </w:tr>
      <w:tr w:rsidR="008B1598" w:rsidRPr="001C4695" w:rsidTr="005020AD">
        <w:trPr>
          <w:gridAfter w:val="1"/>
          <w:wAfter w:w="57" w:type="dxa"/>
          <w:trHeight w:val="284"/>
          <w:jc w:val="center"/>
        </w:trPr>
        <w:tc>
          <w:tcPr>
            <w:tcW w:w="190"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Berço e Cais</w:t>
            </w:r>
          </w:p>
        </w:tc>
        <w:tc>
          <w:tcPr>
            <w:tcW w:w="2120" w:type="dxa"/>
            <w:gridSpan w:val="2"/>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4% e 10%</w:t>
            </w:r>
          </w:p>
        </w:tc>
      </w:tr>
      <w:tr w:rsidR="008B1598" w:rsidRPr="001C4695" w:rsidTr="005020AD">
        <w:trPr>
          <w:gridAfter w:val="1"/>
          <w:wAfter w:w="57" w:type="dxa"/>
          <w:trHeight w:val="284"/>
          <w:jc w:val="center"/>
        </w:trPr>
        <w:tc>
          <w:tcPr>
            <w:tcW w:w="190"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Estacionamento</w:t>
            </w:r>
          </w:p>
        </w:tc>
        <w:tc>
          <w:tcPr>
            <w:tcW w:w="2120" w:type="dxa"/>
            <w:gridSpan w:val="2"/>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4%</w:t>
            </w:r>
          </w:p>
        </w:tc>
      </w:tr>
      <w:tr w:rsidR="008B1598" w:rsidRPr="001C4695" w:rsidTr="005020AD">
        <w:trPr>
          <w:gridAfter w:val="1"/>
          <w:wAfter w:w="57" w:type="dxa"/>
          <w:trHeight w:val="284"/>
          <w:jc w:val="center"/>
        </w:trPr>
        <w:tc>
          <w:tcPr>
            <w:tcW w:w="190"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Vias Internas</w:t>
            </w:r>
          </w:p>
        </w:tc>
        <w:tc>
          <w:tcPr>
            <w:tcW w:w="2120" w:type="dxa"/>
            <w:gridSpan w:val="2"/>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4% e 10%</w:t>
            </w:r>
          </w:p>
        </w:tc>
      </w:tr>
      <w:tr w:rsidR="008B1598" w:rsidRPr="001C4695" w:rsidTr="005020AD">
        <w:trPr>
          <w:gridAfter w:val="1"/>
          <w:wAfter w:w="57" w:type="dxa"/>
          <w:trHeight w:val="284"/>
          <w:jc w:val="center"/>
        </w:trPr>
        <w:tc>
          <w:tcPr>
            <w:tcW w:w="190"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Linha Férrea</w:t>
            </w:r>
          </w:p>
        </w:tc>
        <w:tc>
          <w:tcPr>
            <w:tcW w:w="2120" w:type="dxa"/>
            <w:gridSpan w:val="2"/>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4%</w:t>
            </w:r>
          </w:p>
        </w:tc>
      </w:tr>
      <w:tr w:rsidR="008B1598" w:rsidRPr="001C4695" w:rsidTr="005020AD">
        <w:trPr>
          <w:gridAfter w:val="1"/>
          <w:wAfter w:w="57" w:type="dxa"/>
          <w:trHeight w:val="284"/>
          <w:jc w:val="center"/>
        </w:trPr>
        <w:tc>
          <w:tcPr>
            <w:tcW w:w="190"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Pátios</w:t>
            </w:r>
          </w:p>
        </w:tc>
        <w:tc>
          <w:tcPr>
            <w:tcW w:w="2120" w:type="dxa"/>
            <w:gridSpan w:val="2"/>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4% e 10%</w:t>
            </w:r>
          </w:p>
        </w:tc>
      </w:tr>
      <w:tr w:rsidR="008B1598" w:rsidRPr="001C4695" w:rsidTr="005020AD">
        <w:trPr>
          <w:gridAfter w:val="1"/>
          <w:wAfter w:w="57" w:type="dxa"/>
          <w:trHeight w:val="284"/>
          <w:jc w:val="center"/>
        </w:trPr>
        <w:tc>
          <w:tcPr>
            <w:tcW w:w="190"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Armazéns</w:t>
            </w:r>
          </w:p>
        </w:tc>
        <w:tc>
          <w:tcPr>
            <w:tcW w:w="2120" w:type="dxa"/>
            <w:gridSpan w:val="2"/>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4% e 25%</w:t>
            </w:r>
          </w:p>
        </w:tc>
      </w:tr>
      <w:tr w:rsidR="008B1598" w:rsidRPr="001C4695" w:rsidTr="005020AD">
        <w:trPr>
          <w:gridAfter w:val="1"/>
          <w:wAfter w:w="57" w:type="dxa"/>
          <w:trHeight w:val="284"/>
          <w:jc w:val="center"/>
        </w:trPr>
        <w:tc>
          <w:tcPr>
            <w:tcW w:w="190"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proofErr w:type="spellStart"/>
            <w:r w:rsidRPr="001C4695">
              <w:rPr>
                <w:rFonts w:ascii="Calibri" w:hAnsi="Calibri" w:cs="Calibri"/>
                <w:snapToGrid/>
                <w:color w:val="000000"/>
                <w:sz w:val="22"/>
                <w:szCs w:val="22"/>
              </w:rPr>
              <w:t>Tancagem</w:t>
            </w:r>
            <w:proofErr w:type="spellEnd"/>
          </w:p>
        </w:tc>
        <w:tc>
          <w:tcPr>
            <w:tcW w:w="2120" w:type="dxa"/>
            <w:gridSpan w:val="2"/>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7%</w:t>
            </w:r>
          </w:p>
        </w:tc>
      </w:tr>
      <w:tr w:rsidR="008B1598" w:rsidRPr="001C4695" w:rsidTr="005020AD">
        <w:trPr>
          <w:gridAfter w:val="1"/>
          <w:wAfter w:w="57" w:type="dxa"/>
          <w:trHeight w:val="284"/>
          <w:jc w:val="center"/>
        </w:trPr>
        <w:tc>
          <w:tcPr>
            <w:tcW w:w="190"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Silo</w:t>
            </w:r>
          </w:p>
        </w:tc>
        <w:tc>
          <w:tcPr>
            <w:tcW w:w="2120" w:type="dxa"/>
            <w:gridSpan w:val="2"/>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4%</w:t>
            </w:r>
          </w:p>
        </w:tc>
      </w:tr>
      <w:tr w:rsidR="008B1598" w:rsidRPr="001C4695" w:rsidTr="005020AD">
        <w:trPr>
          <w:gridAfter w:val="1"/>
          <w:wAfter w:w="57" w:type="dxa"/>
          <w:trHeight w:val="284"/>
          <w:jc w:val="center"/>
        </w:trPr>
        <w:tc>
          <w:tcPr>
            <w:tcW w:w="190"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Guindaste</w:t>
            </w:r>
          </w:p>
        </w:tc>
        <w:tc>
          <w:tcPr>
            <w:tcW w:w="2120" w:type="dxa"/>
            <w:gridSpan w:val="2"/>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4% e 8%</w:t>
            </w:r>
          </w:p>
        </w:tc>
      </w:tr>
      <w:tr w:rsidR="008B1598" w:rsidRPr="001C4695" w:rsidTr="005020AD">
        <w:trPr>
          <w:gridAfter w:val="1"/>
          <w:wAfter w:w="57" w:type="dxa"/>
          <w:trHeight w:val="284"/>
          <w:jc w:val="center"/>
        </w:trPr>
        <w:tc>
          <w:tcPr>
            <w:tcW w:w="190"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proofErr w:type="spellStart"/>
            <w:r w:rsidRPr="001C4695">
              <w:rPr>
                <w:rFonts w:ascii="Calibri" w:hAnsi="Calibri" w:cs="Calibri"/>
                <w:snapToGrid/>
                <w:color w:val="000000"/>
                <w:sz w:val="22"/>
                <w:szCs w:val="22"/>
              </w:rPr>
              <w:t>Portêiner</w:t>
            </w:r>
            <w:proofErr w:type="spellEnd"/>
          </w:p>
        </w:tc>
        <w:tc>
          <w:tcPr>
            <w:tcW w:w="2120" w:type="dxa"/>
            <w:gridSpan w:val="2"/>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10%</w:t>
            </w:r>
          </w:p>
        </w:tc>
      </w:tr>
      <w:tr w:rsidR="008B1598" w:rsidRPr="001C4695" w:rsidTr="005020AD">
        <w:trPr>
          <w:gridAfter w:val="1"/>
          <w:wAfter w:w="57" w:type="dxa"/>
          <w:trHeight w:val="284"/>
          <w:jc w:val="center"/>
        </w:trPr>
        <w:tc>
          <w:tcPr>
            <w:tcW w:w="190"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proofErr w:type="spellStart"/>
            <w:r w:rsidRPr="001C4695">
              <w:rPr>
                <w:rFonts w:ascii="Calibri" w:hAnsi="Calibri" w:cs="Calibri"/>
                <w:snapToGrid/>
                <w:color w:val="000000"/>
                <w:sz w:val="22"/>
                <w:szCs w:val="22"/>
              </w:rPr>
              <w:t>Ship</w:t>
            </w:r>
            <w:proofErr w:type="spellEnd"/>
            <w:r w:rsidRPr="001C4695">
              <w:rPr>
                <w:rFonts w:ascii="Calibri" w:hAnsi="Calibri" w:cs="Calibri"/>
                <w:snapToGrid/>
                <w:color w:val="000000"/>
                <w:sz w:val="22"/>
                <w:szCs w:val="22"/>
              </w:rPr>
              <w:t xml:space="preserve"> </w:t>
            </w:r>
            <w:proofErr w:type="spellStart"/>
            <w:r w:rsidRPr="001C4695">
              <w:rPr>
                <w:rFonts w:ascii="Calibri" w:hAnsi="Calibri" w:cs="Calibri"/>
                <w:snapToGrid/>
                <w:color w:val="000000"/>
                <w:sz w:val="22"/>
                <w:szCs w:val="22"/>
              </w:rPr>
              <w:t>Loader</w:t>
            </w:r>
            <w:proofErr w:type="spellEnd"/>
          </w:p>
        </w:tc>
        <w:tc>
          <w:tcPr>
            <w:tcW w:w="2120" w:type="dxa"/>
            <w:gridSpan w:val="2"/>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5 e 7%</w:t>
            </w:r>
          </w:p>
        </w:tc>
      </w:tr>
      <w:tr w:rsidR="008B1598" w:rsidRPr="001C4695" w:rsidTr="005020AD">
        <w:trPr>
          <w:gridAfter w:val="1"/>
          <w:wAfter w:w="57" w:type="dxa"/>
          <w:trHeight w:val="284"/>
          <w:jc w:val="center"/>
        </w:trPr>
        <w:tc>
          <w:tcPr>
            <w:tcW w:w="190"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Correia Transportadora</w:t>
            </w:r>
          </w:p>
        </w:tc>
        <w:tc>
          <w:tcPr>
            <w:tcW w:w="2120" w:type="dxa"/>
            <w:gridSpan w:val="2"/>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7% e 10%</w:t>
            </w:r>
          </w:p>
        </w:tc>
      </w:tr>
      <w:tr w:rsidR="008B1598" w:rsidRPr="001C4695" w:rsidTr="005020AD">
        <w:trPr>
          <w:gridAfter w:val="1"/>
          <w:wAfter w:w="57" w:type="dxa"/>
          <w:trHeight w:val="284"/>
          <w:jc w:val="center"/>
        </w:trPr>
        <w:tc>
          <w:tcPr>
            <w:tcW w:w="190"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Tubulação</w:t>
            </w:r>
          </w:p>
        </w:tc>
        <w:tc>
          <w:tcPr>
            <w:tcW w:w="2120" w:type="dxa"/>
            <w:gridSpan w:val="2"/>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4% e 10%</w:t>
            </w:r>
          </w:p>
        </w:tc>
      </w:tr>
      <w:tr w:rsidR="008B1598" w:rsidRPr="001C4695" w:rsidTr="005020AD">
        <w:trPr>
          <w:gridAfter w:val="1"/>
          <w:wAfter w:w="57" w:type="dxa"/>
          <w:trHeight w:val="284"/>
          <w:jc w:val="center"/>
        </w:trPr>
        <w:tc>
          <w:tcPr>
            <w:tcW w:w="190"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proofErr w:type="spellStart"/>
            <w:r w:rsidRPr="001C4695">
              <w:rPr>
                <w:rFonts w:ascii="Calibri" w:hAnsi="Calibri" w:cs="Calibri"/>
                <w:snapToGrid/>
                <w:color w:val="000000"/>
                <w:sz w:val="22"/>
                <w:szCs w:val="22"/>
              </w:rPr>
              <w:t>Grab</w:t>
            </w:r>
            <w:proofErr w:type="spellEnd"/>
          </w:p>
        </w:tc>
        <w:tc>
          <w:tcPr>
            <w:tcW w:w="2120" w:type="dxa"/>
            <w:gridSpan w:val="2"/>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20%</w:t>
            </w:r>
          </w:p>
        </w:tc>
      </w:tr>
      <w:tr w:rsidR="008B1598" w:rsidRPr="001C4695" w:rsidTr="005020AD">
        <w:trPr>
          <w:gridAfter w:val="1"/>
          <w:wAfter w:w="57" w:type="dxa"/>
          <w:trHeight w:val="284"/>
          <w:jc w:val="center"/>
        </w:trPr>
        <w:tc>
          <w:tcPr>
            <w:tcW w:w="190"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Empilhadeira</w:t>
            </w:r>
          </w:p>
        </w:tc>
        <w:tc>
          <w:tcPr>
            <w:tcW w:w="2120" w:type="dxa"/>
            <w:gridSpan w:val="2"/>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5% e 12%</w:t>
            </w:r>
          </w:p>
        </w:tc>
      </w:tr>
      <w:tr w:rsidR="008B1598" w:rsidRPr="001C4695" w:rsidTr="005020AD">
        <w:trPr>
          <w:gridAfter w:val="1"/>
          <w:wAfter w:w="57" w:type="dxa"/>
          <w:trHeight w:val="284"/>
          <w:jc w:val="center"/>
        </w:trPr>
        <w:tc>
          <w:tcPr>
            <w:tcW w:w="190"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xml:space="preserve">Outros </w:t>
            </w:r>
            <w:r w:rsidR="00707B6E" w:rsidRPr="001C4695">
              <w:rPr>
                <w:rFonts w:ascii="Calibri" w:hAnsi="Calibri" w:cs="Calibri"/>
                <w:snapToGrid/>
                <w:color w:val="000000"/>
                <w:sz w:val="22"/>
                <w:szCs w:val="22"/>
              </w:rPr>
              <w:t>–</w:t>
            </w:r>
            <w:r w:rsidRPr="001C4695">
              <w:rPr>
                <w:rFonts w:ascii="Calibri" w:hAnsi="Calibri" w:cs="Calibri"/>
                <w:snapToGrid/>
                <w:color w:val="000000"/>
                <w:sz w:val="22"/>
                <w:szCs w:val="22"/>
              </w:rPr>
              <w:t xml:space="preserve"> Equipamentos</w:t>
            </w:r>
          </w:p>
        </w:tc>
        <w:tc>
          <w:tcPr>
            <w:tcW w:w="2120" w:type="dxa"/>
            <w:gridSpan w:val="2"/>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4% e 20%</w:t>
            </w:r>
          </w:p>
        </w:tc>
      </w:tr>
      <w:tr w:rsidR="008B1598" w:rsidRPr="008B1598" w:rsidTr="005020AD">
        <w:trPr>
          <w:trHeight w:val="284"/>
          <w:jc w:val="center"/>
        </w:trPr>
        <w:tc>
          <w:tcPr>
            <w:tcW w:w="466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lastRenderedPageBreak/>
              <w:t xml:space="preserve">Bens </w:t>
            </w:r>
            <w:r w:rsidR="00F57719" w:rsidRPr="001C4695">
              <w:rPr>
                <w:rFonts w:ascii="Calibri" w:hAnsi="Calibri" w:cs="Calibri"/>
                <w:snapToGrid/>
                <w:color w:val="000000"/>
                <w:sz w:val="22"/>
                <w:szCs w:val="22"/>
              </w:rPr>
              <w:t>–</w:t>
            </w:r>
            <w:r w:rsidRPr="001C4695">
              <w:rPr>
                <w:rFonts w:ascii="Calibri" w:hAnsi="Calibri" w:cs="Calibri"/>
                <w:snapToGrid/>
                <w:color w:val="000000"/>
                <w:sz w:val="22"/>
                <w:szCs w:val="22"/>
              </w:rPr>
              <w:t xml:space="preserve"> Administração</w:t>
            </w:r>
          </w:p>
        </w:tc>
        <w:tc>
          <w:tcPr>
            <w:tcW w:w="21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Taxas Anuais de Depreciação</w:t>
            </w:r>
          </w:p>
        </w:tc>
      </w:tr>
      <w:tr w:rsidR="008B1598" w:rsidRPr="008B1598" w:rsidTr="005020AD">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8B1598" w:rsidRDefault="008B1598" w:rsidP="008B1598">
            <w:pPr>
              <w:widowControl/>
              <w:rPr>
                <w:rFonts w:ascii="Calibri" w:hAnsi="Calibri" w:cs="Calibri"/>
                <w:snapToGrid/>
                <w:color w:val="000000"/>
                <w:sz w:val="24"/>
                <w:szCs w:val="24"/>
              </w:rPr>
            </w:pPr>
            <w:r w:rsidRPr="008B1598">
              <w:rPr>
                <w:rFonts w:ascii="Calibri" w:hAnsi="Calibri" w:cs="Calibri"/>
                <w:snapToGrid/>
                <w:color w:val="000000"/>
                <w:sz w:val="24"/>
                <w:szCs w:val="24"/>
              </w:rPr>
              <w:t> </w:t>
            </w:r>
          </w:p>
        </w:tc>
        <w:tc>
          <w:tcPr>
            <w:tcW w:w="44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Contas</w:t>
            </w:r>
          </w:p>
        </w:tc>
        <w:tc>
          <w:tcPr>
            <w:tcW w:w="2120" w:type="dxa"/>
            <w:gridSpan w:val="2"/>
            <w:vMerge/>
            <w:tcBorders>
              <w:top w:val="single" w:sz="4" w:space="0" w:color="auto"/>
              <w:left w:val="single" w:sz="4" w:space="0" w:color="auto"/>
              <w:bottom w:val="single" w:sz="4" w:space="0" w:color="auto"/>
              <w:right w:val="single" w:sz="4" w:space="0" w:color="auto"/>
            </w:tcBorders>
            <w:vAlign w:val="center"/>
            <w:hideMark/>
          </w:tcPr>
          <w:p w:rsidR="008B1598" w:rsidRPr="001C4695" w:rsidRDefault="008B1598" w:rsidP="008B1598">
            <w:pPr>
              <w:widowControl/>
              <w:rPr>
                <w:rFonts w:ascii="Calibri" w:hAnsi="Calibri" w:cs="Calibri"/>
                <w:snapToGrid/>
                <w:color w:val="000000"/>
                <w:sz w:val="22"/>
                <w:szCs w:val="22"/>
              </w:rPr>
            </w:pPr>
          </w:p>
        </w:tc>
      </w:tr>
      <w:tr w:rsidR="008B1598" w:rsidRPr="008B1598" w:rsidTr="005020AD">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8B1598" w:rsidRDefault="008B1598" w:rsidP="008B1598">
            <w:pPr>
              <w:widowControl/>
              <w:rPr>
                <w:rFonts w:ascii="Calibri" w:hAnsi="Calibri" w:cs="Calibri"/>
                <w:snapToGrid/>
                <w:color w:val="000000"/>
                <w:sz w:val="24"/>
                <w:szCs w:val="24"/>
              </w:rPr>
            </w:pPr>
            <w:r w:rsidRPr="008B1598">
              <w:rPr>
                <w:rFonts w:ascii="Calibri" w:hAnsi="Calibri" w:cs="Calibri"/>
                <w:snapToGrid/>
                <w:color w:val="000000"/>
                <w:sz w:val="24"/>
                <w:szCs w:val="24"/>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84" w:type="dxa"/>
            <w:gridSpan w:val="2"/>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Terrenos</w:t>
            </w:r>
          </w:p>
        </w:tc>
        <w:tc>
          <w:tcPr>
            <w:tcW w:w="2120" w:type="dxa"/>
            <w:gridSpan w:val="2"/>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Não deprecia</w:t>
            </w:r>
          </w:p>
        </w:tc>
      </w:tr>
      <w:tr w:rsidR="008B1598" w:rsidRPr="008B1598" w:rsidTr="005020AD">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8B1598" w:rsidRDefault="008B1598" w:rsidP="008B1598">
            <w:pPr>
              <w:widowControl/>
              <w:rPr>
                <w:rFonts w:ascii="Calibri" w:hAnsi="Calibri" w:cs="Calibri"/>
                <w:snapToGrid/>
                <w:color w:val="000000"/>
                <w:sz w:val="24"/>
                <w:szCs w:val="24"/>
              </w:rPr>
            </w:pPr>
            <w:r w:rsidRPr="008B1598">
              <w:rPr>
                <w:rFonts w:ascii="Calibri" w:hAnsi="Calibri" w:cs="Calibri"/>
                <w:snapToGrid/>
                <w:color w:val="000000"/>
                <w:sz w:val="24"/>
                <w:szCs w:val="24"/>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84" w:type="dxa"/>
            <w:gridSpan w:val="2"/>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Edificações</w:t>
            </w:r>
          </w:p>
        </w:tc>
        <w:tc>
          <w:tcPr>
            <w:tcW w:w="2120" w:type="dxa"/>
            <w:gridSpan w:val="2"/>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4% e 25%</w:t>
            </w:r>
          </w:p>
        </w:tc>
      </w:tr>
      <w:tr w:rsidR="008B1598" w:rsidRPr="008B1598" w:rsidTr="005020AD">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8B1598" w:rsidRDefault="008B1598" w:rsidP="008B1598">
            <w:pPr>
              <w:widowControl/>
              <w:rPr>
                <w:rFonts w:ascii="Calibri" w:hAnsi="Calibri" w:cs="Calibri"/>
                <w:snapToGrid/>
                <w:color w:val="000000"/>
                <w:sz w:val="24"/>
                <w:szCs w:val="24"/>
              </w:rPr>
            </w:pPr>
            <w:r w:rsidRPr="008B1598">
              <w:rPr>
                <w:rFonts w:ascii="Calibri" w:hAnsi="Calibri" w:cs="Calibri"/>
                <w:snapToGrid/>
                <w:color w:val="000000"/>
                <w:sz w:val="24"/>
                <w:szCs w:val="24"/>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84" w:type="dxa"/>
            <w:gridSpan w:val="2"/>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Instalações</w:t>
            </w:r>
          </w:p>
        </w:tc>
        <w:tc>
          <w:tcPr>
            <w:tcW w:w="2120" w:type="dxa"/>
            <w:gridSpan w:val="2"/>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2% e 10%</w:t>
            </w:r>
          </w:p>
        </w:tc>
      </w:tr>
      <w:tr w:rsidR="008B1598" w:rsidRPr="008B1598" w:rsidTr="005020AD">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8B1598" w:rsidRDefault="008B1598" w:rsidP="008B1598">
            <w:pPr>
              <w:widowControl/>
              <w:rPr>
                <w:rFonts w:ascii="Calibri" w:hAnsi="Calibri" w:cs="Calibri"/>
                <w:snapToGrid/>
                <w:color w:val="000000"/>
                <w:sz w:val="24"/>
                <w:szCs w:val="24"/>
              </w:rPr>
            </w:pPr>
            <w:r w:rsidRPr="008B1598">
              <w:rPr>
                <w:rFonts w:ascii="Calibri" w:hAnsi="Calibri" w:cs="Calibri"/>
                <w:snapToGrid/>
                <w:color w:val="000000"/>
                <w:sz w:val="24"/>
                <w:szCs w:val="24"/>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84" w:type="dxa"/>
            <w:gridSpan w:val="2"/>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Máquinas, Aparelhos e Equipamentos</w:t>
            </w:r>
          </w:p>
        </w:tc>
        <w:tc>
          <w:tcPr>
            <w:tcW w:w="2120" w:type="dxa"/>
            <w:gridSpan w:val="2"/>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5% e 50%</w:t>
            </w:r>
          </w:p>
        </w:tc>
      </w:tr>
      <w:tr w:rsidR="008B1598" w:rsidRPr="008B1598" w:rsidTr="005020AD">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8B1598" w:rsidRDefault="008B1598" w:rsidP="008B1598">
            <w:pPr>
              <w:widowControl/>
              <w:rPr>
                <w:rFonts w:ascii="Calibri" w:hAnsi="Calibri" w:cs="Calibri"/>
                <w:snapToGrid/>
                <w:color w:val="000000"/>
                <w:sz w:val="24"/>
                <w:szCs w:val="24"/>
              </w:rPr>
            </w:pPr>
            <w:r w:rsidRPr="008B1598">
              <w:rPr>
                <w:rFonts w:ascii="Calibri" w:hAnsi="Calibri" w:cs="Calibri"/>
                <w:snapToGrid/>
                <w:color w:val="000000"/>
                <w:sz w:val="24"/>
                <w:szCs w:val="24"/>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84" w:type="dxa"/>
            <w:gridSpan w:val="2"/>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Equipamentos de Informática</w:t>
            </w:r>
          </w:p>
        </w:tc>
        <w:tc>
          <w:tcPr>
            <w:tcW w:w="2120" w:type="dxa"/>
            <w:gridSpan w:val="2"/>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10% e 33%</w:t>
            </w:r>
          </w:p>
        </w:tc>
      </w:tr>
      <w:tr w:rsidR="008B1598" w:rsidRPr="008B1598" w:rsidTr="005020AD">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8B1598" w:rsidRDefault="008B1598" w:rsidP="008B1598">
            <w:pPr>
              <w:widowControl/>
              <w:rPr>
                <w:rFonts w:ascii="Calibri" w:hAnsi="Calibri" w:cs="Calibri"/>
                <w:snapToGrid/>
                <w:color w:val="000000"/>
                <w:sz w:val="24"/>
                <w:szCs w:val="24"/>
              </w:rPr>
            </w:pPr>
            <w:r w:rsidRPr="008B1598">
              <w:rPr>
                <w:rFonts w:ascii="Calibri" w:hAnsi="Calibri" w:cs="Calibri"/>
                <w:snapToGrid/>
                <w:color w:val="000000"/>
                <w:sz w:val="24"/>
                <w:szCs w:val="24"/>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84" w:type="dxa"/>
            <w:gridSpan w:val="2"/>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Sistemas Aplicativos (Software)</w:t>
            </w:r>
          </w:p>
        </w:tc>
        <w:tc>
          <w:tcPr>
            <w:tcW w:w="2120" w:type="dxa"/>
            <w:gridSpan w:val="2"/>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10% e 20%</w:t>
            </w:r>
          </w:p>
        </w:tc>
      </w:tr>
      <w:tr w:rsidR="008B1598" w:rsidRPr="008B1598" w:rsidTr="005020AD">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8B1598" w:rsidRDefault="008B1598" w:rsidP="008B1598">
            <w:pPr>
              <w:widowControl/>
              <w:rPr>
                <w:rFonts w:ascii="Calibri" w:hAnsi="Calibri" w:cs="Calibri"/>
                <w:snapToGrid/>
                <w:color w:val="000000"/>
                <w:sz w:val="24"/>
                <w:szCs w:val="24"/>
              </w:rPr>
            </w:pPr>
            <w:r w:rsidRPr="008B1598">
              <w:rPr>
                <w:rFonts w:ascii="Calibri" w:hAnsi="Calibri" w:cs="Calibri"/>
                <w:snapToGrid/>
                <w:color w:val="000000"/>
                <w:sz w:val="24"/>
                <w:szCs w:val="24"/>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84" w:type="dxa"/>
            <w:gridSpan w:val="2"/>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Mobiliário</w:t>
            </w:r>
          </w:p>
        </w:tc>
        <w:tc>
          <w:tcPr>
            <w:tcW w:w="2120" w:type="dxa"/>
            <w:gridSpan w:val="2"/>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3% e 20%</w:t>
            </w:r>
          </w:p>
        </w:tc>
      </w:tr>
      <w:tr w:rsidR="008B1598" w:rsidRPr="008B1598" w:rsidTr="005020AD">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8B1598" w:rsidRDefault="008B1598" w:rsidP="008B1598">
            <w:pPr>
              <w:widowControl/>
              <w:rPr>
                <w:rFonts w:ascii="Calibri" w:hAnsi="Calibri" w:cs="Calibri"/>
                <w:snapToGrid/>
                <w:color w:val="000000"/>
                <w:sz w:val="24"/>
                <w:szCs w:val="24"/>
              </w:rPr>
            </w:pPr>
            <w:r w:rsidRPr="008B1598">
              <w:rPr>
                <w:rFonts w:ascii="Calibri" w:hAnsi="Calibri" w:cs="Calibri"/>
                <w:snapToGrid/>
                <w:color w:val="000000"/>
                <w:sz w:val="24"/>
                <w:szCs w:val="24"/>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84" w:type="dxa"/>
            <w:gridSpan w:val="2"/>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Veículos</w:t>
            </w:r>
          </w:p>
        </w:tc>
        <w:tc>
          <w:tcPr>
            <w:tcW w:w="2120" w:type="dxa"/>
            <w:gridSpan w:val="2"/>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4% e 25%</w:t>
            </w:r>
          </w:p>
        </w:tc>
      </w:tr>
      <w:tr w:rsidR="008B1598" w:rsidRPr="008B1598" w:rsidTr="005020AD">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8B1598" w:rsidRDefault="008B1598" w:rsidP="008B1598">
            <w:pPr>
              <w:widowControl/>
              <w:rPr>
                <w:rFonts w:ascii="Calibri" w:hAnsi="Calibri" w:cs="Calibri"/>
                <w:snapToGrid/>
                <w:color w:val="000000"/>
                <w:sz w:val="24"/>
                <w:szCs w:val="24"/>
              </w:rPr>
            </w:pPr>
            <w:r w:rsidRPr="008B1598">
              <w:rPr>
                <w:rFonts w:ascii="Calibri" w:hAnsi="Calibri" w:cs="Calibri"/>
                <w:snapToGrid/>
                <w:color w:val="000000"/>
                <w:sz w:val="24"/>
                <w:szCs w:val="24"/>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84" w:type="dxa"/>
            <w:gridSpan w:val="2"/>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Ferramentas</w:t>
            </w:r>
          </w:p>
        </w:tc>
        <w:tc>
          <w:tcPr>
            <w:tcW w:w="2120" w:type="dxa"/>
            <w:gridSpan w:val="2"/>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5% e 10%</w:t>
            </w:r>
          </w:p>
        </w:tc>
      </w:tr>
    </w:tbl>
    <w:p w:rsidR="008B1598" w:rsidRPr="008B1598" w:rsidRDefault="008B1598" w:rsidP="008B1598">
      <w:pPr>
        <w:pStyle w:val="Recuodecorpodetexto"/>
        <w:widowControl/>
        <w:autoSpaceDE w:val="0"/>
        <w:autoSpaceDN w:val="0"/>
        <w:ind w:left="1353"/>
        <w:rPr>
          <w:rFonts w:ascii="Calibri" w:hAnsi="Calibri" w:cs="Calibri"/>
          <w:b/>
          <w:szCs w:val="24"/>
          <w:lang w:val="pt-BR"/>
        </w:rPr>
      </w:pPr>
    </w:p>
    <w:p w:rsidR="008B1598" w:rsidRDefault="008B1598" w:rsidP="008B1598">
      <w:pPr>
        <w:pStyle w:val="Recuodecorpodetexto"/>
        <w:widowControl/>
        <w:autoSpaceDE w:val="0"/>
        <w:autoSpaceDN w:val="0"/>
        <w:ind w:left="1353"/>
        <w:rPr>
          <w:rFonts w:ascii="Calibri" w:hAnsi="Calibri" w:cs="Calibri"/>
          <w:b/>
          <w:szCs w:val="24"/>
          <w:lang w:val="pt-BR"/>
        </w:rPr>
      </w:pPr>
    </w:p>
    <w:tbl>
      <w:tblPr>
        <w:tblW w:w="6709" w:type="dxa"/>
        <w:jc w:val="center"/>
        <w:tblCellMar>
          <w:left w:w="70" w:type="dxa"/>
          <w:right w:w="70" w:type="dxa"/>
        </w:tblCellMar>
        <w:tblLook w:val="04A0" w:firstRow="1" w:lastRow="0" w:firstColumn="1" w:lastColumn="0" w:noHBand="0" w:noVBand="1"/>
      </w:tblPr>
      <w:tblGrid>
        <w:gridCol w:w="195"/>
        <w:gridCol w:w="195"/>
        <w:gridCol w:w="4199"/>
        <w:gridCol w:w="2120"/>
      </w:tblGrid>
      <w:tr w:rsidR="008B1598" w:rsidRPr="008B1598" w:rsidTr="001C4695">
        <w:trPr>
          <w:trHeight w:val="284"/>
          <w:jc w:val="center"/>
        </w:trPr>
        <w:tc>
          <w:tcPr>
            <w:tcW w:w="458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Imobilizado em Andamento</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Taxas Anuais de Depreciação</w:t>
            </w:r>
          </w:p>
        </w:tc>
      </w:tr>
      <w:tr w:rsidR="008B1598" w:rsidRPr="008B1598" w:rsidTr="001C469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39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Contas</w:t>
            </w: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B1598" w:rsidRPr="001C4695" w:rsidRDefault="008B1598" w:rsidP="008B1598">
            <w:pPr>
              <w:widowControl/>
              <w:rPr>
                <w:rFonts w:ascii="Calibri" w:hAnsi="Calibri" w:cs="Calibri"/>
                <w:snapToGrid/>
                <w:color w:val="000000"/>
                <w:sz w:val="22"/>
                <w:szCs w:val="22"/>
              </w:rPr>
            </w:pPr>
          </w:p>
        </w:tc>
      </w:tr>
      <w:tr w:rsidR="008B1598" w:rsidRPr="008B1598" w:rsidTr="001C469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5"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199"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Obras em Andamento</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Não deprecia</w:t>
            </w:r>
          </w:p>
        </w:tc>
      </w:tr>
      <w:tr w:rsidR="0036637E" w:rsidRPr="008B1598" w:rsidTr="001C469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36637E" w:rsidRPr="001C4695" w:rsidRDefault="0036637E" w:rsidP="0036637E">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5" w:type="dxa"/>
            <w:tcBorders>
              <w:top w:val="nil"/>
              <w:left w:val="nil"/>
              <w:bottom w:val="single" w:sz="4" w:space="0" w:color="auto"/>
              <w:right w:val="nil"/>
            </w:tcBorders>
            <w:shd w:val="clear" w:color="auto" w:fill="auto"/>
            <w:noWrap/>
            <w:vAlign w:val="center"/>
            <w:hideMark/>
          </w:tcPr>
          <w:p w:rsidR="0036637E" w:rsidRPr="001C4695" w:rsidRDefault="0036637E" w:rsidP="0036637E">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199" w:type="dxa"/>
            <w:tcBorders>
              <w:top w:val="nil"/>
              <w:left w:val="nil"/>
              <w:bottom w:val="single" w:sz="4" w:space="0" w:color="auto"/>
              <w:right w:val="single" w:sz="4" w:space="0" w:color="auto"/>
            </w:tcBorders>
            <w:shd w:val="clear" w:color="auto" w:fill="auto"/>
            <w:noWrap/>
            <w:vAlign w:val="center"/>
            <w:hideMark/>
          </w:tcPr>
          <w:p w:rsidR="0036637E" w:rsidRPr="001C4695" w:rsidRDefault="0036637E" w:rsidP="0036637E">
            <w:pPr>
              <w:widowControl/>
              <w:rPr>
                <w:rFonts w:ascii="Calibri" w:hAnsi="Calibri" w:cs="Calibri"/>
                <w:snapToGrid/>
                <w:color w:val="000000"/>
                <w:sz w:val="22"/>
                <w:szCs w:val="22"/>
              </w:rPr>
            </w:pPr>
            <w:r w:rsidRPr="001C4695">
              <w:rPr>
                <w:rFonts w:ascii="Calibri" w:hAnsi="Calibri" w:cs="Calibri"/>
                <w:snapToGrid/>
                <w:color w:val="000000"/>
                <w:sz w:val="22"/>
                <w:szCs w:val="22"/>
              </w:rPr>
              <w:t>Imobilizações a Classificar</w:t>
            </w:r>
          </w:p>
        </w:tc>
        <w:tc>
          <w:tcPr>
            <w:tcW w:w="2120" w:type="dxa"/>
            <w:tcBorders>
              <w:top w:val="nil"/>
              <w:left w:val="nil"/>
              <w:bottom w:val="single" w:sz="4" w:space="0" w:color="auto"/>
              <w:right w:val="single" w:sz="4" w:space="0" w:color="auto"/>
            </w:tcBorders>
            <w:shd w:val="clear" w:color="auto" w:fill="auto"/>
            <w:noWrap/>
            <w:vAlign w:val="center"/>
            <w:hideMark/>
          </w:tcPr>
          <w:p w:rsidR="0036637E" w:rsidRPr="001C4695" w:rsidRDefault="0036637E" w:rsidP="0036637E">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3% e 20%</w:t>
            </w:r>
          </w:p>
        </w:tc>
      </w:tr>
    </w:tbl>
    <w:p w:rsidR="0036637E" w:rsidRDefault="0036637E" w:rsidP="008B1598">
      <w:pPr>
        <w:pStyle w:val="Recuodecorpodetexto"/>
        <w:widowControl/>
        <w:autoSpaceDE w:val="0"/>
        <w:autoSpaceDN w:val="0"/>
        <w:ind w:left="1353"/>
        <w:rPr>
          <w:rFonts w:ascii="Calibri" w:hAnsi="Calibri" w:cs="Calibri"/>
          <w:b/>
          <w:szCs w:val="24"/>
          <w:lang w:val="pt-BR"/>
        </w:rPr>
      </w:pPr>
    </w:p>
    <w:p w:rsidR="0036637E" w:rsidRDefault="0036637E" w:rsidP="0036637E">
      <w:pPr>
        <w:pStyle w:val="Recuodecorpodetexto"/>
        <w:widowControl/>
        <w:autoSpaceDE w:val="0"/>
        <w:autoSpaceDN w:val="0"/>
        <w:ind w:left="851"/>
        <w:rPr>
          <w:rFonts w:ascii="Calibri" w:hAnsi="Calibri" w:cs="Calibri"/>
          <w:szCs w:val="24"/>
          <w:lang w:val="pt-BR"/>
        </w:rPr>
      </w:pPr>
      <w:r w:rsidRPr="0036637E">
        <w:rPr>
          <w:rFonts w:ascii="Calibri" w:hAnsi="Calibri" w:cs="Calibri"/>
          <w:b/>
          <w:szCs w:val="24"/>
          <w:lang w:val="pt-BR"/>
        </w:rPr>
        <w:t>Bens em Operação</w:t>
      </w:r>
      <w:r>
        <w:rPr>
          <w:rFonts w:ascii="Calibri" w:hAnsi="Calibri" w:cs="Calibri"/>
          <w:szCs w:val="24"/>
          <w:lang w:val="pt-BR"/>
        </w:rPr>
        <w:t xml:space="preserve"> registram os itens de propriedade da CDRJ que são utilizados nas atividades operacionais.</w:t>
      </w:r>
    </w:p>
    <w:p w:rsidR="0036637E" w:rsidRDefault="0036637E" w:rsidP="0036637E">
      <w:pPr>
        <w:pStyle w:val="Recuodecorpodetexto"/>
        <w:widowControl/>
        <w:autoSpaceDE w:val="0"/>
        <w:autoSpaceDN w:val="0"/>
        <w:ind w:left="851"/>
        <w:rPr>
          <w:rFonts w:ascii="Calibri" w:hAnsi="Calibri" w:cs="Calibri"/>
          <w:szCs w:val="24"/>
          <w:lang w:val="pt-BR"/>
        </w:rPr>
      </w:pPr>
    </w:p>
    <w:p w:rsidR="0036637E" w:rsidRDefault="0036637E" w:rsidP="0036637E">
      <w:pPr>
        <w:pStyle w:val="Recuodecorpodetexto"/>
        <w:widowControl/>
        <w:autoSpaceDE w:val="0"/>
        <w:autoSpaceDN w:val="0"/>
        <w:ind w:left="851"/>
        <w:rPr>
          <w:rFonts w:ascii="Calibri" w:hAnsi="Calibri" w:cs="Calibri"/>
          <w:szCs w:val="24"/>
          <w:lang w:val="pt-BR"/>
        </w:rPr>
      </w:pPr>
      <w:r w:rsidRPr="0036637E">
        <w:rPr>
          <w:rFonts w:ascii="Calibri" w:hAnsi="Calibri" w:cs="Calibri"/>
          <w:b/>
          <w:szCs w:val="24"/>
          <w:lang w:val="pt-BR"/>
        </w:rPr>
        <w:t>Bens da Administração</w:t>
      </w:r>
      <w:r>
        <w:rPr>
          <w:rFonts w:ascii="Calibri" w:hAnsi="Calibri" w:cs="Calibri"/>
          <w:szCs w:val="24"/>
          <w:lang w:val="pt-BR"/>
        </w:rPr>
        <w:t xml:space="preserve"> registram os itens utilizados na atividade administrativa.</w:t>
      </w:r>
    </w:p>
    <w:p w:rsidR="0036637E" w:rsidRDefault="0036637E" w:rsidP="0036637E">
      <w:pPr>
        <w:pStyle w:val="Recuodecorpodetexto"/>
        <w:widowControl/>
        <w:autoSpaceDE w:val="0"/>
        <w:autoSpaceDN w:val="0"/>
        <w:ind w:left="851"/>
        <w:rPr>
          <w:rFonts w:ascii="Calibri" w:hAnsi="Calibri" w:cs="Calibri"/>
          <w:szCs w:val="24"/>
          <w:lang w:val="pt-BR"/>
        </w:rPr>
      </w:pPr>
    </w:p>
    <w:p w:rsidR="0036637E" w:rsidRDefault="0036637E" w:rsidP="0036637E">
      <w:pPr>
        <w:pStyle w:val="Recuodecorpodetexto"/>
        <w:widowControl/>
        <w:autoSpaceDE w:val="0"/>
        <w:autoSpaceDN w:val="0"/>
        <w:ind w:left="851"/>
        <w:rPr>
          <w:rFonts w:ascii="Calibri" w:hAnsi="Calibri" w:cs="Calibri"/>
          <w:b/>
          <w:szCs w:val="24"/>
          <w:lang w:val="pt-BR"/>
        </w:rPr>
      </w:pPr>
      <w:r w:rsidRPr="0036637E">
        <w:rPr>
          <w:rFonts w:ascii="Calibri" w:hAnsi="Calibri" w:cs="Calibri"/>
          <w:b/>
          <w:szCs w:val="24"/>
          <w:lang w:val="pt-BR"/>
        </w:rPr>
        <w:t>Imobilizado em andamento</w:t>
      </w:r>
      <w:r>
        <w:rPr>
          <w:rFonts w:ascii="Calibri" w:hAnsi="Calibri" w:cs="Calibri"/>
          <w:szCs w:val="24"/>
          <w:lang w:val="pt-BR"/>
        </w:rPr>
        <w:t xml:space="preserve"> registram os itens que ainda não estão operando.</w:t>
      </w:r>
    </w:p>
    <w:p w:rsidR="0036637E" w:rsidRPr="00312424" w:rsidRDefault="0036637E" w:rsidP="00C16DDB">
      <w:pPr>
        <w:pStyle w:val="Recuodecorpodetexto"/>
        <w:widowControl/>
        <w:autoSpaceDE w:val="0"/>
        <w:autoSpaceDN w:val="0"/>
        <w:ind w:left="1353"/>
        <w:rPr>
          <w:rFonts w:ascii="Calibri" w:hAnsi="Calibri" w:cs="Calibri"/>
          <w:b/>
          <w:szCs w:val="24"/>
          <w:lang w:val="pt-BR"/>
        </w:rPr>
      </w:pPr>
    </w:p>
    <w:p w:rsidR="000604CA" w:rsidRPr="00312424" w:rsidRDefault="000604CA" w:rsidP="00B93985">
      <w:pPr>
        <w:pStyle w:val="Recuodecorpodetexto"/>
        <w:widowControl/>
        <w:numPr>
          <w:ilvl w:val="1"/>
          <w:numId w:val="5"/>
        </w:numPr>
        <w:tabs>
          <w:tab w:val="left" w:pos="1134"/>
        </w:tabs>
        <w:autoSpaceDE w:val="0"/>
        <w:autoSpaceDN w:val="0"/>
        <w:ind w:left="993" w:hanging="567"/>
        <w:rPr>
          <w:rFonts w:ascii="Calibri" w:hAnsi="Calibri" w:cs="Calibri"/>
          <w:b/>
          <w:szCs w:val="24"/>
        </w:rPr>
      </w:pPr>
      <w:r>
        <w:rPr>
          <w:rFonts w:ascii="Calibri" w:hAnsi="Calibri" w:cs="Calibri"/>
          <w:b/>
          <w:szCs w:val="24"/>
          <w:lang w:val="pt-BR"/>
        </w:rPr>
        <w:t>Intangível</w:t>
      </w:r>
    </w:p>
    <w:p w:rsidR="000604CA" w:rsidRPr="00312424" w:rsidRDefault="000604CA" w:rsidP="000604CA">
      <w:pPr>
        <w:pStyle w:val="Recuodecorpodetexto"/>
        <w:widowControl/>
        <w:autoSpaceDE w:val="0"/>
        <w:autoSpaceDN w:val="0"/>
        <w:ind w:left="1418"/>
        <w:rPr>
          <w:rFonts w:ascii="Calibri" w:hAnsi="Calibri" w:cs="Calibri"/>
          <w:szCs w:val="24"/>
        </w:rPr>
      </w:pPr>
    </w:p>
    <w:p w:rsidR="000604CA" w:rsidRPr="00312424" w:rsidRDefault="000604CA" w:rsidP="000604CA">
      <w:pPr>
        <w:pStyle w:val="Ttulo3"/>
        <w:ind w:left="851"/>
        <w:jc w:val="both"/>
        <w:rPr>
          <w:rFonts w:ascii="Calibri" w:hAnsi="Calibri" w:cs="Calibri"/>
          <w:sz w:val="24"/>
          <w:szCs w:val="24"/>
        </w:rPr>
      </w:pPr>
      <w:r w:rsidRPr="00312424">
        <w:rPr>
          <w:rFonts w:ascii="Calibri" w:hAnsi="Calibri" w:cs="Calibri"/>
          <w:sz w:val="24"/>
          <w:szCs w:val="24"/>
        </w:rPr>
        <w:t>O ativo intangível está demonstrado ao custo de aquisição, deduzido d</w:t>
      </w:r>
      <w:r>
        <w:rPr>
          <w:rFonts w:ascii="Calibri" w:hAnsi="Calibri" w:cs="Calibri"/>
          <w:sz w:val="24"/>
          <w:szCs w:val="24"/>
        </w:rPr>
        <w:t>a</w:t>
      </w:r>
      <w:r w:rsidRPr="00312424">
        <w:rPr>
          <w:rFonts w:ascii="Calibri" w:hAnsi="Calibri" w:cs="Calibri"/>
          <w:sz w:val="24"/>
          <w:szCs w:val="24"/>
        </w:rPr>
        <w:t xml:space="preserve"> amortização acumulada</w:t>
      </w:r>
      <w:r>
        <w:rPr>
          <w:rFonts w:ascii="Calibri" w:hAnsi="Calibri" w:cs="Calibri"/>
          <w:sz w:val="24"/>
          <w:szCs w:val="24"/>
        </w:rPr>
        <w:t xml:space="preserve">, </w:t>
      </w:r>
      <w:r w:rsidRPr="00312424">
        <w:rPr>
          <w:rFonts w:ascii="Calibri" w:hAnsi="Calibri" w:cs="Calibri"/>
          <w:sz w:val="24"/>
          <w:szCs w:val="24"/>
        </w:rPr>
        <w:t>calculada segundo o método linear, com base em taxas que contemplam a vida útil-econômica estimada para cada classe de bens</w:t>
      </w:r>
      <w:r w:rsidR="00D0760C">
        <w:rPr>
          <w:rFonts w:ascii="Calibri" w:hAnsi="Calibri" w:cs="Calibri"/>
          <w:sz w:val="24"/>
          <w:szCs w:val="24"/>
        </w:rPr>
        <w:t>.</w:t>
      </w:r>
      <w:r w:rsidRPr="00312424">
        <w:rPr>
          <w:rFonts w:ascii="Calibri" w:hAnsi="Calibri" w:cs="Calibri"/>
          <w:sz w:val="24"/>
          <w:szCs w:val="24"/>
        </w:rPr>
        <w:t xml:space="preserve"> </w:t>
      </w:r>
    </w:p>
    <w:p w:rsidR="00C16DDB" w:rsidRDefault="00C16DDB" w:rsidP="000604CA">
      <w:pPr>
        <w:pStyle w:val="Recuodecorpodetexto"/>
        <w:widowControl/>
        <w:autoSpaceDE w:val="0"/>
        <w:autoSpaceDN w:val="0"/>
        <w:ind w:left="1353"/>
        <w:rPr>
          <w:rFonts w:ascii="Calibri" w:hAnsi="Calibri" w:cs="Calibri"/>
          <w:b/>
          <w:szCs w:val="24"/>
          <w:lang w:val="pt-BR"/>
        </w:rPr>
      </w:pPr>
    </w:p>
    <w:p w:rsidR="000604CA" w:rsidRPr="00312424" w:rsidRDefault="000604CA" w:rsidP="00B93985">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 xml:space="preserve">Obrigações </w:t>
      </w:r>
      <w:r>
        <w:rPr>
          <w:rFonts w:ascii="Calibri" w:hAnsi="Calibri" w:cs="Calibri"/>
          <w:b/>
          <w:szCs w:val="24"/>
          <w:lang w:val="pt-BR"/>
        </w:rPr>
        <w:t>T</w:t>
      </w:r>
      <w:r w:rsidRPr="00312424">
        <w:rPr>
          <w:rFonts w:ascii="Calibri" w:hAnsi="Calibri" w:cs="Calibri"/>
          <w:b/>
          <w:szCs w:val="24"/>
          <w:lang w:val="pt-BR"/>
        </w:rPr>
        <w:t xml:space="preserve">rabalhistas </w:t>
      </w:r>
      <w:r>
        <w:rPr>
          <w:rFonts w:ascii="Calibri" w:hAnsi="Calibri" w:cs="Calibri"/>
          <w:b/>
          <w:szCs w:val="24"/>
          <w:lang w:val="pt-BR"/>
        </w:rPr>
        <w:t>F</w:t>
      </w:r>
      <w:r w:rsidRPr="00312424">
        <w:rPr>
          <w:rFonts w:ascii="Calibri" w:hAnsi="Calibri" w:cs="Calibri"/>
          <w:b/>
          <w:szCs w:val="24"/>
          <w:lang w:val="pt-BR"/>
        </w:rPr>
        <w:t>iscais e</w:t>
      </w:r>
      <w:r>
        <w:rPr>
          <w:rFonts w:ascii="Calibri" w:hAnsi="Calibri" w:cs="Calibri"/>
          <w:b/>
          <w:szCs w:val="24"/>
          <w:lang w:val="pt-BR"/>
        </w:rPr>
        <w:t xml:space="preserve"> C</w:t>
      </w:r>
      <w:r w:rsidRPr="00312424">
        <w:rPr>
          <w:rFonts w:ascii="Calibri" w:hAnsi="Calibri" w:cs="Calibri"/>
          <w:b/>
          <w:szCs w:val="24"/>
          <w:lang w:val="pt-BR"/>
        </w:rPr>
        <w:t>ontratuais</w:t>
      </w:r>
    </w:p>
    <w:p w:rsidR="000604CA" w:rsidRPr="00312424" w:rsidRDefault="000604CA" w:rsidP="000604CA">
      <w:pPr>
        <w:pStyle w:val="Recuodecorpodetexto"/>
        <w:widowControl/>
        <w:autoSpaceDE w:val="0"/>
        <w:autoSpaceDN w:val="0"/>
        <w:ind w:left="1418"/>
        <w:rPr>
          <w:rFonts w:ascii="Calibri" w:hAnsi="Calibri" w:cs="Calibri"/>
          <w:szCs w:val="24"/>
        </w:rPr>
      </w:pPr>
    </w:p>
    <w:p w:rsidR="000604CA" w:rsidRPr="00312424" w:rsidRDefault="000604CA" w:rsidP="000604CA">
      <w:pPr>
        <w:pStyle w:val="Ttulo3"/>
        <w:ind w:left="851"/>
        <w:jc w:val="both"/>
        <w:rPr>
          <w:rFonts w:ascii="Calibri" w:hAnsi="Calibri" w:cs="Calibri"/>
          <w:sz w:val="24"/>
          <w:szCs w:val="24"/>
        </w:rPr>
      </w:pPr>
      <w:r w:rsidRPr="00312424">
        <w:rPr>
          <w:rFonts w:ascii="Calibri" w:hAnsi="Calibri" w:cs="Calibri"/>
          <w:sz w:val="24"/>
          <w:szCs w:val="24"/>
        </w:rPr>
        <w:t xml:space="preserve">As obrigações fiscais, trabalhistas e contratuais foram atualizadas até a data do balanço. </w:t>
      </w:r>
    </w:p>
    <w:p w:rsidR="000604CA" w:rsidRPr="00312424" w:rsidRDefault="000604CA" w:rsidP="000604CA">
      <w:pPr>
        <w:pStyle w:val="Recuodecorpodetexto"/>
        <w:widowControl/>
        <w:autoSpaceDE w:val="0"/>
        <w:autoSpaceDN w:val="0"/>
        <w:ind w:left="1353"/>
        <w:rPr>
          <w:rFonts w:ascii="Calibri" w:hAnsi="Calibri" w:cs="Calibri"/>
          <w:b/>
          <w:szCs w:val="24"/>
          <w:lang w:val="pt-BR"/>
        </w:rPr>
      </w:pPr>
    </w:p>
    <w:p w:rsidR="00C16DDB" w:rsidRPr="00312424" w:rsidRDefault="00C16DDB" w:rsidP="00B93985">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 xml:space="preserve"> Benefícios </w:t>
      </w:r>
      <w:r w:rsidR="00947D01">
        <w:rPr>
          <w:rFonts w:ascii="Calibri" w:hAnsi="Calibri" w:cs="Calibri"/>
          <w:b/>
          <w:szCs w:val="24"/>
          <w:lang w:val="pt-BR"/>
        </w:rPr>
        <w:t>P</w:t>
      </w:r>
      <w:r w:rsidRPr="00312424">
        <w:rPr>
          <w:rFonts w:ascii="Calibri" w:hAnsi="Calibri" w:cs="Calibri"/>
          <w:b/>
          <w:szCs w:val="24"/>
          <w:lang w:val="pt-BR"/>
        </w:rPr>
        <w:t>ós-</w:t>
      </w:r>
      <w:r w:rsidR="00947D01">
        <w:rPr>
          <w:rFonts w:ascii="Calibri" w:hAnsi="Calibri" w:cs="Calibri"/>
          <w:b/>
          <w:szCs w:val="24"/>
          <w:lang w:val="pt-BR"/>
        </w:rPr>
        <w:t>E</w:t>
      </w:r>
      <w:r w:rsidRPr="00312424">
        <w:rPr>
          <w:rFonts w:ascii="Calibri" w:hAnsi="Calibri" w:cs="Calibri"/>
          <w:b/>
          <w:szCs w:val="24"/>
          <w:lang w:val="pt-BR"/>
        </w:rPr>
        <w:t>mprego</w:t>
      </w:r>
    </w:p>
    <w:p w:rsidR="00C16DDB" w:rsidRPr="00312424" w:rsidRDefault="00C16DDB" w:rsidP="00C16DDB">
      <w:pPr>
        <w:pStyle w:val="Recuodecorpodetexto"/>
        <w:widowControl/>
        <w:autoSpaceDE w:val="0"/>
        <w:autoSpaceDN w:val="0"/>
        <w:ind w:left="1418"/>
        <w:rPr>
          <w:rFonts w:ascii="Calibri" w:hAnsi="Calibri" w:cs="Calibri"/>
          <w:szCs w:val="24"/>
        </w:rPr>
      </w:pPr>
    </w:p>
    <w:p w:rsidR="00C16DDB" w:rsidRPr="00312424" w:rsidRDefault="00C16DDB" w:rsidP="00C16DDB">
      <w:pPr>
        <w:pStyle w:val="Ttulo3"/>
        <w:ind w:left="851"/>
        <w:jc w:val="both"/>
        <w:rPr>
          <w:rFonts w:ascii="Calibri" w:hAnsi="Calibri" w:cs="Calibri"/>
          <w:sz w:val="24"/>
          <w:szCs w:val="24"/>
        </w:rPr>
      </w:pPr>
      <w:r w:rsidRPr="00312424">
        <w:rPr>
          <w:rFonts w:ascii="Calibri" w:hAnsi="Calibri" w:cs="Calibri"/>
          <w:sz w:val="24"/>
          <w:szCs w:val="24"/>
        </w:rPr>
        <w:t xml:space="preserve">Os benefícios concedidos a empregados e seus beneficiários, em especial os planos de aposentadoria e pensão junto ao PORTUS – Instituto de Seguridade Social, decorrem de termos de confissões de dívidas e de cálculos atuariais. </w:t>
      </w:r>
    </w:p>
    <w:p w:rsidR="00C16DDB" w:rsidRPr="00312424" w:rsidRDefault="00C16DDB" w:rsidP="00C16DDB">
      <w:pPr>
        <w:pStyle w:val="Recuodecorpodetexto"/>
        <w:widowControl/>
        <w:autoSpaceDE w:val="0"/>
        <w:autoSpaceDN w:val="0"/>
        <w:ind w:left="1353"/>
        <w:rPr>
          <w:rFonts w:ascii="Calibri" w:hAnsi="Calibri" w:cs="Calibri"/>
          <w:b/>
          <w:szCs w:val="24"/>
          <w:lang w:val="pt-BR"/>
        </w:rPr>
      </w:pPr>
    </w:p>
    <w:p w:rsidR="00C16DDB" w:rsidRPr="00D15E30" w:rsidRDefault="00C16DDB" w:rsidP="00B93985">
      <w:pPr>
        <w:pStyle w:val="Recuodecorpodetexto"/>
        <w:widowControl/>
        <w:numPr>
          <w:ilvl w:val="1"/>
          <w:numId w:val="5"/>
        </w:numPr>
        <w:autoSpaceDE w:val="0"/>
        <w:autoSpaceDN w:val="0"/>
        <w:ind w:left="993" w:hanging="567"/>
        <w:rPr>
          <w:rFonts w:ascii="Calibri" w:hAnsi="Calibri" w:cs="Calibri"/>
          <w:b/>
          <w:szCs w:val="24"/>
        </w:rPr>
      </w:pPr>
      <w:r w:rsidRPr="00D15E30">
        <w:rPr>
          <w:rFonts w:ascii="Calibri" w:hAnsi="Calibri" w:cs="Calibri"/>
          <w:b/>
          <w:szCs w:val="24"/>
          <w:lang w:val="pt-BR"/>
        </w:rPr>
        <w:t xml:space="preserve">Provisões para </w:t>
      </w:r>
      <w:r w:rsidR="00947D01" w:rsidRPr="00D15E30">
        <w:rPr>
          <w:rFonts w:ascii="Calibri" w:hAnsi="Calibri" w:cs="Calibri"/>
          <w:b/>
          <w:szCs w:val="24"/>
          <w:lang w:val="pt-BR"/>
        </w:rPr>
        <w:t>C</w:t>
      </w:r>
      <w:r w:rsidRPr="00D15E30">
        <w:rPr>
          <w:rFonts w:ascii="Calibri" w:hAnsi="Calibri" w:cs="Calibri"/>
          <w:b/>
          <w:szCs w:val="24"/>
          <w:lang w:val="pt-BR"/>
        </w:rPr>
        <w:t>ontingências</w:t>
      </w:r>
    </w:p>
    <w:p w:rsidR="00C16DDB" w:rsidRPr="00D15E30" w:rsidRDefault="00C16DDB" w:rsidP="00C16DDB">
      <w:pPr>
        <w:pStyle w:val="Recuodecorpodetexto"/>
        <w:widowControl/>
        <w:autoSpaceDE w:val="0"/>
        <w:autoSpaceDN w:val="0"/>
        <w:ind w:left="1418"/>
        <w:rPr>
          <w:rFonts w:ascii="Calibri" w:hAnsi="Calibri" w:cs="Calibri"/>
          <w:szCs w:val="24"/>
        </w:rPr>
      </w:pPr>
    </w:p>
    <w:p w:rsidR="00C16DDB" w:rsidRPr="00D15E30" w:rsidRDefault="00C16DDB" w:rsidP="00C16DDB">
      <w:pPr>
        <w:pStyle w:val="Ttulo3"/>
        <w:ind w:left="851"/>
        <w:jc w:val="both"/>
        <w:rPr>
          <w:rFonts w:ascii="Calibri" w:hAnsi="Calibri" w:cs="Calibri"/>
          <w:sz w:val="24"/>
          <w:szCs w:val="24"/>
        </w:rPr>
      </w:pPr>
      <w:r w:rsidRPr="00D15E30">
        <w:rPr>
          <w:rFonts w:ascii="Calibri" w:hAnsi="Calibri" w:cs="Calibri"/>
          <w:sz w:val="24"/>
          <w:szCs w:val="24"/>
        </w:rPr>
        <w:t xml:space="preserve">As provisões para contingências foram reconhecidas com base nas estimativas de perdas prováveis em ações nas quais a Companhia é parte, mensuradas através de relatórios gerenciados pela Superintendência Jurídica da CDRJ, sendo o seu reconhecimento, </w:t>
      </w:r>
      <w:r w:rsidRPr="00D15E30">
        <w:rPr>
          <w:rFonts w:ascii="Calibri" w:hAnsi="Calibri" w:cs="Calibri"/>
          <w:sz w:val="24"/>
          <w:szCs w:val="24"/>
        </w:rPr>
        <w:lastRenderedPageBreak/>
        <w:t>mensuração e divulgação efetuados em atendimento ao CPC 25 – Provisões, passivos contingentes e ativos contingentes.</w:t>
      </w:r>
    </w:p>
    <w:p w:rsidR="006715E0" w:rsidRPr="00D15E30" w:rsidRDefault="006715E0" w:rsidP="00947D01">
      <w:pPr>
        <w:rPr>
          <w:rFonts w:ascii="Calibri" w:hAnsi="Calibri" w:cs="Calibri"/>
          <w:sz w:val="24"/>
          <w:szCs w:val="24"/>
        </w:rPr>
      </w:pPr>
    </w:p>
    <w:p w:rsidR="00D15E30" w:rsidRPr="00D15E30" w:rsidRDefault="00F5394A" w:rsidP="00B93985">
      <w:pPr>
        <w:pStyle w:val="Recuodecorpodetexto"/>
        <w:widowControl/>
        <w:numPr>
          <w:ilvl w:val="1"/>
          <w:numId w:val="5"/>
        </w:numPr>
        <w:autoSpaceDE w:val="0"/>
        <w:autoSpaceDN w:val="0"/>
        <w:ind w:left="993" w:hanging="567"/>
        <w:rPr>
          <w:rFonts w:ascii="Calibri" w:hAnsi="Calibri" w:cs="Calibri"/>
          <w:b/>
          <w:szCs w:val="24"/>
        </w:rPr>
      </w:pPr>
      <w:r>
        <w:rPr>
          <w:rFonts w:ascii="Calibri" w:hAnsi="Calibri" w:cs="Calibri"/>
          <w:b/>
          <w:szCs w:val="24"/>
          <w:lang w:val="pt-BR"/>
        </w:rPr>
        <w:t>Adiantamentos</w:t>
      </w:r>
    </w:p>
    <w:p w:rsidR="00D15E30" w:rsidRPr="00D15E30" w:rsidRDefault="00D15E30" w:rsidP="00D15E30">
      <w:pPr>
        <w:pStyle w:val="Ttulo3"/>
        <w:ind w:left="851"/>
        <w:jc w:val="both"/>
        <w:rPr>
          <w:rFonts w:ascii="Calibri" w:hAnsi="Calibri" w:cs="Calibri"/>
          <w:sz w:val="24"/>
          <w:szCs w:val="24"/>
        </w:rPr>
      </w:pPr>
    </w:p>
    <w:p w:rsidR="00D15E30" w:rsidRDefault="00D15E30" w:rsidP="00D15E30">
      <w:pPr>
        <w:pStyle w:val="Ttulo3"/>
        <w:ind w:left="851"/>
        <w:jc w:val="both"/>
        <w:rPr>
          <w:rFonts w:ascii="Calibri" w:hAnsi="Calibri" w:cs="Calibri"/>
          <w:sz w:val="24"/>
          <w:szCs w:val="24"/>
        </w:rPr>
      </w:pPr>
      <w:r>
        <w:rPr>
          <w:rFonts w:ascii="Calibri" w:hAnsi="Calibri" w:cs="Calibri"/>
          <w:sz w:val="24"/>
          <w:szCs w:val="24"/>
        </w:rPr>
        <w:t>Devido à realização de operação de antecipação de recebíveis junto à União, por conta de cessão de créditos futuros, da carteira de clientes da CDRJ,</w:t>
      </w:r>
      <w:r w:rsidRPr="00D15E30">
        <w:rPr>
          <w:rFonts w:ascii="Calibri" w:hAnsi="Calibri" w:cs="Calibri"/>
          <w:sz w:val="24"/>
          <w:szCs w:val="24"/>
        </w:rPr>
        <w:t xml:space="preserve"> </w:t>
      </w:r>
      <w:r>
        <w:rPr>
          <w:rFonts w:ascii="Calibri" w:hAnsi="Calibri" w:cs="Calibri"/>
          <w:sz w:val="24"/>
          <w:szCs w:val="24"/>
        </w:rPr>
        <w:t>as receitas inerentes a estes créditos são reconhecidas à medida que são incorridas</w:t>
      </w:r>
      <w:r w:rsidR="0087058E">
        <w:rPr>
          <w:rFonts w:ascii="Calibri" w:hAnsi="Calibri" w:cs="Calibri"/>
          <w:sz w:val="24"/>
          <w:szCs w:val="24"/>
        </w:rPr>
        <w:t>, pelo regime de competência.</w:t>
      </w:r>
      <w:r w:rsidRPr="00D15E30">
        <w:rPr>
          <w:rFonts w:ascii="Calibri" w:hAnsi="Calibri" w:cs="Calibri"/>
          <w:sz w:val="24"/>
          <w:szCs w:val="24"/>
        </w:rPr>
        <w:t xml:space="preserve"> </w:t>
      </w:r>
    </w:p>
    <w:p w:rsidR="00AE3EE6" w:rsidRPr="00AE3EE6" w:rsidRDefault="00AE3EE6" w:rsidP="00AE3EE6"/>
    <w:p w:rsidR="00D15E30" w:rsidRPr="00A87863" w:rsidRDefault="00D15E30" w:rsidP="00B93985">
      <w:pPr>
        <w:pStyle w:val="Recuodecorpodetexto"/>
        <w:widowControl/>
        <w:numPr>
          <w:ilvl w:val="1"/>
          <w:numId w:val="5"/>
        </w:numPr>
        <w:autoSpaceDE w:val="0"/>
        <w:autoSpaceDN w:val="0"/>
        <w:ind w:left="993" w:hanging="567"/>
        <w:rPr>
          <w:rFonts w:ascii="Calibri" w:hAnsi="Calibri" w:cs="Calibri"/>
          <w:b/>
          <w:szCs w:val="24"/>
        </w:rPr>
      </w:pPr>
      <w:r>
        <w:rPr>
          <w:rFonts w:ascii="Calibri" w:hAnsi="Calibri" w:cs="Calibri"/>
          <w:b/>
          <w:szCs w:val="24"/>
          <w:lang w:val="pt-BR"/>
        </w:rPr>
        <w:t>Imposto de Renda e Contribuição Social</w:t>
      </w:r>
    </w:p>
    <w:p w:rsidR="00A87863" w:rsidRPr="00A87863" w:rsidRDefault="00A87863" w:rsidP="00A87863">
      <w:pPr>
        <w:pStyle w:val="Recuodecorpodetexto"/>
        <w:widowControl/>
        <w:autoSpaceDE w:val="0"/>
        <w:autoSpaceDN w:val="0"/>
        <w:ind w:left="993"/>
        <w:rPr>
          <w:rFonts w:ascii="Calibri" w:hAnsi="Calibri" w:cs="Calibri"/>
          <w:b/>
          <w:szCs w:val="24"/>
        </w:rPr>
      </w:pPr>
    </w:p>
    <w:p w:rsidR="00A87863" w:rsidRPr="00A87863" w:rsidRDefault="00A87863" w:rsidP="00A87863">
      <w:pPr>
        <w:pStyle w:val="Ttulo3"/>
        <w:ind w:left="851"/>
        <w:jc w:val="both"/>
        <w:rPr>
          <w:rFonts w:ascii="Calibri" w:hAnsi="Calibri" w:cs="Calibri"/>
          <w:sz w:val="24"/>
          <w:szCs w:val="24"/>
        </w:rPr>
      </w:pPr>
      <w:r>
        <w:rPr>
          <w:rFonts w:ascii="Calibri" w:hAnsi="Calibri" w:cs="Calibri"/>
          <w:sz w:val="24"/>
          <w:szCs w:val="24"/>
        </w:rPr>
        <w:t xml:space="preserve">A despesa do imposto de renda e da contribuição social são apropriadas na demonstração do resultado, exceto quando estiverem relacionadas com itens reconhecidos diretamente no patrimônio líquido. Os encargos de imposto de renda e contribuição social, correntes e </w:t>
      </w:r>
      <w:r w:rsidRPr="00921985">
        <w:rPr>
          <w:rFonts w:ascii="Calibri" w:hAnsi="Calibri" w:cs="Calibri"/>
          <w:sz w:val="24"/>
          <w:szCs w:val="24"/>
        </w:rPr>
        <w:t>diferidos, são calculados com base nas leis tributárias vigentes</w:t>
      </w:r>
      <w:r>
        <w:rPr>
          <w:rFonts w:ascii="Calibri" w:hAnsi="Calibri" w:cs="Calibri"/>
          <w:sz w:val="24"/>
          <w:szCs w:val="24"/>
        </w:rPr>
        <w:t>.</w:t>
      </w:r>
    </w:p>
    <w:p w:rsidR="00A87863" w:rsidRPr="00A87863" w:rsidRDefault="00A87863" w:rsidP="00A87863">
      <w:pPr>
        <w:pStyle w:val="Recuodecorpodetexto"/>
        <w:widowControl/>
        <w:autoSpaceDE w:val="0"/>
        <w:autoSpaceDN w:val="0"/>
        <w:rPr>
          <w:rFonts w:ascii="Calibri" w:hAnsi="Calibri" w:cs="Calibri"/>
          <w:b/>
          <w:szCs w:val="24"/>
        </w:rPr>
      </w:pPr>
    </w:p>
    <w:p w:rsidR="00A87863" w:rsidRPr="00A87863" w:rsidRDefault="00A87863" w:rsidP="00A87863">
      <w:pPr>
        <w:pStyle w:val="Recuodecorpodetexto"/>
        <w:widowControl/>
        <w:numPr>
          <w:ilvl w:val="1"/>
          <w:numId w:val="5"/>
        </w:numPr>
        <w:autoSpaceDE w:val="0"/>
        <w:autoSpaceDN w:val="0"/>
        <w:ind w:left="993" w:hanging="567"/>
        <w:rPr>
          <w:rFonts w:ascii="Calibri" w:hAnsi="Calibri" w:cs="Calibri"/>
          <w:b/>
          <w:szCs w:val="24"/>
        </w:rPr>
      </w:pPr>
      <w:r>
        <w:rPr>
          <w:rFonts w:ascii="Calibri" w:hAnsi="Calibri" w:cs="Calibri"/>
          <w:b/>
          <w:szCs w:val="24"/>
          <w:lang w:val="pt-BR"/>
        </w:rPr>
        <w:t>Receita Operacional</w:t>
      </w:r>
    </w:p>
    <w:p w:rsidR="00D15E30" w:rsidRPr="00D15E30" w:rsidRDefault="00D15E30" w:rsidP="00D15E30">
      <w:pPr>
        <w:pStyle w:val="Ttulo3"/>
        <w:ind w:left="851"/>
        <w:jc w:val="both"/>
        <w:rPr>
          <w:rFonts w:ascii="Calibri" w:hAnsi="Calibri" w:cs="Calibri"/>
          <w:sz w:val="24"/>
          <w:szCs w:val="24"/>
        </w:rPr>
      </w:pPr>
    </w:p>
    <w:p w:rsidR="006B4C02" w:rsidRDefault="00D15E30" w:rsidP="00A87863">
      <w:pPr>
        <w:pStyle w:val="Ttulo3"/>
        <w:ind w:left="851"/>
        <w:jc w:val="both"/>
        <w:rPr>
          <w:rFonts w:ascii="Calibri" w:hAnsi="Calibri" w:cs="Calibri"/>
          <w:sz w:val="24"/>
          <w:szCs w:val="24"/>
        </w:rPr>
      </w:pPr>
      <w:r>
        <w:rPr>
          <w:rFonts w:ascii="Calibri" w:hAnsi="Calibri" w:cs="Calibri"/>
          <w:sz w:val="24"/>
          <w:szCs w:val="24"/>
        </w:rPr>
        <w:t xml:space="preserve">A </w:t>
      </w:r>
      <w:r w:rsidR="00A87863">
        <w:rPr>
          <w:rFonts w:ascii="Calibri" w:hAnsi="Calibri" w:cs="Calibri"/>
          <w:sz w:val="24"/>
          <w:szCs w:val="24"/>
        </w:rPr>
        <w:t xml:space="preserve">receita é mensurada </w:t>
      </w:r>
      <w:r w:rsidR="006B4C02">
        <w:rPr>
          <w:rFonts w:ascii="Calibri" w:hAnsi="Calibri" w:cs="Calibri"/>
          <w:sz w:val="24"/>
          <w:szCs w:val="24"/>
        </w:rPr>
        <w:t xml:space="preserve">quando seu valor pode ser mensurado de maneira confiável, sendo provável que os benefícios econômicos futuros serão transferidos para a sociedade, os custos incorridos na transação possam ser mensurados e os riscos e benefícios foram transferidos e assumidos pelo tomador do serviço. Uma receita não é reconhecida se há uma incerteza significativa na sua realização. </w:t>
      </w:r>
    </w:p>
    <w:p w:rsidR="006B4C02" w:rsidRDefault="006B4C02" w:rsidP="00A87863">
      <w:pPr>
        <w:pStyle w:val="Ttulo3"/>
        <w:ind w:left="851"/>
        <w:jc w:val="both"/>
        <w:rPr>
          <w:rFonts w:ascii="Calibri" w:hAnsi="Calibri" w:cs="Calibri"/>
          <w:sz w:val="24"/>
          <w:szCs w:val="24"/>
        </w:rPr>
      </w:pPr>
    </w:p>
    <w:p w:rsidR="007964CD" w:rsidRDefault="00A87863" w:rsidP="005623D9">
      <w:pPr>
        <w:pStyle w:val="PargrafodaLista"/>
        <w:numPr>
          <w:ilvl w:val="0"/>
          <w:numId w:val="27"/>
        </w:numPr>
        <w:spacing w:after="0" w:line="240" w:lineRule="auto"/>
        <w:ind w:left="852" w:firstLine="0"/>
        <w:jc w:val="both"/>
        <w:rPr>
          <w:rFonts w:cs="Calibri"/>
          <w:b/>
          <w:sz w:val="24"/>
          <w:szCs w:val="24"/>
        </w:rPr>
      </w:pPr>
      <w:r w:rsidRPr="005623D9">
        <w:rPr>
          <w:rFonts w:cs="Calibri"/>
          <w:b/>
          <w:sz w:val="24"/>
          <w:szCs w:val="24"/>
        </w:rPr>
        <w:t>Tarifas Portuárias</w:t>
      </w:r>
    </w:p>
    <w:p w:rsidR="005623D9" w:rsidRPr="005623D9" w:rsidRDefault="005623D9" w:rsidP="005623D9">
      <w:pPr>
        <w:pStyle w:val="PargrafodaLista"/>
        <w:spacing w:after="0" w:line="240" w:lineRule="auto"/>
        <w:ind w:left="852"/>
        <w:jc w:val="both"/>
        <w:rPr>
          <w:rFonts w:cs="Calibri"/>
          <w:b/>
          <w:sz w:val="24"/>
          <w:szCs w:val="24"/>
        </w:rPr>
      </w:pPr>
    </w:p>
    <w:p w:rsidR="00A87863" w:rsidRDefault="005623D9" w:rsidP="005623D9">
      <w:pPr>
        <w:pStyle w:val="PargrafodaLista"/>
        <w:spacing w:after="0" w:line="240" w:lineRule="auto"/>
        <w:ind w:left="851"/>
        <w:jc w:val="both"/>
        <w:rPr>
          <w:rFonts w:cs="Calibri"/>
          <w:sz w:val="24"/>
          <w:szCs w:val="24"/>
        </w:rPr>
      </w:pPr>
      <w:r>
        <w:rPr>
          <w:rFonts w:cs="Calibri"/>
          <w:sz w:val="24"/>
          <w:szCs w:val="24"/>
        </w:rPr>
        <w:t>A</w:t>
      </w:r>
      <w:r w:rsidR="006B4C02">
        <w:rPr>
          <w:rFonts w:cs="Calibri"/>
          <w:sz w:val="24"/>
          <w:szCs w:val="24"/>
        </w:rPr>
        <w:t>s</w:t>
      </w:r>
      <w:r>
        <w:rPr>
          <w:rFonts w:cs="Calibri"/>
          <w:sz w:val="24"/>
          <w:szCs w:val="24"/>
        </w:rPr>
        <w:t xml:space="preserve"> receita</w:t>
      </w:r>
      <w:r w:rsidR="006B4C02">
        <w:rPr>
          <w:rFonts w:cs="Calibri"/>
          <w:sz w:val="24"/>
          <w:szCs w:val="24"/>
        </w:rPr>
        <w:t>s</w:t>
      </w:r>
      <w:r>
        <w:rPr>
          <w:rFonts w:cs="Calibri"/>
          <w:sz w:val="24"/>
          <w:szCs w:val="24"/>
        </w:rPr>
        <w:t xml:space="preserve"> tarifária</w:t>
      </w:r>
      <w:r w:rsidR="006B4C02">
        <w:rPr>
          <w:rFonts w:cs="Calibri"/>
          <w:sz w:val="24"/>
          <w:szCs w:val="24"/>
        </w:rPr>
        <w:t xml:space="preserve">s são registradas com base na utilização de cais público, por atracação de navios de carga e passageiros, movimentação de cargas e passageiros, fundeio, utilização do canal de acesso </w:t>
      </w:r>
      <w:proofErr w:type="spellStart"/>
      <w:r w:rsidR="006B4C02">
        <w:rPr>
          <w:rFonts w:cs="Calibri"/>
          <w:sz w:val="24"/>
          <w:szCs w:val="24"/>
        </w:rPr>
        <w:t>aquaviário</w:t>
      </w:r>
      <w:proofErr w:type="spellEnd"/>
      <w:r w:rsidR="006B4C02">
        <w:rPr>
          <w:rFonts w:cs="Calibri"/>
          <w:sz w:val="24"/>
          <w:szCs w:val="24"/>
        </w:rPr>
        <w:t xml:space="preserve">, utilização de estrutura terrestre, armazenagem e utilização de equipamentos. A receita é reconhecida quando existe evidência convincente de que os riscos e benefícios </w:t>
      </w:r>
      <w:r w:rsidR="00231CD6">
        <w:rPr>
          <w:rFonts w:cs="Calibri"/>
          <w:sz w:val="24"/>
          <w:szCs w:val="24"/>
        </w:rPr>
        <w:t>inerentes aos serviços foram transferidos para o usuário, sendo provável que os benefícios econômicos associados às transações fluirão para a Companhia e o valor da receita puder ser mensurado com confiabilidade.</w:t>
      </w:r>
    </w:p>
    <w:p w:rsidR="00A87863" w:rsidRDefault="00A87863" w:rsidP="005623D9">
      <w:pPr>
        <w:pStyle w:val="PargrafodaLista"/>
        <w:spacing w:after="0" w:line="240" w:lineRule="auto"/>
        <w:ind w:left="851"/>
        <w:jc w:val="both"/>
        <w:rPr>
          <w:rFonts w:cs="Calibri"/>
          <w:sz w:val="24"/>
          <w:szCs w:val="24"/>
        </w:rPr>
      </w:pPr>
    </w:p>
    <w:p w:rsidR="00A87863" w:rsidRDefault="00A87863" w:rsidP="005623D9">
      <w:pPr>
        <w:pStyle w:val="PargrafodaLista"/>
        <w:numPr>
          <w:ilvl w:val="0"/>
          <w:numId w:val="27"/>
        </w:numPr>
        <w:spacing w:after="0" w:line="240" w:lineRule="auto"/>
        <w:ind w:left="851" w:firstLine="0"/>
        <w:jc w:val="both"/>
        <w:rPr>
          <w:rFonts w:cs="Calibri"/>
          <w:b/>
          <w:sz w:val="24"/>
          <w:szCs w:val="24"/>
        </w:rPr>
      </w:pPr>
      <w:r w:rsidRPr="005623D9">
        <w:rPr>
          <w:rFonts w:cs="Calibri"/>
          <w:b/>
          <w:sz w:val="24"/>
          <w:szCs w:val="24"/>
        </w:rPr>
        <w:t>Receita de Arrendamento</w:t>
      </w:r>
    </w:p>
    <w:p w:rsidR="005623D9" w:rsidRPr="005623D9" w:rsidRDefault="005623D9" w:rsidP="005623D9">
      <w:pPr>
        <w:pStyle w:val="PargrafodaLista"/>
        <w:spacing w:after="0" w:line="240" w:lineRule="auto"/>
        <w:ind w:left="851"/>
        <w:jc w:val="both"/>
        <w:rPr>
          <w:rFonts w:cs="Calibri"/>
          <w:b/>
          <w:sz w:val="24"/>
          <w:szCs w:val="24"/>
        </w:rPr>
      </w:pPr>
    </w:p>
    <w:p w:rsidR="00A87863" w:rsidRDefault="00231CD6" w:rsidP="005623D9">
      <w:pPr>
        <w:pStyle w:val="PargrafodaLista"/>
        <w:spacing w:after="0" w:line="240" w:lineRule="auto"/>
        <w:ind w:left="851"/>
        <w:jc w:val="both"/>
        <w:rPr>
          <w:rFonts w:cs="Calibri"/>
          <w:sz w:val="24"/>
          <w:szCs w:val="24"/>
        </w:rPr>
      </w:pPr>
      <w:r>
        <w:rPr>
          <w:rFonts w:cs="Calibri"/>
          <w:sz w:val="24"/>
          <w:szCs w:val="24"/>
        </w:rPr>
        <w:t xml:space="preserve">As receitas de arrendamento são registradas com base em contratos de arrendamento </w:t>
      </w:r>
      <w:r w:rsidR="00DA7121">
        <w:rPr>
          <w:rFonts w:cs="Calibri"/>
          <w:sz w:val="24"/>
          <w:szCs w:val="24"/>
        </w:rPr>
        <w:t xml:space="preserve">operacionais </w:t>
      </w:r>
      <w:r>
        <w:rPr>
          <w:rFonts w:cs="Calibri"/>
          <w:sz w:val="24"/>
          <w:szCs w:val="24"/>
        </w:rPr>
        <w:t xml:space="preserve">de áreas primárias dos portos e são calculadas por meio da movimentação de carga e </w:t>
      </w:r>
      <w:r w:rsidR="00DA7121">
        <w:rPr>
          <w:rFonts w:cs="Calibri"/>
          <w:sz w:val="24"/>
          <w:szCs w:val="24"/>
        </w:rPr>
        <w:t xml:space="preserve">de </w:t>
      </w:r>
      <w:r>
        <w:rPr>
          <w:rFonts w:cs="Calibri"/>
          <w:sz w:val="24"/>
          <w:szCs w:val="24"/>
        </w:rPr>
        <w:t>passageiros e do preço do arrendamento, cobrado independentemente da movimentaç</w:t>
      </w:r>
      <w:r w:rsidR="00DA7121">
        <w:rPr>
          <w:rFonts w:cs="Calibri"/>
          <w:sz w:val="24"/>
          <w:szCs w:val="24"/>
        </w:rPr>
        <w:t>ão, conforme a particularidade de cada contrato. A receita é reconhecida quando existe evidência convincente acerca da remuneração do contrato e da movimentação, atestada pela fiscalização dos contratos.</w:t>
      </w:r>
    </w:p>
    <w:p w:rsidR="00A87863" w:rsidRDefault="00A87863" w:rsidP="005623D9">
      <w:pPr>
        <w:pStyle w:val="PargrafodaLista"/>
        <w:spacing w:after="0" w:line="240" w:lineRule="auto"/>
        <w:ind w:left="851"/>
        <w:jc w:val="both"/>
        <w:rPr>
          <w:rFonts w:cs="Calibri"/>
          <w:sz w:val="24"/>
          <w:szCs w:val="24"/>
        </w:rPr>
      </w:pPr>
    </w:p>
    <w:p w:rsidR="001C4695" w:rsidRDefault="001C4695" w:rsidP="005623D9">
      <w:pPr>
        <w:pStyle w:val="PargrafodaLista"/>
        <w:spacing w:after="0" w:line="240" w:lineRule="auto"/>
        <w:ind w:left="851"/>
        <w:jc w:val="both"/>
        <w:rPr>
          <w:rFonts w:cs="Calibri"/>
          <w:sz w:val="24"/>
          <w:szCs w:val="24"/>
        </w:rPr>
      </w:pPr>
    </w:p>
    <w:p w:rsidR="005020AD" w:rsidRDefault="005020AD" w:rsidP="005623D9">
      <w:pPr>
        <w:pStyle w:val="PargrafodaLista"/>
        <w:spacing w:after="0" w:line="240" w:lineRule="auto"/>
        <w:ind w:left="851"/>
        <w:jc w:val="both"/>
        <w:rPr>
          <w:rFonts w:cs="Calibri"/>
          <w:sz w:val="24"/>
          <w:szCs w:val="24"/>
        </w:rPr>
      </w:pPr>
    </w:p>
    <w:p w:rsidR="005020AD" w:rsidRDefault="005020AD" w:rsidP="005623D9">
      <w:pPr>
        <w:pStyle w:val="PargrafodaLista"/>
        <w:spacing w:after="0" w:line="240" w:lineRule="auto"/>
        <w:ind w:left="851"/>
        <w:jc w:val="both"/>
        <w:rPr>
          <w:rFonts w:cs="Calibri"/>
          <w:sz w:val="24"/>
          <w:szCs w:val="24"/>
        </w:rPr>
      </w:pPr>
    </w:p>
    <w:p w:rsidR="00A87863" w:rsidRDefault="00A87863" w:rsidP="005623D9">
      <w:pPr>
        <w:pStyle w:val="PargrafodaLista"/>
        <w:numPr>
          <w:ilvl w:val="0"/>
          <w:numId w:val="27"/>
        </w:numPr>
        <w:spacing w:after="0" w:line="240" w:lineRule="auto"/>
        <w:ind w:left="851" w:firstLine="0"/>
        <w:jc w:val="both"/>
        <w:rPr>
          <w:rFonts w:cs="Calibri"/>
          <w:b/>
          <w:sz w:val="24"/>
          <w:szCs w:val="24"/>
        </w:rPr>
      </w:pPr>
      <w:r w:rsidRPr="005623D9">
        <w:rPr>
          <w:rFonts w:cs="Calibri"/>
          <w:b/>
          <w:sz w:val="24"/>
          <w:szCs w:val="24"/>
        </w:rPr>
        <w:lastRenderedPageBreak/>
        <w:t>Receita de Juros</w:t>
      </w:r>
    </w:p>
    <w:p w:rsidR="005623D9" w:rsidRPr="005623D9" w:rsidRDefault="005623D9" w:rsidP="005623D9">
      <w:pPr>
        <w:pStyle w:val="PargrafodaLista"/>
        <w:spacing w:after="0" w:line="240" w:lineRule="auto"/>
        <w:ind w:left="851"/>
        <w:jc w:val="both"/>
        <w:rPr>
          <w:rFonts w:cs="Calibri"/>
          <w:b/>
          <w:sz w:val="24"/>
          <w:szCs w:val="24"/>
        </w:rPr>
      </w:pPr>
    </w:p>
    <w:p w:rsidR="00A87863" w:rsidRDefault="00A87863" w:rsidP="005623D9">
      <w:pPr>
        <w:pStyle w:val="PargrafodaLista"/>
        <w:spacing w:after="0" w:line="240" w:lineRule="auto"/>
        <w:ind w:left="851"/>
        <w:jc w:val="both"/>
        <w:rPr>
          <w:rFonts w:cs="Calibri"/>
          <w:sz w:val="24"/>
          <w:szCs w:val="24"/>
        </w:rPr>
      </w:pPr>
      <w:r>
        <w:rPr>
          <w:rFonts w:cs="Calibri"/>
          <w:sz w:val="24"/>
          <w:szCs w:val="24"/>
        </w:rPr>
        <w:t xml:space="preserve">Para todos os instrumentos financeiros avaliados ao custo amortizado e ativos financeiros que rendem juros, a receita financeira é contabilizada utilizando-se </w:t>
      </w:r>
      <w:r w:rsidR="005623D9">
        <w:rPr>
          <w:rFonts w:cs="Calibri"/>
          <w:sz w:val="24"/>
          <w:szCs w:val="24"/>
        </w:rPr>
        <w:t>a taxa de juros efetiva, que desconta exatamente ou pagamentos ou recebimentos futuros estimados de caixa ao longo da vida estimada do instrumento financeiro ou em um período de tempo mais curto, quando aplicável, ao valor contábil líquido do ativo ou passivo financeiro. A receita de juros é incluída na rubrica receita financeira, da demonstração de resultado.</w:t>
      </w:r>
    </w:p>
    <w:p w:rsidR="005623D9" w:rsidRDefault="005623D9" w:rsidP="005623D9">
      <w:pPr>
        <w:pStyle w:val="PargrafodaLista"/>
        <w:spacing w:after="0" w:line="240" w:lineRule="auto"/>
        <w:ind w:left="851"/>
        <w:jc w:val="both"/>
        <w:rPr>
          <w:rFonts w:cs="Calibri"/>
          <w:sz w:val="24"/>
          <w:szCs w:val="24"/>
        </w:rPr>
      </w:pPr>
    </w:p>
    <w:p w:rsidR="005623D9" w:rsidRDefault="005623D9" w:rsidP="005623D9">
      <w:pPr>
        <w:pStyle w:val="PargrafodaLista"/>
        <w:spacing w:after="0" w:line="240" w:lineRule="auto"/>
        <w:ind w:left="851"/>
        <w:jc w:val="both"/>
        <w:rPr>
          <w:rFonts w:cs="Calibri"/>
          <w:sz w:val="24"/>
          <w:szCs w:val="24"/>
        </w:rPr>
      </w:pPr>
      <w:r>
        <w:rPr>
          <w:rFonts w:cs="Calibri"/>
          <w:sz w:val="24"/>
          <w:szCs w:val="24"/>
        </w:rPr>
        <w:t>De acordo com o CPC 47, a receita é reconhecida à medida em que seja altamente provável que não ocorra uma reversão significativa de valor da receita acumulada.</w:t>
      </w:r>
    </w:p>
    <w:p w:rsidR="00A87863" w:rsidRPr="00A87863" w:rsidRDefault="00A87863" w:rsidP="005623D9">
      <w:pPr>
        <w:pStyle w:val="PargrafodaLista"/>
        <w:spacing w:after="0" w:line="240" w:lineRule="auto"/>
        <w:jc w:val="both"/>
        <w:rPr>
          <w:rFonts w:cs="Calibri"/>
          <w:sz w:val="24"/>
          <w:szCs w:val="24"/>
        </w:rPr>
      </w:pPr>
    </w:p>
    <w:p w:rsidR="00A87863" w:rsidRDefault="00A87863" w:rsidP="005623D9">
      <w:pPr>
        <w:jc w:val="both"/>
        <w:rPr>
          <w:rFonts w:ascii="Calibri" w:hAnsi="Calibri" w:cs="Calibri"/>
          <w:sz w:val="24"/>
          <w:szCs w:val="24"/>
        </w:rPr>
      </w:pPr>
    </w:p>
    <w:p w:rsidR="00C16DDB" w:rsidRPr="00312424" w:rsidRDefault="0043773C" w:rsidP="00C16DDB">
      <w:pPr>
        <w:pStyle w:val="Recuodecorpodetexto"/>
        <w:widowControl/>
        <w:autoSpaceDE w:val="0"/>
        <w:autoSpaceDN w:val="0"/>
        <w:ind w:left="0"/>
        <w:rPr>
          <w:rFonts w:ascii="Calibri" w:hAnsi="Calibri" w:cs="Calibri"/>
          <w:b/>
          <w:szCs w:val="24"/>
          <w:u w:val="single"/>
        </w:rPr>
      </w:pPr>
      <w:r>
        <w:rPr>
          <w:rFonts w:ascii="Calibri" w:hAnsi="Calibri" w:cs="Calibri"/>
          <w:b/>
          <w:szCs w:val="24"/>
          <w:lang w:val="pt-BR"/>
        </w:rPr>
        <w:t>5</w:t>
      </w:r>
      <w:r w:rsidR="00C16DDB" w:rsidRPr="00312424">
        <w:rPr>
          <w:rFonts w:ascii="Calibri" w:hAnsi="Calibri" w:cs="Calibri"/>
          <w:b/>
          <w:szCs w:val="24"/>
          <w:lang w:val="pt-BR"/>
        </w:rPr>
        <w:t xml:space="preserve"> </w:t>
      </w:r>
      <w:r w:rsidR="00C16DDB" w:rsidRPr="00312424">
        <w:rPr>
          <w:rFonts w:ascii="Calibri" w:hAnsi="Calibri" w:cs="Calibri"/>
          <w:b/>
          <w:szCs w:val="24"/>
        </w:rPr>
        <w:t xml:space="preserve">– </w:t>
      </w:r>
      <w:r w:rsidR="00C16DDB" w:rsidRPr="00312424">
        <w:rPr>
          <w:rFonts w:ascii="Calibri" w:hAnsi="Calibri" w:cs="Calibri"/>
          <w:b/>
          <w:szCs w:val="24"/>
          <w:u w:val="single"/>
        </w:rPr>
        <w:t>CONTAS A RECEBER DE CLIENTES</w:t>
      </w:r>
    </w:p>
    <w:p w:rsidR="00C16DDB" w:rsidRPr="00312424" w:rsidRDefault="00C16DDB" w:rsidP="00C16DDB">
      <w:pPr>
        <w:pStyle w:val="Recuodecorpodetexto"/>
        <w:widowControl/>
        <w:autoSpaceDE w:val="0"/>
        <w:autoSpaceDN w:val="0"/>
        <w:ind w:left="0"/>
        <w:rPr>
          <w:rFonts w:ascii="Calibri" w:hAnsi="Calibri" w:cs="Calibri"/>
          <w:b/>
          <w:szCs w:val="24"/>
          <w:u w:val="single"/>
        </w:rPr>
      </w:pPr>
    </w:p>
    <w:p w:rsidR="00083E7F" w:rsidRDefault="00C16DDB" w:rsidP="00C16DDB">
      <w:pPr>
        <w:pStyle w:val="Recuodecorpodetexto"/>
        <w:widowControl/>
        <w:autoSpaceDE w:val="0"/>
        <w:autoSpaceDN w:val="0"/>
        <w:ind w:left="0"/>
        <w:rPr>
          <w:rFonts w:ascii="Calibri" w:hAnsi="Calibri" w:cs="Calibri"/>
          <w:szCs w:val="24"/>
          <w:lang w:val="pt-BR"/>
        </w:rPr>
      </w:pPr>
      <w:r w:rsidRPr="00312424">
        <w:rPr>
          <w:rFonts w:ascii="Calibri" w:hAnsi="Calibri" w:cs="Calibri"/>
          <w:szCs w:val="24"/>
        </w:rPr>
        <w:t xml:space="preserve">As contas a receber a vencer são realizáveis </w:t>
      </w:r>
      <w:r w:rsidRPr="00312424">
        <w:rPr>
          <w:rFonts w:ascii="Calibri" w:hAnsi="Calibri" w:cs="Calibri"/>
          <w:szCs w:val="24"/>
          <w:lang w:val="pt-BR"/>
        </w:rPr>
        <w:t>no prazo médio de 30 dias</w:t>
      </w:r>
      <w:r w:rsidRPr="00312424">
        <w:rPr>
          <w:rFonts w:ascii="Calibri" w:hAnsi="Calibri" w:cs="Calibri"/>
          <w:szCs w:val="24"/>
        </w:rPr>
        <w:t xml:space="preserve">, não sendo relevante </w:t>
      </w:r>
      <w:r w:rsidRPr="00312424">
        <w:rPr>
          <w:rFonts w:ascii="Calibri" w:hAnsi="Calibri" w:cs="Calibri"/>
          <w:szCs w:val="24"/>
          <w:lang w:val="pt-BR"/>
        </w:rPr>
        <w:t>o ajuste</w:t>
      </w:r>
      <w:r w:rsidRPr="00312424">
        <w:rPr>
          <w:rFonts w:ascii="Calibri" w:hAnsi="Calibri" w:cs="Calibri"/>
          <w:szCs w:val="24"/>
        </w:rPr>
        <w:t xml:space="preserve"> ao valor presente.</w:t>
      </w:r>
      <w:r w:rsidR="00AE3EE6">
        <w:rPr>
          <w:rFonts w:ascii="Calibri" w:hAnsi="Calibri" w:cs="Calibri"/>
          <w:szCs w:val="24"/>
          <w:lang w:val="pt-BR"/>
        </w:rPr>
        <w:t xml:space="preserve"> </w:t>
      </w:r>
      <w:r w:rsidR="00083E7F">
        <w:rPr>
          <w:rFonts w:ascii="Calibri" w:hAnsi="Calibri" w:cs="Calibri"/>
          <w:szCs w:val="24"/>
          <w:lang w:val="pt-BR"/>
        </w:rPr>
        <w:t>Os valores registrados são:</w:t>
      </w:r>
    </w:p>
    <w:p w:rsidR="00EF690C" w:rsidRDefault="00EF690C" w:rsidP="00C16DDB">
      <w:pPr>
        <w:pStyle w:val="Recuodecorpodetexto"/>
        <w:widowControl/>
        <w:autoSpaceDE w:val="0"/>
        <w:autoSpaceDN w:val="0"/>
        <w:ind w:left="0"/>
        <w:rPr>
          <w:rFonts w:ascii="Calibri" w:hAnsi="Calibri" w:cs="Calibri"/>
          <w:szCs w:val="24"/>
          <w:lang w:val="pt-BR"/>
        </w:rPr>
      </w:pPr>
    </w:p>
    <w:tbl>
      <w:tblPr>
        <w:tblW w:w="5960" w:type="dxa"/>
        <w:jc w:val="center"/>
        <w:tblCellMar>
          <w:left w:w="70" w:type="dxa"/>
          <w:right w:w="70" w:type="dxa"/>
        </w:tblCellMar>
        <w:tblLook w:val="04A0" w:firstRow="1" w:lastRow="0" w:firstColumn="1" w:lastColumn="0" w:noHBand="0" w:noVBand="1"/>
      </w:tblPr>
      <w:tblGrid>
        <w:gridCol w:w="2320"/>
        <w:gridCol w:w="1820"/>
        <w:gridCol w:w="1820"/>
      </w:tblGrid>
      <w:tr w:rsidR="00EF690C" w:rsidRPr="00EF690C" w:rsidTr="00697525">
        <w:trPr>
          <w:trHeight w:val="284"/>
          <w:jc w:val="center"/>
        </w:trPr>
        <w:tc>
          <w:tcPr>
            <w:tcW w:w="2320" w:type="dxa"/>
            <w:tcBorders>
              <w:top w:val="nil"/>
              <w:left w:val="nil"/>
              <w:bottom w:val="single" w:sz="4" w:space="0" w:color="auto"/>
              <w:right w:val="single" w:sz="4" w:space="0" w:color="auto"/>
            </w:tcBorders>
            <w:shd w:val="clear" w:color="auto" w:fill="auto"/>
            <w:noWrap/>
            <w:vAlign w:val="bottom"/>
            <w:hideMark/>
          </w:tcPr>
          <w:p w:rsidR="00EF690C" w:rsidRPr="00EF690C" w:rsidRDefault="00EF690C" w:rsidP="00EF690C">
            <w:pPr>
              <w:widowControl/>
              <w:rPr>
                <w:rFonts w:ascii="Calibri" w:hAnsi="Calibri" w:cs="Calibri"/>
                <w:snapToGrid/>
                <w:color w:val="000000"/>
                <w:sz w:val="24"/>
                <w:szCs w:val="24"/>
              </w:rPr>
            </w:pPr>
            <w:r w:rsidRPr="00EF690C">
              <w:rPr>
                <w:rFonts w:ascii="Calibri" w:hAnsi="Calibri" w:cs="Calibri"/>
                <w:snapToGrid/>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0C" w:rsidRPr="00EF690C" w:rsidRDefault="00EF690C" w:rsidP="00D0760C">
            <w:pPr>
              <w:widowControl/>
              <w:jc w:val="center"/>
              <w:rPr>
                <w:rFonts w:ascii="Calibri" w:hAnsi="Calibri" w:cs="Calibri"/>
                <w:b/>
                <w:bCs/>
                <w:snapToGrid/>
                <w:color w:val="000000"/>
                <w:sz w:val="24"/>
                <w:szCs w:val="24"/>
              </w:rPr>
            </w:pPr>
            <w:r w:rsidRPr="00EF690C">
              <w:rPr>
                <w:rFonts w:ascii="Calibri" w:hAnsi="Calibri" w:cs="Calibri"/>
                <w:b/>
                <w:bCs/>
                <w:snapToGrid/>
                <w:color w:val="000000"/>
                <w:sz w:val="24"/>
                <w:szCs w:val="24"/>
              </w:rPr>
              <w:t>3</w:t>
            </w:r>
            <w:r w:rsidR="00D0760C">
              <w:rPr>
                <w:rFonts w:ascii="Calibri" w:hAnsi="Calibri" w:cs="Calibri"/>
                <w:b/>
                <w:bCs/>
                <w:snapToGrid/>
                <w:color w:val="000000"/>
                <w:sz w:val="24"/>
                <w:szCs w:val="24"/>
              </w:rPr>
              <w:t>1</w:t>
            </w:r>
            <w:r w:rsidRPr="00EF690C">
              <w:rPr>
                <w:rFonts w:ascii="Calibri" w:hAnsi="Calibri" w:cs="Calibri"/>
                <w:b/>
                <w:bCs/>
                <w:snapToGrid/>
                <w:color w:val="000000"/>
                <w:sz w:val="24"/>
                <w:szCs w:val="24"/>
              </w:rPr>
              <w:t>/</w:t>
            </w:r>
            <w:r w:rsidR="00D0760C">
              <w:rPr>
                <w:rFonts w:ascii="Calibri" w:hAnsi="Calibri" w:cs="Calibri"/>
                <w:b/>
                <w:bCs/>
                <w:snapToGrid/>
                <w:color w:val="000000"/>
                <w:sz w:val="24"/>
                <w:szCs w:val="24"/>
              </w:rPr>
              <w:t>12</w:t>
            </w:r>
            <w:r w:rsidRPr="00EF690C">
              <w:rPr>
                <w:rFonts w:ascii="Calibri" w:hAnsi="Calibri" w:cs="Calibri"/>
                <w:b/>
                <w:bCs/>
                <w:snapToGrid/>
                <w:color w:val="000000"/>
                <w:sz w:val="24"/>
                <w:szCs w:val="24"/>
              </w:rPr>
              <w:t>/201</w:t>
            </w:r>
            <w:r w:rsidR="006715E0">
              <w:rPr>
                <w:rFonts w:ascii="Calibri" w:hAnsi="Calibri" w:cs="Calibri"/>
                <w:b/>
                <w:bCs/>
                <w:snapToGrid/>
                <w:color w:val="000000"/>
                <w:sz w:val="24"/>
                <w:szCs w:val="24"/>
              </w:rPr>
              <w:t>9</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0C" w:rsidRPr="00EF690C" w:rsidRDefault="00EF690C" w:rsidP="001968AF">
            <w:pPr>
              <w:widowControl/>
              <w:jc w:val="center"/>
              <w:rPr>
                <w:rFonts w:ascii="Calibri" w:hAnsi="Calibri" w:cs="Calibri"/>
                <w:b/>
                <w:bCs/>
                <w:snapToGrid/>
                <w:color w:val="000000"/>
                <w:sz w:val="24"/>
                <w:szCs w:val="24"/>
              </w:rPr>
            </w:pPr>
            <w:r w:rsidRPr="00EF690C">
              <w:rPr>
                <w:rFonts w:ascii="Calibri" w:hAnsi="Calibri" w:cs="Calibri"/>
                <w:b/>
                <w:bCs/>
                <w:snapToGrid/>
                <w:color w:val="000000"/>
                <w:sz w:val="24"/>
                <w:szCs w:val="24"/>
              </w:rPr>
              <w:t>31/</w:t>
            </w:r>
            <w:r w:rsidR="001968AF">
              <w:rPr>
                <w:rFonts w:ascii="Calibri" w:hAnsi="Calibri" w:cs="Calibri"/>
                <w:b/>
                <w:bCs/>
                <w:snapToGrid/>
                <w:color w:val="000000"/>
                <w:sz w:val="24"/>
                <w:szCs w:val="24"/>
              </w:rPr>
              <w:t>12</w:t>
            </w:r>
            <w:r w:rsidRPr="00EF690C">
              <w:rPr>
                <w:rFonts w:ascii="Calibri" w:hAnsi="Calibri" w:cs="Calibri"/>
                <w:b/>
                <w:bCs/>
                <w:snapToGrid/>
                <w:color w:val="000000"/>
                <w:sz w:val="24"/>
                <w:szCs w:val="24"/>
              </w:rPr>
              <w:t>/201</w:t>
            </w:r>
            <w:r w:rsidR="006715E0">
              <w:rPr>
                <w:rFonts w:ascii="Calibri" w:hAnsi="Calibri" w:cs="Calibri"/>
                <w:b/>
                <w:bCs/>
                <w:snapToGrid/>
                <w:color w:val="000000"/>
                <w:sz w:val="24"/>
                <w:szCs w:val="24"/>
              </w:rPr>
              <w:t>8</w:t>
            </w:r>
          </w:p>
        </w:tc>
      </w:tr>
      <w:tr w:rsidR="00EF690C" w:rsidRPr="00EF690C" w:rsidTr="00697525">
        <w:trPr>
          <w:trHeight w:val="284"/>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0C" w:rsidRPr="00EF690C" w:rsidRDefault="00EF690C" w:rsidP="00EF690C">
            <w:pPr>
              <w:widowControl/>
              <w:rPr>
                <w:rFonts w:ascii="Calibri" w:hAnsi="Calibri" w:cs="Calibri"/>
                <w:snapToGrid/>
                <w:color w:val="000000"/>
                <w:sz w:val="24"/>
                <w:szCs w:val="24"/>
              </w:rPr>
            </w:pPr>
            <w:r w:rsidRPr="00EF690C">
              <w:rPr>
                <w:rFonts w:ascii="Calibri" w:hAnsi="Calibri" w:cs="Calibri"/>
                <w:snapToGrid/>
                <w:color w:val="000000"/>
                <w:sz w:val="24"/>
                <w:szCs w:val="24"/>
              </w:rPr>
              <w:t>Clientes Nacionais</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90C" w:rsidRPr="00EF690C" w:rsidRDefault="005C6057" w:rsidP="004D7C37">
            <w:pPr>
              <w:widowControl/>
              <w:jc w:val="right"/>
              <w:rPr>
                <w:rFonts w:ascii="Calibri" w:hAnsi="Calibri" w:cs="Calibri"/>
                <w:snapToGrid/>
                <w:color w:val="000000"/>
                <w:sz w:val="24"/>
                <w:szCs w:val="24"/>
              </w:rPr>
            </w:pPr>
            <w:r>
              <w:rPr>
                <w:rFonts w:ascii="Calibri" w:hAnsi="Calibri" w:cs="Calibri"/>
                <w:snapToGrid/>
                <w:color w:val="000000"/>
                <w:sz w:val="24"/>
                <w:szCs w:val="24"/>
              </w:rPr>
              <w:t>235.050</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0C" w:rsidRPr="00EF690C" w:rsidRDefault="001968AF" w:rsidP="001968AF">
            <w:pPr>
              <w:widowControl/>
              <w:jc w:val="right"/>
              <w:rPr>
                <w:rFonts w:ascii="Calibri" w:hAnsi="Calibri" w:cs="Calibri"/>
                <w:snapToGrid/>
                <w:color w:val="000000"/>
                <w:sz w:val="24"/>
                <w:szCs w:val="24"/>
              </w:rPr>
            </w:pPr>
            <w:r>
              <w:rPr>
                <w:rFonts w:ascii="Calibri" w:hAnsi="Calibri" w:cs="Calibri"/>
                <w:snapToGrid/>
                <w:color w:val="000000"/>
                <w:sz w:val="24"/>
                <w:szCs w:val="24"/>
              </w:rPr>
              <w:t>180</w:t>
            </w:r>
            <w:r w:rsidR="00EF690C" w:rsidRPr="00EF690C">
              <w:rPr>
                <w:rFonts w:ascii="Calibri" w:hAnsi="Calibri" w:cs="Calibri"/>
                <w:snapToGrid/>
                <w:color w:val="000000"/>
                <w:sz w:val="24"/>
                <w:szCs w:val="24"/>
              </w:rPr>
              <w:t>.</w:t>
            </w:r>
            <w:r>
              <w:rPr>
                <w:rFonts w:ascii="Calibri" w:hAnsi="Calibri" w:cs="Calibri"/>
                <w:snapToGrid/>
                <w:color w:val="000000"/>
                <w:sz w:val="24"/>
                <w:szCs w:val="24"/>
              </w:rPr>
              <w:t>953</w:t>
            </w:r>
          </w:p>
        </w:tc>
      </w:tr>
      <w:tr w:rsidR="00EF690C" w:rsidRPr="00EF690C" w:rsidTr="00697525">
        <w:trPr>
          <w:trHeight w:val="284"/>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0C" w:rsidRPr="00EF690C" w:rsidRDefault="00EF690C" w:rsidP="00EF690C">
            <w:pPr>
              <w:widowControl/>
              <w:rPr>
                <w:rFonts w:ascii="Calibri" w:hAnsi="Calibri" w:cs="Calibri"/>
                <w:snapToGrid/>
                <w:color w:val="000000"/>
                <w:sz w:val="24"/>
                <w:szCs w:val="24"/>
              </w:rPr>
            </w:pPr>
            <w:r w:rsidRPr="00EF690C">
              <w:rPr>
                <w:rFonts w:ascii="Calibri" w:hAnsi="Calibri" w:cs="Calibri"/>
                <w:snapToGrid/>
                <w:color w:val="000000"/>
                <w:sz w:val="24"/>
                <w:szCs w:val="24"/>
              </w:rPr>
              <w:t>(-) Perdas Estimadas</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90C" w:rsidRPr="00EF690C" w:rsidRDefault="005C6057" w:rsidP="004D7C37">
            <w:pPr>
              <w:widowControl/>
              <w:jc w:val="right"/>
              <w:rPr>
                <w:rFonts w:ascii="Calibri" w:hAnsi="Calibri" w:cs="Calibri"/>
                <w:snapToGrid/>
                <w:color w:val="000000"/>
                <w:sz w:val="24"/>
                <w:szCs w:val="24"/>
              </w:rPr>
            </w:pPr>
            <w:r>
              <w:rPr>
                <w:rFonts w:ascii="Calibri" w:hAnsi="Calibri" w:cs="Calibri"/>
                <w:snapToGrid/>
                <w:color w:val="000000"/>
                <w:sz w:val="24"/>
                <w:szCs w:val="24"/>
              </w:rPr>
              <w:t>(180.266)</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0C" w:rsidRPr="00EF690C" w:rsidRDefault="00EF690C" w:rsidP="001968AF">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EF690C">
              <w:rPr>
                <w:rFonts w:ascii="Calibri" w:hAnsi="Calibri" w:cs="Calibri"/>
                <w:snapToGrid/>
                <w:color w:val="000000"/>
                <w:sz w:val="24"/>
                <w:szCs w:val="24"/>
              </w:rPr>
              <w:t>1</w:t>
            </w:r>
            <w:r w:rsidR="001968AF">
              <w:rPr>
                <w:rFonts w:ascii="Calibri" w:hAnsi="Calibri" w:cs="Calibri"/>
                <w:snapToGrid/>
                <w:color w:val="000000"/>
                <w:sz w:val="24"/>
                <w:szCs w:val="24"/>
              </w:rPr>
              <w:t>7</w:t>
            </w:r>
            <w:r w:rsidRPr="00EF690C">
              <w:rPr>
                <w:rFonts w:ascii="Calibri" w:hAnsi="Calibri" w:cs="Calibri"/>
                <w:snapToGrid/>
                <w:color w:val="000000"/>
                <w:sz w:val="24"/>
                <w:szCs w:val="24"/>
              </w:rPr>
              <w:t>2.</w:t>
            </w:r>
            <w:r w:rsidR="001968AF">
              <w:rPr>
                <w:rFonts w:ascii="Calibri" w:hAnsi="Calibri" w:cs="Calibri"/>
                <w:snapToGrid/>
                <w:color w:val="000000"/>
                <w:sz w:val="24"/>
                <w:szCs w:val="24"/>
              </w:rPr>
              <w:t>918</w:t>
            </w:r>
            <w:r>
              <w:rPr>
                <w:rFonts w:ascii="Calibri" w:hAnsi="Calibri" w:cs="Calibri"/>
                <w:snapToGrid/>
                <w:color w:val="000000"/>
                <w:sz w:val="24"/>
                <w:szCs w:val="24"/>
              </w:rPr>
              <w:t>)</w:t>
            </w:r>
          </w:p>
        </w:tc>
      </w:tr>
      <w:tr w:rsidR="00EF690C" w:rsidRPr="00EF690C" w:rsidTr="00697525">
        <w:trPr>
          <w:trHeight w:val="284"/>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0C" w:rsidRPr="00EF690C" w:rsidRDefault="00EF690C" w:rsidP="00EF690C">
            <w:pPr>
              <w:widowControl/>
              <w:rPr>
                <w:rFonts w:ascii="Calibri" w:hAnsi="Calibri" w:cs="Calibri"/>
                <w:b/>
                <w:bCs/>
                <w:snapToGrid/>
                <w:color w:val="000000"/>
                <w:sz w:val="24"/>
                <w:szCs w:val="24"/>
              </w:rPr>
            </w:pPr>
            <w:r w:rsidRPr="00EF690C">
              <w:rPr>
                <w:rFonts w:ascii="Calibri" w:hAnsi="Calibri" w:cs="Calibri"/>
                <w:b/>
                <w:bCs/>
                <w:snapToGrid/>
                <w:color w:val="000000"/>
                <w:sz w:val="24"/>
                <w:szCs w:val="24"/>
              </w:rPr>
              <w:t>Totais</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90C" w:rsidRPr="00EF690C" w:rsidRDefault="005C6057" w:rsidP="004D7C37">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54.784</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0C" w:rsidRPr="00EF690C" w:rsidRDefault="001968AF" w:rsidP="001968AF">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8</w:t>
            </w:r>
            <w:r w:rsidR="00EF690C" w:rsidRPr="00EF690C">
              <w:rPr>
                <w:rFonts w:ascii="Calibri" w:hAnsi="Calibri" w:cs="Calibri"/>
                <w:b/>
                <w:bCs/>
                <w:snapToGrid/>
                <w:color w:val="000000"/>
                <w:sz w:val="24"/>
                <w:szCs w:val="24"/>
              </w:rPr>
              <w:t>.</w:t>
            </w:r>
            <w:r>
              <w:rPr>
                <w:rFonts w:ascii="Calibri" w:hAnsi="Calibri" w:cs="Calibri"/>
                <w:b/>
                <w:bCs/>
                <w:snapToGrid/>
                <w:color w:val="000000"/>
                <w:sz w:val="24"/>
                <w:szCs w:val="24"/>
              </w:rPr>
              <w:t>035</w:t>
            </w:r>
          </w:p>
        </w:tc>
      </w:tr>
    </w:tbl>
    <w:p w:rsidR="001968AF" w:rsidRDefault="001968AF" w:rsidP="00C16DDB">
      <w:pPr>
        <w:pStyle w:val="Recuodecorpodetexto"/>
        <w:widowControl/>
        <w:autoSpaceDE w:val="0"/>
        <w:autoSpaceDN w:val="0"/>
        <w:ind w:left="0"/>
        <w:rPr>
          <w:rFonts w:ascii="Calibri" w:hAnsi="Calibri" w:cs="Calibri"/>
          <w:szCs w:val="24"/>
          <w:lang w:val="pt-BR"/>
        </w:rPr>
      </w:pPr>
    </w:p>
    <w:p w:rsidR="004D7C37" w:rsidRDefault="005C6057" w:rsidP="00C16DDB">
      <w:pPr>
        <w:pStyle w:val="Recuodecorpodetexto"/>
        <w:widowControl/>
        <w:autoSpaceDE w:val="0"/>
        <w:autoSpaceDN w:val="0"/>
        <w:ind w:left="0"/>
        <w:rPr>
          <w:rFonts w:ascii="Calibri" w:hAnsi="Calibri" w:cs="Calibri"/>
          <w:szCs w:val="24"/>
          <w:lang w:val="pt-BR"/>
        </w:rPr>
      </w:pPr>
      <w:r>
        <w:rPr>
          <w:rFonts w:ascii="Calibri" w:hAnsi="Calibri" w:cs="Calibri"/>
          <w:szCs w:val="24"/>
          <w:lang w:val="pt-BR"/>
        </w:rPr>
        <w:t xml:space="preserve">Em dezembro de 2019, </w:t>
      </w:r>
      <w:r w:rsidR="00052DE7">
        <w:rPr>
          <w:rFonts w:ascii="Calibri" w:hAnsi="Calibri" w:cs="Calibri"/>
          <w:szCs w:val="24"/>
          <w:lang w:val="pt-BR"/>
        </w:rPr>
        <w:t xml:space="preserve">a CDRJ emitiu duas faturas contra a Companhia Siderúrgica Nacional – CSN, no valor total de </w:t>
      </w:r>
      <w:r>
        <w:rPr>
          <w:rFonts w:ascii="Calibri" w:hAnsi="Calibri" w:cs="Calibri"/>
          <w:szCs w:val="24"/>
          <w:lang w:val="pt-BR"/>
        </w:rPr>
        <w:t>R$ 47.085 mil</w:t>
      </w:r>
      <w:r w:rsidR="00052DE7">
        <w:rPr>
          <w:rFonts w:ascii="Calibri" w:hAnsi="Calibri" w:cs="Calibri"/>
          <w:szCs w:val="24"/>
          <w:lang w:val="pt-BR"/>
        </w:rPr>
        <w:t>, cujas baixas só ocorreram no exercício de 2020.</w:t>
      </w:r>
    </w:p>
    <w:p w:rsidR="005C6057" w:rsidRDefault="005C6057" w:rsidP="00C16DDB">
      <w:pPr>
        <w:pStyle w:val="Recuodecorpodetexto"/>
        <w:widowControl/>
        <w:autoSpaceDE w:val="0"/>
        <w:autoSpaceDN w:val="0"/>
        <w:ind w:left="0"/>
        <w:rPr>
          <w:rFonts w:ascii="Calibri" w:hAnsi="Calibri" w:cs="Calibri"/>
          <w:szCs w:val="24"/>
          <w:lang w:val="pt-BR"/>
        </w:rPr>
      </w:pPr>
    </w:p>
    <w:p w:rsidR="00C16DDB" w:rsidRPr="00312424" w:rsidRDefault="0043773C" w:rsidP="00C16DDB">
      <w:pPr>
        <w:pStyle w:val="Recuodecorpodetexto"/>
        <w:widowControl/>
        <w:autoSpaceDE w:val="0"/>
        <w:autoSpaceDN w:val="0"/>
        <w:ind w:left="0"/>
        <w:rPr>
          <w:rFonts w:ascii="Calibri" w:hAnsi="Calibri" w:cs="Calibri"/>
          <w:b/>
          <w:szCs w:val="24"/>
        </w:rPr>
      </w:pPr>
      <w:r>
        <w:rPr>
          <w:rFonts w:ascii="Calibri" w:hAnsi="Calibri" w:cs="Calibri"/>
          <w:b/>
          <w:szCs w:val="24"/>
          <w:lang w:val="pt-BR"/>
        </w:rPr>
        <w:t>6</w:t>
      </w:r>
      <w:r w:rsidR="00C16DDB" w:rsidRPr="00312424">
        <w:rPr>
          <w:rFonts w:ascii="Calibri" w:hAnsi="Calibri" w:cs="Calibri"/>
          <w:b/>
          <w:szCs w:val="24"/>
        </w:rPr>
        <w:t xml:space="preserve"> –</w:t>
      </w:r>
      <w:r w:rsidR="00C16DDB" w:rsidRPr="00312424">
        <w:rPr>
          <w:rFonts w:ascii="Calibri" w:hAnsi="Calibri" w:cs="Calibri"/>
          <w:b/>
          <w:szCs w:val="24"/>
          <w:lang w:val="pt-BR"/>
        </w:rPr>
        <w:t xml:space="preserve"> </w:t>
      </w:r>
      <w:r w:rsidR="00C16DDB" w:rsidRPr="00312424">
        <w:rPr>
          <w:rFonts w:ascii="Calibri" w:hAnsi="Calibri" w:cs="Calibri"/>
          <w:b/>
          <w:szCs w:val="24"/>
          <w:u w:val="single"/>
          <w:lang w:val="pt-BR"/>
        </w:rPr>
        <w:t>CRÉDITOS FISCAIS A RECUPERAR</w:t>
      </w:r>
    </w:p>
    <w:p w:rsidR="00C16DDB" w:rsidRPr="00312424" w:rsidRDefault="00C16DDB" w:rsidP="00C16DDB">
      <w:pPr>
        <w:pStyle w:val="Recuodecorpodetexto"/>
        <w:widowControl/>
        <w:autoSpaceDE w:val="0"/>
        <w:autoSpaceDN w:val="0"/>
        <w:ind w:left="0"/>
        <w:rPr>
          <w:rFonts w:ascii="Calibri" w:hAnsi="Calibri" w:cs="Calibri"/>
          <w:szCs w:val="24"/>
          <w:lang w:val="pt-BR"/>
        </w:rPr>
      </w:pPr>
      <w:r w:rsidRPr="00312424">
        <w:rPr>
          <w:rFonts w:ascii="Calibri" w:hAnsi="Calibri" w:cs="Calibri"/>
          <w:szCs w:val="24"/>
          <w:lang w:val="pt-BR"/>
        </w:rPr>
        <w:t xml:space="preserve">     </w:t>
      </w:r>
    </w:p>
    <w:p w:rsidR="00C16DDB" w:rsidRDefault="00C16DDB" w:rsidP="00C16DDB">
      <w:pPr>
        <w:pStyle w:val="Recuodecorpodetexto"/>
        <w:widowControl/>
        <w:autoSpaceDE w:val="0"/>
        <w:autoSpaceDN w:val="0"/>
        <w:ind w:left="0"/>
        <w:rPr>
          <w:rFonts w:ascii="Calibri" w:hAnsi="Calibri" w:cs="Calibri"/>
          <w:szCs w:val="24"/>
          <w:lang w:val="pt-BR"/>
        </w:rPr>
      </w:pPr>
      <w:r w:rsidRPr="00312424">
        <w:rPr>
          <w:rFonts w:ascii="Calibri" w:hAnsi="Calibri" w:cs="Calibri"/>
          <w:szCs w:val="24"/>
          <w:lang w:val="pt-BR"/>
        </w:rPr>
        <w:t>O detalhamento dos créditos tributários está composto abaixo:</w:t>
      </w:r>
    </w:p>
    <w:p w:rsidR="00C16DDB" w:rsidRDefault="00C16DDB" w:rsidP="00C16DDB">
      <w:pPr>
        <w:pStyle w:val="Recuodecorpodetexto"/>
        <w:widowControl/>
        <w:autoSpaceDE w:val="0"/>
        <w:autoSpaceDN w:val="0"/>
        <w:ind w:left="0"/>
        <w:rPr>
          <w:rFonts w:ascii="Calibri" w:hAnsi="Calibri" w:cs="Calibri"/>
          <w:szCs w:val="24"/>
          <w:lang w:val="pt-BR"/>
        </w:rPr>
      </w:pPr>
    </w:p>
    <w:tbl>
      <w:tblPr>
        <w:tblW w:w="5960" w:type="dxa"/>
        <w:jc w:val="center"/>
        <w:tblCellMar>
          <w:left w:w="70" w:type="dxa"/>
          <w:right w:w="70" w:type="dxa"/>
        </w:tblCellMar>
        <w:tblLook w:val="04A0" w:firstRow="1" w:lastRow="0" w:firstColumn="1" w:lastColumn="0" w:noHBand="0" w:noVBand="1"/>
      </w:tblPr>
      <w:tblGrid>
        <w:gridCol w:w="2320"/>
        <w:gridCol w:w="1820"/>
        <w:gridCol w:w="1820"/>
      </w:tblGrid>
      <w:tr w:rsidR="00EF690C" w:rsidRPr="00EF690C" w:rsidTr="00697525">
        <w:trPr>
          <w:trHeight w:val="284"/>
          <w:jc w:val="center"/>
        </w:trPr>
        <w:tc>
          <w:tcPr>
            <w:tcW w:w="2320" w:type="dxa"/>
            <w:tcBorders>
              <w:top w:val="nil"/>
              <w:left w:val="nil"/>
              <w:bottom w:val="single" w:sz="4" w:space="0" w:color="auto"/>
              <w:right w:val="single" w:sz="4" w:space="0" w:color="auto"/>
            </w:tcBorders>
            <w:shd w:val="clear" w:color="auto" w:fill="auto"/>
            <w:noWrap/>
            <w:vAlign w:val="bottom"/>
            <w:hideMark/>
          </w:tcPr>
          <w:p w:rsidR="00EF690C" w:rsidRPr="00EF690C" w:rsidRDefault="00EF690C" w:rsidP="00EF690C">
            <w:pPr>
              <w:widowControl/>
              <w:rPr>
                <w:rFonts w:ascii="Calibri" w:hAnsi="Calibri" w:cs="Calibri"/>
                <w:snapToGrid/>
                <w:color w:val="000000"/>
                <w:sz w:val="24"/>
                <w:szCs w:val="24"/>
              </w:rPr>
            </w:pPr>
            <w:r w:rsidRPr="00EF690C">
              <w:rPr>
                <w:rFonts w:ascii="Calibri" w:hAnsi="Calibri" w:cs="Calibri"/>
                <w:snapToGrid/>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0C" w:rsidRPr="00EF690C" w:rsidRDefault="00D0760C" w:rsidP="00E01EC6">
            <w:pPr>
              <w:widowControl/>
              <w:jc w:val="center"/>
              <w:rPr>
                <w:rFonts w:ascii="Calibri" w:hAnsi="Calibri" w:cs="Calibri"/>
                <w:b/>
                <w:bCs/>
                <w:snapToGrid/>
                <w:color w:val="000000"/>
                <w:sz w:val="24"/>
                <w:szCs w:val="24"/>
              </w:rPr>
            </w:pPr>
            <w:r w:rsidRPr="00EF690C">
              <w:rPr>
                <w:rFonts w:ascii="Calibri" w:hAnsi="Calibri" w:cs="Calibri"/>
                <w:b/>
                <w:bCs/>
                <w:snapToGrid/>
                <w:color w:val="000000"/>
                <w:sz w:val="24"/>
                <w:szCs w:val="24"/>
              </w:rPr>
              <w:t>3</w:t>
            </w:r>
            <w:r>
              <w:rPr>
                <w:rFonts w:ascii="Calibri" w:hAnsi="Calibri" w:cs="Calibri"/>
                <w:b/>
                <w:bCs/>
                <w:snapToGrid/>
                <w:color w:val="000000"/>
                <w:sz w:val="24"/>
                <w:szCs w:val="24"/>
              </w:rPr>
              <w:t>1</w:t>
            </w:r>
            <w:r w:rsidRPr="00EF690C">
              <w:rPr>
                <w:rFonts w:ascii="Calibri" w:hAnsi="Calibri" w:cs="Calibri"/>
                <w:b/>
                <w:bCs/>
                <w:snapToGrid/>
                <w:color w:val="000000"/>
                <w:sz w:val="24"/>
                <w:szCs w:val="24"/>
              </w:rPr>
              <w:t>/</w:t>
            </w:r>
            <w:r>
              <w:rPr>
                <w:rFonts w:ascii="Calibri" w:hAnsi="Calibri" w:cs="Calibri"/>
                <w:b/>
                <w:bCs/>
                <w:snapToGrid/>
                <w:color w:val="000000"/>
                <w:sz w:val="24"/>
                <w:szCs w:val="24"/>
              </w:rPr>
              <w:t>12</w:t>
            </w:r>
            <w:r w:rsidRPr="00EF690C">
              <w:rPr>
                <w:rFonts w:ascii="Calibri" w:hAnsi="Calibri" w:cs="Calibri"/>
                <w:b/>
                <w:bCs/>
                <w:snapToGrid/>
                <w:color w:val="000000"/>
                <w:sz w:val="24"/>
                <w:szCs w:val="24"/>
              </w:rPr>
              <w:t>/201</w:t>
            </w:r>
            <w:r>
              <w:rPr>
                <w:rFonts w:ascii="Calibri" w:hAnsi="Calibri" w:cs="Calibri"/>
                <w:b/>
                <w:bCs/>
                <w:snapToGrid/>
                <w:color w:val="000000"/>
                <w:sz w:val="24"/>
                <w:szCs w:val="24"/>
              </w:rPr>
              <w:t>9</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90C" w:rsidRPr="00EF690C" w:rsidRDefault="00EF690C" w:rsidP="001968AF">
            <w:pPr>
              <w:widowControl/>
              <w:jc w:val="center"/>
              <w:rPr>
                <w:rFonts w:ascii="Calibri" w:hAnsi="Calibri" w:cs="Calibri"/>
                <w:b/>
                <w:bCs/>
                <w:snapToGrid/>
                <w:color w:val="000000"/>
                <w:sz w:val="24"/>
                <w:szCs w:val="24"/>
              </w:rPr>
            </w:pPr>
            <w:r w:rsidRPr="00EF690C">
              <w:rPr>
                <w:rFonts w:ascii="Calibri" w:hAnsi="Calibri" w:cs="Calibri"/>
                <w:b/>
                <w:bCs/>
                <w:snapToGrid/>
                <w:color w:val="000000"/>
                <w:sz w:val="24"/>
                <w:szCs w:val="24"/>
              </w:rPr>
              <w:t>31/12/201</w:t>
            </w:r>
            <w:r w:rsidR="001968AF">
              <w:rPr>
                <w:rFonts w:ascii="Calibri" w:hAnsi="Calibri" w:cs="Calibri"/>
                <w:b/>
                <w:bCs/>
                <w:snapToGrid/>
                <w:color w:val="000000"/>
                <w:sz w:val="24"/>
                <w:szCs w:val="24"/>
              </w:rPr>
              <w:t>8</w:t>
            </w:r>
          </w:p>
        </w:tc>
      </w:tr>
      <w:tr w:rsidR="0023787B" w:rsidRPr="00EF690C" w:rsidTr="00697525">
        <w:trPr>
          <w:trHeight w:val="284"/>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87B" w:rsidRPr="00EF690C" w:rsidRDefault="0023787B" w:rsidP="0023787B">
            <w:pPr>
              <w:widowControl/>
              <w:rPr>
                <w:rFonts w:ascii="Calibri" w:hAnsi="Calibri" w:cs="Calibri"/>
                <w:snapToGrid/>
                <w:color w:val="000000"/>
                <w:sz w:val="24"/>
                <w:szCs w:val="24"/>
              </w:rPr>
            </w:pPr>
            <w:r w:rsidRPr="00EF690C">
              <w:rPr>
                <w:rFonts w:ascii="Calibri" w:hAnsi="Calibri" w:cs="Calibri"/>
                <w:snapToGrid/>
                <w:color w:val="000000"/>
                <w:sz w:val="24"/>
                <w:szCs w:val="24"/>
              </w:rPr>
              <w:t>Imposto de Renda</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787B" w:rsidRPr="00EF690C" w:rsidRDefault="00052DE7" w:rsidP="004D7C37">
            <w:pPr>
              <w:widowControl/>
              <w:jc w:val="right"/>
              <w:rPr>
                <w:rFonts w:ascii="Calibri" w:hAnsi="Calibri" w:cs="Calibri"/>
                <w:snapToGrid/>
                <w:color w:val="000000"/>
                <w:sz w:val="24"/>
                <w:szCs w:val="24"/>
              </w:rPr>
            </w:pPr>
            <w:r>
              <w:rPr>
                <w:rFonts w:ascii="Calibri" w:hAnsi="Calibri" w:cs="Calibri"/>
                <w:snapToGrid/>
                <w:color w:val="000000"/>
                <w:sz w:val="24"/>
                <w:szCs w:val="24"/>
              </w:rPr>
              <w:t>2.893</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87B" w:rsidRPr="00EF690C" w:rsidRDefault="0023787B" w:rsidP="0023787B">
            <w:pPr>
              <w:widowControl/>
              <w:jc w:val="right"/>
              <w:rPr>
                <w:rFonts w:ascii="Calibri" w:hAnsi="Calibri" w:cs="Calibri"/>
                <w:snapToGrid/>
                <w:color w:val="000000"/>
                <w:sz w:val="24"/>
                <w:szCs w:val="24"/>
              </w:rPr>
            </w:pPr>
            <w:r>
              <w:rPr>
                <w:rFonts w:ascii="Calibri" w:hAnsi="Calibri" w:cs="Calibri"/>
                <w:snapToGrid/>
                <w:color w:val="000000"/>
                <w:sz w:val="24"/>
                <w:szCs w:val="24"/>
              </w:rPr>
              <w:t>5</w:t>
            </w:r>
            <w:r w:rsidRPr="00EF690C">
              <w:rPr>
                <w:rFonts w:ascii="Calibri" w:hAnsi="Calibri" w:cs="Calibri"/>
                <w:snapToGrid/>
                <w:color w:val="000000"/>
                <w:sz w:val="24"/>
                <w:szCs w:val="24"/>
              </w:rPr>
              <w:t>.455</w:t>
            </w:r>
          </w:p>
        </w:tc>
      </w:tr>
      <w:tr w:rsidR="0023787B" w:rsidRPr="00EF690C" w:rsidTr="00697525">
        <w:trPr>
          <w:trHeight w:val="284"/>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87B" w:rsidRPr="00EF690C" w:rsidRDefault="0023787B" w:rsidP="0023787B">
            <w:pPr>
              <w:widowControl/>
              <w:rPr>
                <w:rFonts w:ascii="Calibri" w:hAnsi="Calibri" w:cs="Calibri"/>
                <w:snapToGrid/>
                <w:color w:val="000000"/>
                <w:sz w:val="24"/>
                <w:szCs w:val="24"/>
              </w:rPr>
            </w:pPr>
            <w:r w:rsidRPr="00EF690C">
              <w:rPr>
                <w:rFonts w:ascii="Calibri" w:hAnsi="Calibri" w:cs="Calibri"/>
                <w:snapToGrid/>
                <w:color w:val="000000"/>
                <w:sz w:val="24"/>
                <w:szCs w:val="24"/>
              </w:rPr>
              <w:t>Contribuição Social</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787B" w:rsidRPr="00EF690C" w:rsidRDefault="00052DE7" w:rsidP="0023787B">
            <w:pPr>
              <w:widowControl/>
              <w:jc w:val="right"/>
              <w:rPr>
                <w:rFonts w:ascii="Calibri" w:hAnsi="Calibri" w:cs="Calibri"/>
                <w:snapToGrid/>
                <w:color w:val="000000"/>
                <w:sz w:val="24"/>
                <w:szCs w:val="24"/>
              </w:rPr>
            </w:pPr>
            <w:r>
              <w:rPr>
                <w:rFonts w:ascii="Calibri" w:hAnsi="Calibri" w:cs="Calibri"/>
                <w:snapToGrid/>
                <w:color w:val="000000"/>
                <w:sz w:val="24"/>
                <w:szCs w:val="24"/>
              </w:rPr>
              <w:t>172</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87B" w:rsidRPr="00EF690C" w:rsidRDefault="0023787B" w:rsidP="0023787B">
            <w:pPr>
              <w:widowControl/>
              <w:jc w:val="right"/>
              <w:rPr>
                <w:rFonts w:ascii="Calibri" w:hAnsi="Calibri" w:cs="Calibri"/>
                <w:snapToGrid/>
                <w:color w:val="000000"/>
                <w:sz w:val="24"/>
                <w:szCs w:val="24"/>
              </w:rPr>
            </w:pPr>
            <w:r w:rsidRPr="00EF690C">
              <w:rPr>
                <w:rFonts w:ascii="Calibri" w:hAnsi="Calibri" w:cs="Calibri"/>
                <w:snapToGrid/>
                <w:color w:val="000000"/>
                <w:sz w:val="24"/>
                <w:szCs w:val="24"/>
              </w:rPr>
              <w:t>721</w:t>
            </w:r>
          </w:p>
        </w:tc>
      </w:tr>
      <w:tr w:rsidR="0023787B" w:rsidRPr="00EF690C" w:rsidTr="00697525">
        <w:trPr>
          <w:trHeight w:val="284"/>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87B" w:rsidRPr="00EF690C" w:rsidRDefault="0023787B" w:rsidP="0023787B">
            <w:pPr>
              <w:widowControl/>
              <w:rPr>
                <w:rFonts w:ascii="Calibri" w:hAnsi="Calibri" w:cs="Calibri"/>
                <w:b/>
                <w:bCs/>
                <w:snapToGrid/>
                <w:color w:val="000000"/>
                <w:sz w:val="24"/>
                <w:szCs w:val="24"/>
              </w:rPr>
            </w:pPr>
            <w:r w:rsidRPr="00EF690C">
              <w:rPr>
                <w:rFonts w:ascii="Calibri" w:hAnsi="Calibri" w:cs="Calibri"/>
                <w:b/>
                <w:bCs/>
                <w:snapToGrid/>
                <w:color w:val="000000"/>
                <w:sz w:val="24"/>
                <w:szCs w:val="24"/>
              </w:rPr>
              <w:t>Totais</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787B" w:rsidRPr="00EF690C" w:rsidRDefault="00052DE7" w:rsidP="0023787B">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3.065</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87B" w:rsidRPr="00EF690C" w:rsidRDefault="0023787B" w:rsidP="0023787B">
            <w:pPr>
              <w:widowControl/>
              <w:jc w:val="right"/>
              <w:rPr>
                <w:rFonts w:ascii="Calibri" w:hAnsi="Calibri" w:cs="Calibri"/>
                <w:b/>
                <w:bCs/>
                <w:snapToGrid/>
                <w:color w:val="000000"/>
                <w:sz w:val="24"/>
                <w:szCs w:val="24"/>
              </w:rPr>
            </w:pPr>
            <w:r w:rsidRPr="00EF690C">
              <w:rPr>
                <w:rFonts w:ascii="Calibri" w:hAnsi="Calibri" w:cs="Calibri"/>
                <w:b/>
                <w:bCs/>
                <w:snapToGrid/>
                <w:color w:val="000000"/>
                <w:sz w:val="24"/>
                <w:szCs w:val="24"/>
              </w:rPr>
              <w:t>6.176</w:t>
            </w:r>
          </w:p>
        </w:tc>
      </w:tr>
    </w:tbl>
    <w:p w:rsidR="001968AF" w:rsidRDefault="001968AF" w:rsidP="00C16DDB">
      <w:pPr>
        <w:pStyle w:val="Recuodecorpodetexto"/>
        <w:widowControl/>
        <w:autoSpaceDE w:val="0"/>
        <w:autoSpaceDN w:val="0"/>
        <w:ind w:left="0"/>
        <w:rPr>
          <w:rFonts w:ascii="Calibri" w:hAnsi="Calibri" w:cs="Calibri"/>
          <w:b/>
          <w:szCs w:val="24"/>
          <w:lang w:val="pt-BR"/>
        </w:rPr>
      </w:pPr>
    </w:p>
    <w:p w:rsidR="00EB76EE" w:rsidRDefault="00EB76EE" w:rsidP="00C16DDB">
      <w:pPr>
        <w:pStyle w:val="Recuodecorpodetexto"/>
        <w:widowControl/>
        <w:autoSpaceDE w:val="0"/>
        <w:autoSpaceDN w:val="0"/>
        <w:ind w:left="0"/>
        <w:rPr>
          <w:rFonts w:ascii="Calibri" w:hAnsi="Calibri" w:cs="Calibri"/>
          <w:b/>
          <w:szCs w:val="24"/>
          <w:lang w:val="pt-BR"/>
        </w:rPr>
      </w:pPr>
    </w:p>
    <w:p w:rsidR="00C16DDB" w:rsidRPr="00312424" w:rsidRDefault="0043773C" w:rsidP="00C16DDB">
      <w:pPr>
        <w:pStyle w:val="Recuodecorpodetexto"/>
        <w:widowControl/>
        <w:autoSpaceDE w:val="0"/>
        <w:autoSpaceDN w:val="0"/>
        <w:ind w:left="0"/>
        <w:rPr>
          <w:rFonts w:ascii="Calibri" w:hAnsi="Calibri" w:cs="Calibri"/>
          <w:b/>
          <w:szCs w:val="24"/>
          <w:u w:val="single"/>
          <w:lang w:val="pt-BR"/>
        </w:rPr>
      </w:pPr>
      <w:r>
        <w:rPr>
          <w:rFonts w:ascii="Calibri" w:hAnsi="Calibri" w:cs="Calibri"/>
          <w:b/>
          <w:szCs w:val="24"/>
          <w:lang w:val="pt-BR"/>
        </w:rPr>
        <w:t>7</w:t>
      </w:r>
      <w:r w:rsidR="00C16DDB" w:rsidRPr="00312424">
        <w:rPr>
          <w:rFonts w:ascii="Calibri" w:hAnsi="Calibri" w:cs="Calibri"/>
          <w:b/>
          <w:szCs w:val="24"/>
          <w:lang w:val="pt-BR"/>
        </w:rPr>
        <w:t xml:space="preserve"> </w:t>
      </w:r>
      <w:r w:rsidR="00C16DDB" w:rsidRPr="00312424">
        <w:rPr>
          <w:rFonts w:ascii="Calibri" w:hAnsi="Calibri" w:cs="Calibri"/>
          <w:b/>
          <w:szCs w:val="24"/>
        </w:rPr>
        <w:t xml:space="preserve">– </w:t>
      </w:r>
      <w:r w:rsidR="00C16DDB" w:rsidRPr="00312424">
        <w:rPr>
          <w:rFonts w:ascii="Calibri" w:hAnsi="Calibri" w:cs="Calibri"/>
          <w:b/>
          <w:szCs w:val="24"/>
          <w:u w:val="single"/>
        </w:rPr>
        <w:t>VALORES A REC</w:t>
      </w:r>
      <w:r w:rsidR="00C16DDB" w:rsidRPr="00312424">
        <w:rPr>
          <w:rFonts w:ascii="Calibri" w:hAnsi="Calibri" w:cs="Calibri"/>
          <w:b/>
          <w:szCs w:val="24"/>
          <w:u w:val="single"/>
          <w:lang w:val="pt-BR"/>
        </w:rPr>
        <w:t>EBER</w:t>
      </w:r>
    </w:p>
    <w:p w:rsidR="00C16DDB" w:rsidRPr="00312424" w:rsidRDefault="00C16DDB" w:rsidP="00C16DDB">
      <w:pPr>
        <w:pStyle w:val="Recuodecorpodetexto"/>
        <w:widowControl/>
        <w:autoSpaceDE w:val="0"/>
        <w:autoSpaceDN w:val="0"/>
        <w:ind w:left="993"/>
        <w:rPr>
          <w:rFonts w:ascii="Calibri" w:hAnsi="Calibri" w:cs="Calibri"/>
          <w:szCs w:val="24"/>
        </w:rPr>
      </w:pPr>
    </w:p>
    <w:tbl>
      <w:tblPr>
        <w:tblW w:w="9900" w:type="dxa"/>
        <w:jc w:val="center"/>
        <w:tblLayout w:type="fixed"/>
        <w:tblCellMar>
          <w:left w:w="70" w:type="dxa"/>
          <w:right w:w="70" w:type="dxa"/>
        </w:tblCellMar>
        <w:tblLook w:val="04A0" w:firstRow="1" w:lastRow="0" w:firstColumn="1" w:lastColumn="0" w:noHBand="0" w:noVBand="1"/>
      </w:tblPr>
      <w:tblGrid>
        <w:gridCol w:w="3119"/>
        <w:gridCol w:w="1695"/>
        <w:gridCol w:w="1695"/>
        <w:gridCol w:w="1695"/>
        <w:gridCol w:w="1696"/>
      </w:tblGrid>
      <w:tr w:rsidR="009B2C95" w:rsidRPr="005A7065" w:rsidTr="00697525">
        <w:trPr>
          <w:trHeight w:val="284"/>
          <w:jc w:val="center"/>
        </w:trPr>
        <w:tc>
          <w:tcPr>
            <w:tcW w:w="3119" w:type="dxa"/>
            <w:tcBorders>
              <w:top w:val="nil"/>
              <w:left w:val="nil"/>
              <w:bottom w:val="nil"/>
              <w:right w:val="single" w:sz="4" w:space="0" w:color="auto"/>
            </w:tcBorders>
            <w:shd w:val="clear" w:color="auto" w:fill="auto"/>
            <w:noWrap/>
            <w:vAlign w:val="bottom"/>
            <w:hideMark/>
          </w:tcPr>
          <w:p w:rsidR="009B2C95" w:rsidRPr="005A7065" w:rsidRDefault="009B2C95" w:rsidP="005A7065">
            <w:pPr>
              <w:widowControl/>
              <w:rPr>
                <w:snapToGrid/>
              </w:rPr>
            </w:pPr>
          </w:p>
        </w:tc>
        <w:tc>
          <w:tcPr>
            <w:tcW w:w="33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2C95" w:rsidRPr="005A7065" w:rsidRDefault="009B2C95" w:rsidP="005A7065">
            <w:pPr>
              <w:widowControl/>
              <w:jc w:val="center"/>
              <w:rPr>
                <w:rFonts w:ascii="Calibri" w:hAnsi="Calibri" w:cs="Calibri"/>
                <w:b/>
                <w:bCs/>
                <w:snapToGrid/>
                <w:color w:val="000000"/>
                <w:sz w:val="24"/>
                <w:szCs w:val="24"/>
              </w:rPr>
            </w:pPr>
            <w:r w:rsidRPr="005A7065">
              <w:rPr>
                <w:rFonts w:ascii="Calibri" w:hAnsi="Calibri" w:cs="Calibri"/>
                <w:b/>
                <w:bCs/>
                <w:snapToGrid/>
                <w:color w:val="000000"/>
                <w:sz w:val="24"/>
                <w:szCs w:val="24"/>
              </w:rPr>
              <w:t>Circulante</w:t>
            </w:r>
          </w:p>
        </w:tc>
        <w:tc>
          <w:tcPr>
            <w:tcW w:w="33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2C95" w:rsidRPr="005A7065" w:rsidRDefault="009B2C95" w:rsidP="005A7065">
            <w:pPr>
              <w:widowControl/>
              <w:jc w:val="center"/>
              <w:rPr>
                <w:rFonts w:ascii="Calibri" w:hAnsi="Calibri" w:cs="Calibri"/>
                <w:b/>
                <w:bCs/>
                <w:snapToGrid/>
                <w:color w:val="000000"/>
                <w:sz w:val="24"/>
                <w:szCs w:val="24"/>
              </w:rPr>
            </w:pPr>
            <w:r w:rsidRPr="005A7065">
              <w:rPr>
                <w:rFonts w:ascii="Calibri" w:hAnsi="Calibri" w:cs="Calibri"/>
                <w:b/>
                <w:bCs/>
                <w:snapToGrid/>
                <w:color w:val="000000"/>
                <w:sz w:val="24"/>
                <w:szCs w:val="24"/>
              </w:rPr>
              <w:t>Não Circulante</w:t>
            </w:r>
          </w:p>
        </w:tc>
      </w:tr>
      <w:tr w:rsidR="0023787B" w:rsidRPr="005A7065" w:rsidTr="00697525">
        <w:trPr>
          <w:trHeight w:val="284"/>
          <w:jc w:val="center"/>
        </w:trPr>
        <w:tc>
          <w:tcPr>
            <w:tcW w:w="3119" w:type="dxa"/>
            <w:tcBorders>
              <w:top w:val="nil"/>
              <w:left w:val="nil"/>
              <w:bottom w:val="single" w:sz="4" w:space="0" w:color="auto"/>
              <w:right w:val="single" w:sz="4" w:space="0" w:color="auto"/>
            </w:tcBorders>
            <w:shd w:val="clear" w:color="auto" w:fill="auto"/>
            <w:noWrap/>
            <w:vAlign w:val="bottom"/>
            <w:hideMark/>
          </w:tcPr>
          <w:p w:rsidR="0023787B" w:rsidRPr="005A7065" w:rsidRDefault="0023787B" w:rsidP="0023787B">
            <w:pPr>
              <w:widowControl/>
              <w:rPr>
                <w:rFonts w:ascii="Calibri" w:hAnsi="Calibri" w:cs="Calibri"/>
                <w:snapToGrid/>
                <w:color w:val="000000"/>
                <w:sz w:val="24"/>
                <w:szCs w:val="24"/>
              </w:rPr>
            </w:pPr>
            <w:r w:rsidRPr="005A7065">
              <w:rPr>
                <w:rFonts w:ascii="Calibri" w:hAnsi="Calibri" w:cs="Calibri"/>
                <w:snapToGrid/>
                <w:color w:val="000000"/>
                <w:sz w:val="24"/>
                <w:szCs w:val="24"/>
              </w:rPr>
              <w:t> </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87B" w:rsidRPr="005A7065" w:rsidRDefault="00D0760C" w:rsidP="00E01EC6">
            <w:pPr>
              <w:widowControl/>
              <w:jc w:val="center"/>
              <w:rPr>
                <w:rFonts w:ascii="Calibri" w:hAnsi="Calibri" w:cs="Calibri"/>
                <w:b/>
                <w:bCs/>
                <w:snapToGrid/>
                <w:color w:val="000000"/>
                <w:sz w:val="24"/>
                <w:szCs w:val="24"/>
              </w:rPr>
            </w:pPr>
            <w:r w:rsidRPr="00EF690C">
              <w:rPr>
                <w:rFonts w:ascii="Calibri" w:hAnsi="Calibri" w:cs="Calibri"/>
                <w:b/>
                <w:bCs/>
                <w:snapToGrid/>
                <w:color w:val="000000"/>
                <w:sz w:val="24"/>
                <w:szCs w:val="24"/>
              </w:rPr>
              <w:t>3</w:t>
            </w:r>
            <w:r>
              <w:rPr>
                <w:rFonts w:ascii="Calibri" w:hAnsi="Calibri" w:cs="Calibri"/>
                <w:b/>
                <w:bCs/>
                <w:snapToGrid/>
                <w:color w:val="000000"/>
                <w:sz w:val="24"/>
                <w:szCs w:val="24"/>
              </w:rPr>
              <w:t>1</w:t>
            </w:r>
            <w:r w:rsidRPr="00EF690C">
              <w:rPr>
                <w:rFonts w:ascii="Calibri" w:hAnsi="Calibri" w:cs="Calibri"/>
                <w:b/>
                <w:bCs/>
                <w:snapToGrid/>
                <w:color w:val="000000"/>
                <w:sz w:val="24"/>
                <w:szCs w:val="24"/>
              </w:rPr>
              <w:t>/</w:t>
            </w:r>
            <w:r>
              <w:rPr>
                <w:rFonts w:ascii="Calibri" w:hAnsi="Calibri" w:cs="Calibri"/>
                <w:b/>
                <w:bCs/>
                <w:snapToGrid/>
                <w:color w:val="000000"/>
                <w:sz w:val="24"/>
                <w:szCs w:val="24"/>
              </w:rPr>
              <w:t>12</w:t>
            </w:r>
            <w:r w:rsidRPr="00EF690C">
              <w:rPr>
                <w:rFonts w:ascii="Calibri" w:hAnsi="Calibri" w:cs="Calibri"/>
                <w:b/>
                <w:bCs/>
                <w:snapToGrid/>
                <w:color w:val="000000"/>
                <w:sz w:val="24"/>
                <w:szCs w:val="24"/>
              </w:rPr>
              <w:t>/201</w:t>
            </w:r>
            <w:r>
              <w:rPr>
                <w:rFonts w:ascii="Calibri" w:hAnsi="Calibri" w:cs="Calibri"/>
                <w:b/>
                <w:bCs/>
                <w:snapToGrid/>
                <w:color w:val="000000"/>
                <w:sz w:val="24"/>
                <w:szCs w:val="24"/>
              </w:rPr>
              <w:t>9</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87B" w:rsidRPr="005A7065" w:rsidRDefault="0023787B" w:rsidP="0023787B">
            <w:pPr>
              <w:widowControl/>
              <w:jc w:val="center"/>
              <w:rPr>
                <w:rFonts w:ascii="Calibri" w:hAnsi="Calibri" w:cs="Calibri"/>
                <w:b/>
                <w:bCs/>
                <w:snapToGrid/>
                <w:color w:val="000000"/>
                <w:sz w:val="24"/>
                <w:szCs w:val="24"/>
              </w:rPr>
            </w:pPr>
            <w:r w:rsidRPr="005A7065">
              <w:rPr>
                <w:rFonts w:ascii="Calibri" w:hAnsi="Calibri" w:cs="Calibri"/>
                <w:b/>
                <w:bCs/>
                <w:snapToGrid/>
                <w:color w:val="000000"/>
                <w:sz w:val="24"/>
                <w:szCs w:val="24"/>
              </w:rPr>
              <w:t>31/12/2018</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87B" w:rsidRPr="005A7065" w:rsidRDefault="00D0760C" w:rsidP="00E01EC6">
            <w:pPr>
              <w:widowControl/>
              <w:jc w:val="center"/>
              <w:rPr>
                <w:rFonts w:ascii="Calibri" w:hAnsi="Calibri" w:cs="Calibri"/>
                <w:b/>
                <w:bCs/>
                <w:snapToGrid/>
                <w:color w:val="000000"/>
                <w:sz w:val="24"/>
                <w:szCs w:val="24"/>
              </w:rPr>
            </w:pPr>
            <w:r w:rsidRPr="00EF690C">
              <w:rPr>
                <w:rFonts w:ascii="Calibri" w:hAnsi="Calibri" w:cs="Calibri"/>
                <w:b/>
                <w:bCs/>
                <w:snapToGrid/>
                <w:color w:val="000000"/>
                <w:sz w:val="24"/>
                <w:szCs w:val="24"/>
              </w:rPr>
              <w:t>3</w:t>
            </w:r>
            <w:r>
              <w:rPr>
                <w:rFonts w:ascii="Calibri" w:hAnsi="Calibri" w:cs="Calibri"/>
                <w:b/>
                <w:bCs/>
                <w:snapToGrid/>
                <w:color w:val="000000"/>
                <w:sz w:val="24"/>
                <w:szCs w:val="24"/>
              </w:rPr>
              <w:t>1</w:t>
            </w:r>
            <w:r w:rsidRPr="00EF690C">
              <w:rPr>
                <w:rFonts w:ascii="Calibri" w:hAnsi="Calibri" w:cs="Calibri"/>
                <w:b/>
                <w:bCs/>
                <w:snapToGrid/>
                <w:color w:val="000000"/>
                <w:sz w:val="24"/>
                <w:szCs w:val="24"/>
              </w:rPr>
              <w:t>/</w:t>
            </w:r>
            <w:r>
              <w:rPr>
                <w:rFonts w:ascii="Calibri" w:hAnsi="Calibri" w:cs="Calibri"/>
                <w:b/>
                <w:bCs/>
                <w:snapToGrid/>
                <w:color w:val="000000"/>
                <w:sz w:val="24"/>
                <w:szCs w:val="24"/>
              </w:rPr>
              <w:t>12</w:t>
            </w:r>
            <w:r w:rsidRPr="00EF690C">
              <w:rPr>
                <w:rFonts w:ascii="Calibri" w:hAnsi="Calibri" w:cs="Calibri"/>
                <w:b/>
                <w:bCs/>
                <w:snapToGrid/>
                <w:color w:val="000000"/>
                <w:sz w:val="24"/>
                <w:szCs w:val="24"/>
              </w:rPr>
              <w:t>/201</w:t>
            </w:r>
            <w:r>
              <w:rPr>
                <w:rFonts w:ascii="Calibri" w:hAnsi="Calibri" w:cs="Calibri"/>
                <w:b/>
                <w:bCs/>
                <w:snapToGrid/>
                <w:color w:val="000000"/>
                <w:sz w:val="24"/>
                <w:szCs w:val="24"/>
              </w:rPr>
              <w:t>9</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87B" w:rsidRPr="005A7065" w:rsidRDefault="0023787B" w:rsidP="0023787B">
            <w:pPr>
              <w:widowControl/>
              <w:jc w:val="center"/>
              <w:rPr>
                <w:rFonts w:ascii="Calibri" w:hAnsi="Calibri" w:cs="Calibri"/>
                <w:b/>
                <w:bCs/>
                <w:snapToGrid/>
                <w:color w:val="000000"/>
                <w:sz w:val="24"/>
                <w:szCs w:val="24"/>
              </w:rPr>
            </w:pPr>
            <w:r w:rsidRPr="005A7065">
              <w:rPr>
                <w:rFonts w:ascii="Calibri" w:hAnsi="Calibri" w:cs="Calibri"/>
                <w:b/>
                <w:bCs/>
                <w:snapToGrid/>
                <w:color w:val="000000"/>
                <w:sz w:val="24"/>
                <w:szCs w:val="24"/>
              </w:rPr>
              <w:t>31/12/201</w:t>
            </w:r>
            <w:r>
              <w:rPr>
                <w:rFonts w:ascii="Calibri" w:hAnsi="Calibri" w:cs="Calibri"/>
                <w:b/>
                <w:bCs/>
                <w:snapToGrid/>
                <w:color w:val="000000"/>
                <w:sz w:val="24"/>
                <w:szCs w:val="24"/>
              </w:rPr>
              <w:t>8</w:t>
            </w:r>
          </w:p>
        </w:tc>
      </w:tr>
      <w:tr w:rsidR="0023787B" w:rsidRPr="005A7065" w:rsidTr="00697525">
        <w:trPr>
          <w:trHeight w:val="284"/>
          <w:jc w:val="center"/>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87B" w:rsidRPr="005A7065" w:rsidRDefault="0023787B" w:rsidP="0023787B">
            <w:pPr>
              <w:widowControl/>
              <w:rPr>
                <w:rFonts w:ascii="Calibri" w:hAnsi="Calibri" w:cs="Calibri"/>
                <w:snapToGrid/>
                <w:color w:val="000000"/>
                <w:sz w:val="24"/>
                <w:szCs w:val="24"/>
              </w:rPr>
            </w:pPr>
            <w:r w:rsidRPr="005A7065">
              <w:rPr>
                <w:rFonts w:ascii="Calibri" w:hAnsi="Calibri" w:cs="Calibri"/>
                <w:snapToGrid/>
                <w:color w:val="000000"/>
                <w:sz w:val="24"/>
                <w:szCs w:val="24"/>
              </w:rPr>
              <w:t>Município do Rio de Janeiro</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787B" w:rsidRPr="005A7065" w:rsidRDefault="00951CEF" w:rsidP="00EB76EE">
            <w:pPr>
              <w:widowControl/>
              <w:jc w:val="right"/>
              <w:rPr>
                <w:rFonts w:ascii="Calibri" w:hAnsi="Calibri" w:cs="Calibri"/>
                <w:snapToGrid/>
                <w:color w:val="000000"/>
                <w:sz w:val="24"/>
                <w:szCs w:val="24"/>
              </w:rPr>
            </w:pPr>
            <w:r>
              <w:rPr>
                <w:rFonts w:ascii="Calibri" w:hAnsi="Calibri" w:cs="Calibri"/>
                <w:snapToGrid/>
                <w:color w:val="000000"/>
                <w:sz w:val="24"/>
                <w:szCs w:val="24"/>
              </w:rPr>
              <w:t>6.456</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87B" w:rsidRPr="005A7065" w:rsidRDefault="0023787B" w:rsidP="0023787B">
            <w:pPr>
              <w:widowControl/>
              <w:jc w:val="right"/>
              <w:rPr>
                <w:rFonts w:ascii="Calibri" w:hAnsi="Calibri" w:cs="Calibri"/>
                <w:snapToGrid/>
                <w:color w:val="000000"/>
                <w:sz w:val="24"/>
                <w:szCs w:val="24"/>
              </w:rPr>
            </w:pPr>
            <w:r w:rsidRPr="005A7065">
              <w:rPr>
                <w:rFonts w:ascii="Calibri" w:hAnsi="Calibri" w:cs="Calibri"/>
                <w:snapToGrid/>
                <w:color w:val="000000"/>
                <w:sz w:val="24"/>
                <w:szCs w:val="24"/>
              </w:rPr>
              <w:t>6.306</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787B" w:rsidRPr="005A7065" w:rsidRDefault="00951CEF" w:rsidP="00E01EC6">
            <w:pPr>
              <w:widowControl/>
              <w:jc w:val="right"/>
              <w:rPr>
                <w:rFonts w:ascii="Calibri" w:hAnsi="Calibri" w:cs="Calibri"/>
                <w:snapToGrid/>
                <w:color w:val="000000"/>
                <w:sz w:val="24"/>
                <w:szCs w:val="24"/>
              </w:rPr>
            </w:pPr>
            <w:r>
              <w:rPr>
                <w:rFonts w:ascii="Calibri" w:hAnsi="Calibri" w:cs="Calibri"/>
                <w:snapToGrid/>
                <w:color w:val="000000"/>
                <w:sz w:val="24"/>
                <w:szCs w:val="24"/>
              </w:rPr>
              <w:t>40.904</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87B" w:rsidRPr="005A7065" w:rsidRDefault="0023787B" w:rsidP="0023787B">
            <w:pPr>
              <w:widowControl/>
              <w:jc w:val="right"/>
              <w:rPr>
                <w:rFonts w:ascii="Calibri" w:hAnsi="Calibri" w:cs="Calibri"/>
                <w:snapToGrid/>
                <w:color w:val="000000"/>
                <w:sz w:val="24"/>
                <w:szCs w:val="24"/>
              </w:rPr>
            </w:pPr>
            <w:r w:rsidRPr="005A7065">
              <w:rPr>
                <w:rFonts w:ascii="Calibri" w:hAnsi="Calibri" w:cs="Calibri"/>
                <w:snapToGrid/>
                <w:color w:val="000000"/>
                <w:sz w:val="24"/>
                <w:szCs w:val="24"/>
              </w:rPr>
              <w:t>40.773</w:t>
            </w:r>
          </w:p>
        </w:tc>
      </w:tr>
      <w:tr w:rsidR="0023787B" w:rsidRPr="005A7065" w:rsidTr="00697525">
        <w:trPr>
          <w:trHeight w:val="284"/>
          <w:jc w:val="center"/>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87B" w:rsidRPr="005A7065" w:rsidRDefault="0023787B" w:rsidP="0023787B">
            <w:pPr>
              <w:widowControl/>
              <w:rPr>
                <w:rFonts w:ascii="Calibri" w:hAnsi="Calibri" w:cs="Calibri"/>
                <w:snapToGrid/>
                <w:color w:val="000000"/>
                <w:sz w:val="24"/>
                <w:szCs w:val="24"/>
              </w:rPr>
            </w:pPr>
            <w:r w:rsidRPr="005A7065">
              <w:rPr>
                <w:rFonts w:ascii="Calibri" w:hAnsi="Calibri" w:cs="Calibri"/>
                <w:snapToGrid/>
                <w:color w:val="000000"/>
                <w:sz w:val="24"/>
                <w:szCs w:val="24"/>
              </w:rPr>
              <w:t>Convênio CDRJ x INEA</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787B" w:rsidRPr="005A7065" w:rsidRDefault="00951CEF" w:rsidP="0023787B">
            <w:pPr>
              <w:widowControl/>
              <w:jc w:val="right"/>
              <w:rPr>
                <w:rFonts w:ascii="Calibri" w:hAnsi="Calibri" w:cs="Calibri"/>
                <w:snapToGrid/>
                <w:color w:val="000000"/>
                <w:sz w:val="24"/>
                <w:szCs w:val="24"/>
              </w:rPr>
            </w:pPr>
            <w:r>
              <w:rPr>
                <w:rFonts w:ascii="Calibri" w:hAnsi="Calibri" w:cs="Calibri"/>
                <w:snapToGrid/>
                <w:color w:val="000000"/>
                <w:sz w:val="24"/>
                <w:szCs w:val="24"/>
              </w:rPr>
              <w:t>1.200</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87B" w:rsidRPr="005A7065" w:rsidRDefault="0023787B" w:rsidP="0023787B">
            <w:pPr>
              <w:widowControl/>
              <w:jc w:val="right"/>
              <w:rPr>
                <w:rFonts w:ascii="Calibri" w:hAnsi="Calibri" w:cs="Calibri"/>
                <w:snapToGrid/>
                <w:color w:val="000000"/>
                <w:sz w:val="24"/>
                <w:szCs w:val="24"/>
              </w:rPr>
            </w:pPr>
            <w:r w:rsidRPr="005A7065">
              <w:rPr>
                <w:rFonts w:ascii="Calibri" w:hAnsi="Calibri" w:cs="Calibri"/>
                <w:snapToGrid/>
                <w:color w:val="000000"/>
                <w:sz w:val="24"/>
                <w:szCs w:val="24"/>
              </w:rPr>
              <w:t>1.200</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787B" w:rsidRPr="005A7065" w:rsidRDefault="00D414A4"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87B" w:rsidRPr="005A7065" w:rsidRDefault="00D414A4"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23787B" w:rsidRPr="005A7065" w:rsidTr="00697525">
        <w:trPr>
          <w:trHeight w:val="284"/>
          <w:jc w:val="center"/>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787B" w:rsidRPr="005A7065" w:rsidRDefault="0023787B" w:rsidP="0023787B">
            <w:pPr>
              <w:widowControl/>
              <w:rPr>
                <w:rFonts w:ascii="Calibri" w:hAnsi="Calibri" w:cs="Calibri"/>
                <w:snapToGrid/>
                <w:color w:val="000000"/>
                <w:sz w:val="24"/>
                <w:szCs w:val="24"/>
              </w:rPr>
            </w:pPr>
            <w:r>
              <w:rPr>
                <w:rFonts w:ascii="Calibri" w:hAnsi="Calibri" w:cs="Calibri"/>
                <w:snapToGrid/>
                <w:color w:val="000000"/>
                <w:sz w:val="24"/>
                <w:szCs w:val="24"/>
              </w:rPr>
              <w:t>Acordos – Créditos a Receber</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787B" w:rsidRPr="005A7065" w:rsidRDefault="00951CEF" w:rsidP="0023787B">
            <w:pPr>
              <w:widowControl/>
              <w:jc w:val="right"/>
              <w:rPr>
                <w:rFonts w:ascii="Calibri" w:hAnsi="Calibri" w:cs="Calibri"/>
                <w:snapToGrid/>
                <w:color w:val="000000"/>
                <w:sz w:val="24"/>
                <w:szCs w:val="24"/>
              </w:rPr>
            </w:pPr>
            <w:r>
              <w:rPr>
                <w:rFonts w:ascii="Calibri" w:hAnsi="Calibri" w:cs="Calibri"/>
                <w:snapToGrid/>
                <w:color w:val="000000"/>
                <w:sz w:val="24"/>
                <w:szCs w:val="24"/>
              </w:rPr>
              <w:t>4.019</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787B" w:rsidRPr="005A7065" w:rsidRDefault="00D414A4" w:rsidP="0023787B">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787B" w:rsidRPr="005A7065" w:rsidRDefault="00951CEF" w:rsidP="0023787B">
            <w:pPr>
              <w:widowControl/>
              <w:jc w:val="right"/>
              <w:rPr>
                <w:rFonts w:ascii="Calibri" w:hAnsi="Calibri" w:cs="Calibri"/>
                <w:snapToGrid/>
                <w:color w:val="000000"/>
                <w:sz w:val="24"/>
                <w:szCs w:val="24"/>
              </w:rPr>
            </w:pPr>
            <w:r>
              <w:rPr>
                <w:rFonts w:ascii="Calibri" w:hAnsi="Calibri" w:cs="Calibri"/>
                <w:snapToGrid/>
                <w:color w:val="000000"/>
                <w:sz w:val="24"/>
                <w:szCs w:val="24"/>
              </w:rPr>
              <w:t>5.987</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787B" w:rsidRDefault="00D414A4"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23787B" w:rsidRPr="005A7065" w:rsidTr="00697525">
        <w:trPr>
          <w:trHeight w:val="284"/>
          <w:jc w:val="center"/>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87B" w:rsidRPr="005A7065" w:rsidRDefault="0023787B" w:rsidP="0023787B">
            <w:pPr>
              <w:widowControl/>
              <w:rPr>
                <w:rFonts w:ascii="Calibri" w:hAnsi="Calibri" w:cs="Calibri"/>
                <w:snapToGrid/>
                <w:color w:val="000000"/>
                <w:sz w:val="24"/>
                <w:szCs w:val="24"/>
              </w:rPr>
            </w:pPr>
            <w:r w:rsidRPr="005A7065">
              <w:rPr>
                <w:rFonts w:ascii="Calibri" w:hAnsi="Calibri" w:cs="Calibri"/>
                <w:snapToGrid/>
                <w:color w:val="000000"/>
                <w:sz w:val="24"/>
                <w:szCs w:val="24"/>
              </w:rPr>
              <w:t>Outros Valores a Receber</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787B" w:rsidRPr="005A7065" w:rsidRDefault="00951CEF" w:rsidP="0023787B">
            <w:pPr>
              <w:widowControl/>
              <w:jc w:val="right"/>
              <w:rPr>
                <w:rFonts w:ascii="Calibri" w:hAnsi="Calibri" w:cs="Calibri"/>
                <w:snapToGrid/>
                <w:color w:val="000000"/>
                <w:sz w:val="24"/>
                <w:szCs w:val="24"/>
              </w:rPr>
            </w:pPr>
            <w:r>
              <w:rPr>
                <w:rFonts w:ascii="Calibri" w:hAnsi="Calibri" w:cs="Calibri"/>
                <w:snapToGrid/>
                <w:color w:val="000000"/>
                <w:sz w:val="24"/>
                <w:szCs w:val="24"/>
              </w:rPr>
              <w:t>599</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87B" w:rsidRPr="005A7065" w:rsidRDefault="0023787B" w:rsidP="0023787B">
            <w:pPr>
              <w:widowControl/>
              <w:jc w:val="right"/>
              <w:rPr>
                <w:rFonts w:ascii="Calibri" w:hAnsi="Calibri" w:cs="Calibri"/>
                <w:snapToGrid/>
                <w:color w:val="000000"/>
                <w:sz w:val="24"/>
                <w:szCs w:val="24"/>
              </w:rPr>
            </w:pPr>
            <w:r w:rsidRPr="005A7065">
              <w:rPr>
                <w:rFonts w:ascii="Calibri" w:hAnsi="Calibri" w:cs="Calibri"/>
                <w:snapToGrid/>
                <w:color w:val="000000"/>
                <w:sz w:val="24"/>
                <w:szCs w:val="24"/>
              </w:rPr>
              <w:t>766</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787B" w:rsidRPr="005A7065" w:rsidRDefault="00D414A4" w:rsidP="0023787B">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87B" w:rsidRPr="005A7065" w:rsidRDefault="0023787B" w:rsidP="001F63A7">
            <w:pPr>
              <w:widowControl/>
              <w:jc w:val="right"/>
              <w:rPr>
                <w:rFonts w:ascii="Calibri" w:hAnsi="Calibri" w:cs="Calibri"/>
                <w:snapToGrid/>
                <w:color w:val="000000"/>
                <w:sz w:val="24"/>
                <w:szCs w:val="24"/>
              </w:rPr>
            </w:pPr>
            <w:r w:rsidRPr="005A7065">
              <w:rPr>
                <w:rFonts w:ascii="Calibri" w:hAnsi="Calibri" w:cs="Calibri"/>
                <w:snapToGrid/>
                <w:color w:val="000000"/>
                <w:sz w:val="24"/>
                <w:szCs w:val="24"/>
              </w:rPr>
              <w:t> </w:t>
            </w:r>
            <w:r w:rsidR="00D414A4">
              <w:rPr>
                <w:rFonts w:ascii="Calibri" w:hAnsi="Calibri" w:cs="Calibri"/>
                <w:snapToGrid/>
                <w:color w:val="000000"/>
                <w:sz w:val="24"/>
                <w:szCs w:val="24"/>
              </w:rPr>
              <w:t>-</w:t>
            </w:r>
          </w:p>
        </w:tc>
      </w:tr>
      <w:tr w:rsidR="0023787B" w:rsidRPr="005A7065" w:rsidTr="00697525">
        <w:trPr>
          <w:trHeight w:val="284"/>
          <w:jc w:val="center"/>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87B" w:rsidRPr="005A7065" w:rsidRDefault="0023787B" w:rsidP="0023787B">
            <w:pPr>
              <w:widowControl/>
              <w:rPr>
                <w:rFonts w:ascii="Calibri" w:hAnsi="Calibri" w:cs="Calibri"/>
                <w:b/>
                <w:bCs/>
                <w:snapToGrid/>
                <w:color w:val="000000"/>
                <w:sz w:val="24"/>
                <w:szCs w:val="24"/>
              </w:rPr>
            </w:pPr>
            <w:r w:rsidRPr="005A7065">
              <w:rPr>
                <w:rFonts w:ascii="Calibri" w:hAnsi="Calibri" w:cs="Calibri"/>
                <w:b/>
                <w:bCs/>
                <w:snapToGrid/>
                <w:color w:val="000000"/>
                <w:sz w:val="24"/>
                <w:szCs w:val="24"/>
              </w:rPr>
              <w:t>Totais</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787B" w:rsidRPr="005A7065" w:rsidRDefault="00052DE7" w:rsidP="0023787B">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12.274</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87B" w:rsidRPr="005A7065" w:rsidRDefault="0023787B" w:rsidP="0023787B">
            <w:pPr>
              <w:widowControl/>
              <w:jc w:val="right"/>
              <w:rPr>
                <w:rFonts w:ascii="Calibri" w:hAnsi="Calibri" w:cs="Calibri"/>
                <w:b/>
                <w:bCs/>
                <w:snapToGrid/>
                <w:color w:val="000000"/>
                <w:sz w:val="24"/>
                <w:szCs w:val="24"/>
              </w:rPr>
            </w:pPr>
            <w:r w:rsidRPr="005A7065">
              <w:rPr>
                <w:rFonts w:ascii="Calibri" w:hAnsi="Calibri" w:cs="Calibri"/>
                <w:b/>
                <w:bCs/>
                <w:snapToGrid/>
                <w:color w:val="000000"/>
                <w:sz w:val="24"/>
                <w:szCs w:val="24"/>
              </w:rPr>
              <w:t>8.272</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787B" w:rsidRPr="005A7065" w:rsidRDefault="00052DE7" w:rsidP="00EB76EE">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46.891</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87B" w:rsidRPr="005A7065" w:rsidRDefault="0023787B" w:rsidP="0023787B">
            <w:pPr>
              <w:widowControl/>
              <w:jc w:val="right"/>
              <w:rPr>
                <w:rFonts w:ascii="Calibri" w:hAnsi="Calibri" w:cs="Calibri"/>
                <w:b/>
                <w:bCs/>
                <w:snapToGrid/>
                <w:color w:val="000000"/>
                <w:sz w:val="24"/>
                <w:szCs w:val="24"/>
              </w:rPr>
            </w:pPr>
            <w:r w:rsidRPr="005A7065">
              <w:rPr>
                <w:rFonts w:ascii="Calibri" w:hAnsi="Calibri" w:cs="Calibri"/>
                <w:b/>
                <w:bCs/>
                <w:snapToGrid/>
                <w:color w:val="000000"/>
                <w:sz w:val="24"/>
                <w:szCs w:val="24"/>
              </w:rPr>
              <w:t>40.773</w:t>
            </w:r>
          </w:p>
        </w:tc>
      </w:tr>
    </w:tbl>
    <w:p w:rsidR="004D7C37" w:rsidRDefault="004D7C37" w:rsidP="00C16DDB">
      <w:pPr>
        <w:pStyle w:val="Recuodecorpodetexto"/>
        <w:widowControl/>
        <w:autoSpaceDE w:val="0"/>
        <w:autoSpaceDN w:val="0"/>
        <w:ind w:left="0"/>
        <w:rPr>
          <w:rFonts w:ascii="Calibri" w:hAnsi="Calibri" w:cs="Calibri"/>
          <w:b/>
          <w:szCs w:val="24"/>
          <w:lang w:val="pt-BR"/>
        </w:rPr>
      </w:pPr>
    </w:p>
    <w:p w:rsidR="00C16DDB" w:rsidRPr="00312424" w:rsidRDefault="007D4F1E" w:rsidP="00C16DDB">
      <w:pPr>
        <w:pStyle w:val="Recuodecorpodetexto"/>
        <w:widowControl/>
        <w:autoSpaceDE w:val="0"/>
        <w:autoSpaceDN w:val="0"/>
        <w:ind w:left="0"/>
        <w:rPr>
          <w:rFonts w:ascii="Calibri" w:hAnsi="Calibri" w:cs="Calibri"/>
          <w:b/>
          <w:szCs w:val="24"/>
          <w:lang w:val="pt-BR"/>
        </w:rPr>
      </w:pPr>
      <w:r>
        <w:rPr>
          <w:rFonts w:ascii="Calibri" w:hAnsi="Calibri" w:cs="Calibri"/>
          <w:b/>
          <w:szCs w:val="24"/>
          <w:lang w:val="pt-BR"/>
        </w:rPr>
        <w:lastRenderedPageBreak/>
        <w:t>Município do Rio de Janeiro</w:t>
      </w:r>
      <w:r w:rsidR="00C16DDB" w:rsidRPr="00312424">
        <w:rPr>
          <w:rFonts w:ascii="Calibri" w:hAnsi="Calibri" w:cs="Calibri"/>
          <w:b/>
          <w:szCs w:val="24"/>
        </w:rPr>
        <w:t xml:space="preserve"> </w:t>
      </w:r>
      <w:r w:rsidR="001E11CE" w:rsidRPr="001E11CE">
        <w:rPr>
          <w:rFonts w:ascii="Calibri" w:hAnsi="Calibri" w:cs="Calibri"/>
          <w:szCs w:val="24"/>
          <w:lang w:val="pt-BR"/>
        </w:rPr>
        <w:t>compreende o s</w:t>
      </w:r>
      <w:r w:rsidR="00C16DDB" w:rsidRPr="00312424">
        <w:rPr>
          <w:rFonts w:ascii="Calibri" w:hAnsi="Calibri" w:cs="Calibri"/>
          <w:szCs w:val="24"/>
          <w:lang w:val="pt-BR"/>
        </w:rPr>
        <w:t xml:space="preserve">aldo a </w:t>
      </w:r>
      <w:r w:rsidR="001E11CE">
        <w:rPr>
          <w:rFonts w:ascii="Calibri" w:hAnsi="Calibri" w:cs="Calibri"/>
          <w:szCs w:val="24"/>
          <w:lang w:val="pt-BR"/>
        </w:rPr>
        <w:t>r</w:t>
      </w:r>
      <w:r w:rsidR="00C16DDB" w:rsidRPr="00312424">
        <w:rPr>
          <w:rFonts w:ascii="Calibri" w:hAnsi="Calibri" w:cs="Calibri"/>
          <w:szCs w:val="24"/>
          <w:lang w:val="pt-BR"/>
        </w:rPr>
        <w:t>eceber referente à indenização por desapropriação administrativa de imóveis ou terrenos urbanos de titularidade da CDRJ, nos termos do Decreto Presidencial não numerado, de 10 de setembro de 2013</w:t>
      </w:r>
      <w:r w:rsidR="004D67FA">
        <w:rPr>
          <w:rFonts w:ascii="Calibri" w:hAnsi="Calibri" w:cs="Calibri"/>
          <w:szCs w:val="24"/>
          <w:lang w:val="pt-BR"/>
        </w:rPr>
        <w:t>, o qual</w:t>
      </w:r>
      <w:r w:rsidR="00C16DDB" w:rsidRPr="00312424">
        <w:rPr>
          <w:rFonts w:ascii="Calibri" w:hAnsi="Calibri" w:cs="Calibri"/>
          <w:szCs w:val="24"/>
          <w:lang w:val="pt-BR"/>
        </w:rPr>
        <w:t xml:space="preserve"> autorizou o Município do Rio de Janeiro a declarar de utilidade pública o domínio público dos imóveis pertencentes à CDRJ, destinados à implantação da urbanização da área portuária. </w:t>
      </w:r>
    </w:p>
    <w:p w:rsidR="00C16DDB" w:rsidRPr="00312424" w:rsidRDefault="00C16DDB" w:rsidP="00C16DDB">
      <w:pPr>
        <w:pStyle w:val="Recuodecorpodetexto"/>
        <w:widowControl/>
        <w:autoSpaceDE w:val="0"/>
        <w:autoSpaceDN w:val="0"/>
        <w:ind w:left="0"/>
        <w:rPr>
          <w:rFonts w:ascii="Calibri" w:hAnsi="Calibri" w:cs="Calibri"/>
          <w:b/>
          <w:szCs w:val="24"/>
        </w:rPr>
      </w:pPr>
    </w:p>
    <w:p w:rsidR="00C16DDB" w:rsidRPr="00312424" w:rsidRDefault="001E11CE" w:rsidP="00C16DDB">
      <w:pPr>
        <w:pStyle w:val="Recuodecorpodetexto"/>
        <w:widowControl/>
        <w:autoSpaceDE w:val="0"/>
        <w:autoSpaceDN w:val="0"/>
        <w:ind w:left="0"/>
        <w:rPr>
          <w:rFonts w:ascii="Calibri" w:hAnsi="Calibri" w:cs="Calibri"/>
          <w:szCs w:val="24"/>
          <w:lang w:val="pt-BR"/>
        </w:rPr>
      </w:pPr>
      <w:r w:rsidRPr="001E11CE">
        <w:rPr>
          <w:rFonts w:ascii="Calibri" w:hAnsi="Calibri" w:cs="Calibri"/>
          <w:szCs w:val="24"/>
          <w:lang w:val="pt-BR"/>
        </w:rPr>
        <w:t>O</w:t>
      </w:r>
      <w:r>
        <w:rPr>
          <w:rFonts w:ascii="Calibri" w:hAnsi="Calibri" w:cs="Calibri"/>
          <w:b/>
          <w:szCs w:val="24"/>
          <w:lang w:val="pt-BR"/>
        </w:rPr>
        <w:t xml:space="preserve"> </w:t>
      </w:r>
      <w:r w:rsidR="00C16DDB" w:rsidRPr="00312424">
        <w:rPr>
          <w:rFonts w:ascii="Calibri" w:hAnsi="Calibri" w:cs="Calibri"/>
          <w:b/>
          <w:szCs w:val="24"/>
        </w:rPr>
        <w:t xml:space="preserve">Convênio CDRJ/INEA </w:t>
      </w:r>
      <w:r w:rsidRPr="001E11CE">
        <w:rPr>
          <w:rFonts w:ascii="Calibri" w:hAnsi="Calibri" w:cs="Calibri"/>
          <w:szCs w:val="24"/>
          <w:lang w:val="pt-BR"/>
        </w:rPr>
        <w:t>refere-se ao r</w:t>
      </w:r>
      <w:r w:rsidR="004D67FA" w:rsidRPr="004D67FA">
        <w:rPr>
          <w:rFonts w:ascii="Calibri" w:hAnsi="Calibri" w:cs="Calibri"/>
          <w:szCs w:val="24"/>
          <w:lang w:val="pt-BR"/>
        </w:rPr>
        <w:t>epasse</w:t>
      </w:r>
      <w:r w:rsidR="00C16DDB" w:rsidRPr="00312424">
        <w:rPr>
          <w:rFonts w:ascii="Calibri" w:hAnsi="Calibri" w:cs="Calibri"/>
          <w:szCs w:val="24"/>
        </w:rPr>
        <w:t xml:space="preserve"> da União para o Instituto Estadual do Ambiente, a título de investimento no Programa de Saneamento de Sepetiba, conforme Termo de Convênio nº 120/2012, assinado entre a CDRJ e o INEA, visando ações de despoluição da Praia de Sepetiba. Em contrapartida</w:t>
      </w:r>
      <w:r w:rsidR="00C16DDB" w:rsidRPr="00312424">
        <w:rPr>
          <w:rFonts w:ascii="Calibri" w:hAnsi="Calibri" w:cs="Calibri"/>
          <w:szCs w:val="24"/>
          <w:lang w:val="pt-BR"/>
        </w:rPr>
        <w:t>,</w:t>
      </w:r>
      <w:r w:rsidR="00C16DDB" w:rsidRPr="00312424">
        <w:rPr>
          <w:rFonts w:ascii="Calibri" w:hAnsi="Calibri" w:cs="Calibri"/>
          <w:szCs w:val="24"/>
        </w:rPr>
        <w:t xml:space="preserve"> o convênio possibilita a CDRJ pugnar pela compensação do valor em face da execução movida pelo Ministério Público Federal, nos autos da Ação Civil Pública nº 2003.51.01.022386-0.</w:t>
      </w:r>
      <w:r w:rsidR="00C16DDB" w:rsidRPr="00312424">
        <w:rPr>
          <w:rFonts w:ascii="Calibri" w:hAnsi="Calibri" w:cs="Calibri"/>
          <w:szCs w:val="24"/>
          <w:lang w:val="pt-BR"/>
        </w:rPr>
        <w:t xml:space="preserve"> Após o término do contrato, o INEA realizou a prestação de contas e pleiteou novo aditivo com fins de utilização do saldo de R$ 1.200 mil (referente ao valor não utilizado de R$ 500 mil e atualização no valor de R$ 700 mil) que deveria ser restituído à CDRJ. </w:t>
      </w:r>
      <w:r w:rsidR="006D1F1A">
        <w:rPr>
          <w:rFonts w:ascii="Calibri" w:hAnsi="Calibri" w:cs="Calibri"/>
          <w:szCs w:val="24"/>
          <w:lang w:val="pt-BR"/>
        </w:rPr>
        <w:t>A Diretoria Executiva da CDRJ rejeitou a proposta e propôs o ajuizamento de ação visando o ressarcimento do saldo remanescente, devidamente atualizado.</w:t>
      </w:r>
    </w:p>
    <w:p w:rsidR="00BB24F4" w:rsidRDefault="00BB24F4" w:rsidP="00C16DDB">
      <w:pPr>
        <w:pStyle w:val="Recuodecorpodetexto"/>
        <w:widowControl/>
        <w:autoSpaceDE w:val="0"/>
        <w:autoSpaceDN w:val="0"/>
        <w:ind w:left="0"/>
        <w:rPr>
          <w:rFonts w:ascii="Calibri" w:hAnsi="Calibri" w:cs="Calibri"/>
          <w:b/>
          <w:szCs w:val="24"/>
          <w:lang w:val="pt-BR"/>
        </w:rPr>
      </w:pPr>
    </w:p>
    <w:p w:rsidR="009B2C95" w:rsidRPr="00312424" w:rsidRDefault="009B2C95" w:rsidP="000831FD">
      <w:pPr>
        <w:pStyle w:val="Recuodecorpodetexto"/>
        <w:widowControl/>
        <w:autoSpaceDE w:val="0"/>
        <w:autoSpaceDN w:val="0"/>
        <w:ind w:left="0"/>
        <w:rPr>
          <w:rFonts w:ascii="Calibri" w:hAnsi="Calibri" w:cs="Calibri"/>
          <w:b/>
          <w:szCs w:val="24"/>
          <w:lang w:val="pt-BR"/>
        </w:rPr>
      </w:pPr>
      <w:r>
        <w:rPr>
          <w:rFonts w:ascii="Calibri" w:hAnsi="Calibri" w:cs="Calibri"/>
          <w:b/>
          <w:szCs w:val="24"/>
          <w:lang w:val="pt-BR"/>
        </w:rPr>
        <w:t>Acordos – Créditos a Receber</w:t>
      </w:r>
      <w:r w:rsidRPr="00312424">
        <w:rPr>
          <w:rFonts w:ascii="Calibri" w:hAnsi="Calibri" w:cs="Calibri"/>
          <w:b/>
          <w:szCs w:val="24"/>
        </w:rPr>
        <w:t xml:space="preserve"> </w:t>
      </w:r>
      <w:r w:rsidRPr="001E11CE">
        <w:rPr>
          <w:rFonts w:ascii="Calibri" w:hAnsi="Calibri" w:cs="Calibri"/>
          <w:szCs w:val="24"/>
          <w:lang w:val="pt-BR"/>
        </w:rPr>
        <w:t>compreende o s</w:t>
      </w:r>
      <w:r w:rsidRPr="00312424">
        <w:rPr>
          <w:rFonts w:ascii="Calibri" w:hAnsi="Calibri" w:cs="Calibri"/>
          <w:szCs w:val="24"/>
          <w:lang w:val="pt-BR"/>
        </w:rPr>
        <w:t xml:space="preserve">aldo a </w:t>
      </w:r>
      <w:r>
        <w:rPr>
          <w:rFonts w:ascii="Calibri" w:hAnsi="Calibri" w:cs="Calibri"/>
          <w:szCs w:val="24"/>
          <w:lang w:val="pt-BR"/>
        </w:rPr>
        <w:t>r</w:t>
      </w:r>
      <w:r w:rsidRPr="00312424">
        <w:rPr>
          <w:rFonts w:ascii="Calibri" w:hAnsi="Calibri" w:cs="Calibri"/>
          <w:szCs w:val="24"/>
          <w:lang w:val="pt-BR"/>
        </w:rPr>
        <w:t xml:space="preserve">eceber referente </w:t>
      </w:r>
      <w:r>
        <w:rPr>
          <w:rFonts w:ascii="Calibri" w:hAnsi="Calibri" w:cs="Calibri"/>
          <w:szCs w:val="24"/>
          <w:lang w:val="pt-BR"/>
        </w:rPr>
        <w:t>ao</w:t>
      </w:r>
      <w:r w:rsidR="008A6042">
        <w:rPr>
          <w:rFonts w:ascii="Calibri" w:hAnsi="Calibri" w:cs="Calibri"/>
          <w:szCs w:val="24"/>
          <w:lang w:val="pt-BR"/>
        </w:rPr>
        <w:t>s</w:t>
      </w:r>
      <w:r>
        <w:rPr>
          <w:rFonts w:ascii="Calibri" w:hAnsi="Calibri" w:cs="Calibri"/>
          <w:szCs w:val="24"/>
          <w:lang w:val="pt-BR"/>
        </w:rPr>
        <w:t xml:space="preserve"> acordos de confissão de dívidas </w:t>
      </w:r>
      <w:r w:rsidR="000E1F2C">
        <w:rPr>
          <w:rFonts w:ascii="Calibri" w:hAnsi="Calibri" w:cs="Calibri"/>
          <w:szCs w:val="24"/>
          <w:lang w:val="pt-BR"/>
        </w:rPr>
        <w:t xml:space="preserve">firmados </w:t>
      </w:r>
      <w:r>
        <w:rPr>
          <w:rFonts w:ascii="Calibri" w:hAnsi="Calibri" w:cs="Calibri"/>
          <w:szCs w:val="24"/>
          <w:lang w:val="pt-BR"/>
        </w:rPr>
        <w:t>c</w:t>
      </w:r>
      <w:r w:rsidR="00951CEF">
        <w:rPr>
          <w:rFonts w:ascii="Calibri" w:hAnsi="Calibri" w:cs="Calibri"/>
          <w:szCs w:val="24"/>
          <w:lang w:val="pt-BR"/>
        </w:rPr>
        <w:t xml:space="preserve">om os seguintes clientes: Píer Mauá S.A., Triunfo Logística Ltda. e </w:t>
      </w:r>
      <w:proofErr w:type="spellStart"/>
      <w:r w:rsidR="00951CEF">
        <w:rPr>
          <w:rFonts w:ascii="Calibri" w:hAnsi="Calibri" w:cs="Calibri"/>
          <w:szCs w:val="24"/>
          <w:lang w:val="pt-BR"/>
        </w:rPr>
        <w:t>Pennant</w:t>
      </w:r>
      <w:proofErr w:type="spellEnd"/>
      <w:r w:rsidR="00951CEF">
        <w:rPr>
          <w:rFonts w:ascii="Calibri" w:hAnsi="Calibri" w:cs="Calibri"/>
          <w:szCs w:val="24"/>
          <w:lang w:val="pt-BR"/>
        </w:rPr>
        <w:t xml:space="preserve"> Serviços Marítimos Ltda.</w:t>
      </w:r>
    </w:p>
    <w:p w:rsidR="00085185" w:rsidRDefault="00085185" w:rsidP="000831FD">
      <w:pPr>
        <w:pStyle w:val="Recuodecorpodetexto"/>
        <w:widowControl/>
        <w:autoSpaceDE w:val="0"/>
        <w:autoSpaceDN w:val="0"/>
        <w:ind w:left="0"/>
        <w:rPr>
          <w:rFonts w:ascii="Calibri" w:hAnsi="Calibri" w:cs="Calibri"/>
          <w:b/>
          <w:szCs w:val="24"/>
          <w:lang w:val="pt-BR"/>
        </w:rPr>
      </w:pPr>
    </w:p>
    <w:p w:rsidR="009B2C95" w:rsidRDefault="009B2C95" w:rsidP="000831FD">
      <w:pPr>
        <w:pStyle w:val="Recuodecorpodetexto"/>
        <w:widowControl/>
        <w:autoSpaceDE w:val="0"/>
        <w:autoSpaceDN w:val="0"/>
        <w:ind w:left="0"/>
        <w:rPr>
          <w:rFonts w:ascii="Calibri" w:hAnsi="Calibri" w:cs="Calibri"/>
          <w:b/>
          <w:szCs w:val="24"/>
          <w:lang w:val="pt-BR"/>
        </w:rPr>
      </w:pPr>
    </w:p>
    <w:p w:rsidR="00C16DDB" w:rsidRPr="00312424" w:rsidRDefault="0043773C" w:rsidP="000831FD">
      <w:pPr>
        <w:pStyle w:val="Recuodecorpodetexto"/>
        <w:widowControl/>
        <w:autoSpaceDE w:val="0"/>
        <w:autoSpaceDN w:val="0"/>
        <w:ind w:left="0"/>
        <w:rPr>
          <w:rFonts w:ascii="Calibri" w:hAnsi="Calibri" w:cs="Calibri"/>
          <w:b/>
          <w:szCs w:val="24"/>
          <w:u w:val="single"/>
          <w:lang w:val="pt-BR"/>
        </w:rPr>
      </w:pPr>
      <w:r>
        <w:rPr>
          <w:rFonts w:ascii="Calibri" w:hAnsi="Calibri" w:cs="Calibri"/>
          <w:b/>
          <w:szCs w:val="24"/>
          <w:lang w:val="pt-BR"/>
        </w:rPr>
        <w:t>8</w:t>
      </w:r>
      <w:r w:rsidR="00C16DDB" w:rsidRPr="00312424">
        <w:rPr>
          <w:rFonts w:ascii="Calibri" w:hAnsi="Calibri" w:cs="Calibri"/>
          <w:b/>
          <w:szCs w:val="24"/>
          <w:lang w:val="pt-BR"/>
        </w:rPr>
        <w:t xml:space="preserve"> </w:t>
      </w:r>
      <w:r w:rsidR="00C16DDB" w:rsidRPr="00312424">
        <w:rPr>
          <w:rFonts w:ascii="Calibri" w:hAnsi="Calibri" w:cs="Calibri"/>
          <w:b/>
          <w:szCs w:val="24"/>
        </w:rPr>
        <w:t xml:space="preserve">– </w:t>
      </w:r>
      <w:r w:rsidR="00C16DDB" w:rsidRPr="00312424">
        <w:rPr>
          <w:rFonts w:ascii="Calibri" w:hAnsi="Calibri" w:cs="Calibri"/>
          <w:b/>
          <w:szCs w:val="24"/>
          <w:u w:val="single"/>
          <w:lang w:val="pt-BR"/>
        </w:rPr>
        <w:t>DEPÓSITOS JUDICIAIS</w:t>
      </w:r>
    </w:p>
    <w:p w:rsidR="00C16DDB" w:rsidRPr="00312424" w:rsidRDefault="00C16DDB" w:rsidP="00C16DDB">
      <w:pPr>
        <w:pStyle w:val="Recuodecorpodetexto"/>
        <w:widowControl/>
        <w:autoSpaceDE w:val="0"/>
        <w:autoSpaceDN w:val="0"/>
        <w:ind w:left="0"/>
        <w:rPr>
          <w:rFonts w:ascii="Calibri" w:hAnsi="Calibri" w:cs="Calibri"/>
          <w:b/>
          <w:szCs w:val="24"/>
          <w:u w:val="single"/>
          <w:lang w:val="pt-BR"/>
        </w:rPr>
      </w:pPr>
    </w:p>
    <w:p w:rsidR="00C16DDB" w:rsidRDefault="00C16DDB" w:rsidP="00C16DDB">
      <w:pPr>
        <w:pStyle w:val="Recuodecorpodetexto"/>
        <w:widowControl/>
        <w:autoSpaceDE w:val="0"/>
        <w:autoSpaceDN w:val="0"/>
        <w:ind w:left="0"/>
        <w:rPr>
          <w:rFonts w:ascii="Calibri" w:hAnsi="Calibri" w:cs="Calibri"/>
          <w:szCs w:val="24"/>
          <w:lang w:val="pt-BR"/>
        </w:rPr>
      </w:pPr>
      <w:r w:rsidRPr="00312424">
        <w:rPr>
          <w:rFonts w:ascii="Calibri" w:hAnsi="Calibri" w:cs="Calibri"/>
          <w:szCs w:val="24"/>
          <w:lang w:val="pt-BR"/>
        </w:rPr>
        <w:t>Valores relacionados a quantias depositadas e mantidas em juízo até a solução dos respectivos litígios</w:t>
      </w:r>
      <w:r w:rsidR="00B4501B">
        <w:rPr>
          <w:rFonts w:ascii="Calibri" w:hAnsi="Calibri" w:cs="Calibri"/>
          <w:szCs w:val="24"/>
          <w:lang w:val="pt-BR"/>
        </w:rPr>
        <w:t>:</w:t>
      </w:r>
      <w:r w:rsidRPr="00312424">
        <w:rPr>
          <w:rFonts w:ascii="Calibri" w:hAnsi="Calibri" w:cs="Calibri"/>
          <w:szCs w:val="24"/>
          <w:lang w:val="pt-BR"/>
        </w:rPr>
        <w:t xml:space="preserve"> </w:t>
      </w:r>
    </w:p>
    <w:p w:rsidR="00085185" w:rsidRDefault="00085185" w:rsidP="00C16DDB">
      <w:pPr>
        <w:pStyle w:val="Recuodecorpodetexto"/>
        <w:widowControl/>
        <w:autoSpaceDE w:val="0"/>
        <w:autoSpaceDN w:val="0"/>
        <w:ind w:left="0"/>
        <w:rPr>
          <w:rFonts w:ascii="Calibri" w:hAnsi="Calibri" w:cs="Calibri"/>
          <w:szCs w:val="24"/>
          <w:lang w:val="pt-BR"/>
        </w:rPr>
      </w:pPr>
    </w:p>
    <w:tbl>
      <w:tblPr>
        <w:tblW w:w="6380" w:type="dxa"/>
        <w:jc w:val="center"/>
        <w:tblCellMar>
          <w:left w:w="70" w:type="dxa"/>
          <w:right w:w="70" w:type="dxa"/>
        </w:tblCellMar>
        <w:tblLook w:val="04A0" w:firstRow="1" w:lastRow="0" w:firstColumn="1" w:lastColumn="0" w:noHBand="0" w:noVBand="1"/>
      </w:tblPr>
      <w:tblGrid>
        <w:gridCol w:w="2860"/>
        <w:gridCol w:w="1760"/>
        <w:gridCol w:w="1760"/>
      </w:tblGrid>
      <w:tr w:rsidR="009B2C95" w:rsidRPr="005A7065" w:rsidTr="00697525">
        <w:trPr>
          <w:trHeight w:val="284"/>
          <w:jc w:val="center"/>
        </w:trPr>
        <w:tc>
          <w:tcPr>
            <w:tcW w:w="2860" w:type="dxa"/>
            <w:tcBorders>
              <w:top w:val="nil"/>
              <w:left w:val="nil"/>
              <w:bottom w:val="single" w:sz="4" w:space="0" w:color="auto"/>
              <w:right w:val="single" w:sz="4" w:space="0" w:color="auto"/>
            </w:tcBorders>
            <w:shd w:val="clear" w:color="auto" w:fill="auto"/>
            <w:noWrap/>
            <w:vAlign w:val="bottom"/>
            <w:hideMark/>
          </w:tcPr>
          <w:p w:rsidR="009B2C95" w:rsidRPr="005A7065" w:rsidRDefault="009B2C95" w:rsidP="009B2C95">
            <w:pPr>
              <w:widowControl/>
              <w:rPr>
                <w:rFonts w:ascii="Calibri" w:hAnsi="Calibri" w:cs="Calibri"/>
                <w:snapToGrid/>
                <w:color w:val="000000"/>
                <w:sz w:val="24"/>
                <w:szCs w:val="24"/>
              </w:rPr>
            </w:pPr>
            <w:r w:rsidRPr="005A7065">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2C95" w:rsidRPr="005A7065" w:rsidRDefault="00D0760C" w:rsidP="00E01EC6">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2C95" w:rsidRPr="005A7065" w:rsidRDefault="009B2C95" w:rsidP="009B2C95">
            <w:pPr>
              <w:widowControl/>
              <w:jc w:val="center"/>
              <w:rPr>
                <w:rFonts w:ascii="Calibri" w:hAnsi="Calibri" w:cs="Calibri"/>
                <w:b/>
                <w:bCs/>
                <w:snapToGrid/>
                <w:color w:val="000000"/>
                <w:sz w:val="24"/>
                <w:szCs w:val="24"/>
              </w:rPr>
            </w:pPr>
            <w:r w:rsidRPr="005A7065">
              <w:rPr>
                <w:rFonts w:ascii="Calibri" w:hAnsi="Calibri" w:cs="Calibri"/>
                <w:b/>
                <w:bCs/>
                <w:snapToGrid/>
                <w:color w:val="000000"/>
                <w:sz w:val="24"/>
                <w:szCs w:val="24"/>
              </w:rPr>
              <w:t>31/12/2018</w:t>
            </w:r>
          </w:p>
        </w:tc>
      </w:tr>
      <w:tr w:rsidR="009B2C95" w:rsidRPr="005A7065" w:rsidTr="00697525">
        <w:trPr>
          <w:trHeight w:val="284"/>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2C95" w:rsidRPr="005A7065" w:rsidRDefault="009B2C95" w:rsidP="009B2C95">
            <w:pPr>
              <w:widowControl/>
              <w:rPr>
                <w:rFonts w:ascii="Calibri" w:hAnsi="Calibri" w:cs="Calibri"/>
                <w:snapToGrid/>
                <w:color w:val="000000"/>
                <w:sz w:val="24"/>
                <w:szCs w:val="24"/>
              </w:rPr>
            </w:pPr>
            <w:r w:rsidRPr="005A7065">
              <w:rPr>
                <w:rFonts w:ascii="Calibri" w:hAnsi="Calibri" w:cs="Calibri"/>
                <w:snapToGrid/>
                <w:color w:val="000000"/>
                <w:sz w:val="24"/>
                <w:szCs w:val="24"/>
              </w:rPr>
              <w:t>Ações Judiciais - IPTU</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2C95" w:rsidRPr="005A7065" w:rsidRDefault="00951CEF" w:rsidP="00E01EC6">
            <w:pPr>
              <w:widowControl/>
              <w:jc w:val="right"/>
              <w:rPr>
                <w:rFonts w:ascii="Calibri" w:hAnsi="Calibri" w:cs="Calibri"/>
                <w:snapToGrid/>
                <w:color w:val="000000"/>
                <w:sz w:val="24"/>
                <w:szCs w:val="24"/>
              </w:rPr>
            </w:pPr>
            <w:r>
              <w:rPr>
                <w:rFonts w:ascii="Calibri" w:hAnsi="Calibri" w:cs="Calibri"/>
                <w:snapToGrid/>
                <w:color w:val="000000"/>
                <w:sz w:val="24"/>
                <w:szCs w:val="24"/>
              </w:rPr>
              <w:t>13.408</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2C95" w:rsidRPr="005A7065" w:rsidRDefault="009B2C95" w:rsidP="009B2C95">
            <w:pPr>
              <w:widowControl/>
              <w:jc w:val="right"/>
              <w:rPr>
                <w:rFonts w:ascii="Calibri" w:hAnsi="Calibri" w:cs="Calibri"/>
                <w:snapToGrid/>
                <w:color w:val="000000"/>
                <w:sz w:val="24"/>
                <w:szCs w:val="24"/>
              </w:rPr>
            </w:pPr>
            <w:r w:rsidRPr="005A7065">
              <w:rPr>
                <w:rFonts w:ascii="Calibri" w:hAnsi="Calibri" w:cs="Calibri"/>
                <w:snapToGrid/>
                <w:color w:val="000000"/>
                <w:sz w:val="24"/>
                <w:szCs w:val="24"/>
              </w:rPr>
              <w:t>13.408</w:t>
            </w:r>
          </w:p>
        </w:tc>
      </w:tr>
      <w:tr w:rsidR="009B2C95" w:rsidRPr="005A7065" w:rsidTr="00697525">
        <w:trPr>
          <w:trHeight w:val="284"/>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2C95" w:rsidRPr="005A7065" w:rsidRDefault="009B2C95" w:rsidP="009B2C95">
            <w:pPr>
              <w:widowControl/>
              <w:rPr>
                <w:rFonts w:ascii="Calibri" w:hAnsi="Calibri" w:cs="Calibri"/>
                <w:snapToGrid/>
                <w:color w:val="000000"/>
                <w:sz w:val="24"/>
                <w:szCs w:val="24"/>
              </w:rPr>
            </w:pPr>
            <w:r w:rsidRPr="005A7065">
              <w:rPr>
                <w:rFonts w:ascii="Calibri" w:hAnsi="Calibri" w:cs="Calibri"/>
                <w:snapToGrid/>
                <w:color w:val="000000"/>
                <w:sz w:val="24"/>
                <w:szCs w:val="24"/>
              </w:rPr>
              <w:t xml:space="preserve">Ações Judiciais - </w:t>
            </w:r>
            <w:proofErr w:type="spellStart"/>
            <w:r w:rsidRPr="005A7065">
              <w:rPr>
                <w:rFonts w:ascii="Calibri" w:hAnsi="Calibri" w:cs="Calibri"/>
                <w:snapToGrid/>
                <w:color w:val="000000"/>
                <w:sz w:val="24"/>
                <w:szCs w:val="24"/>
              </w:rPr>
              <w:t>Portus</w:t>
            </w:r>
            <w:proofErr w:type="spellEnd"/>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2C95" w:rsidRPr="005A7065" w:rsidRDefault="00951CEF" w:rsidP="00C4281C">
            <w:pPr>
              <w:widowControl/>
              <w:jc w:val="right"/>
              <w:rPr>
                <w:rFonts w:ascii="Calibri" w:hAnsi="Calibri" w:cs="Calibri"/>
                <w:snapToGrid/>
                <w:color w:val="000000"/>
                <w:sz w:val="24"/>
                <w:szCs w:val="24"/>
              </w:rPr>
            </w:pPr>
            <w:r>
              <w:rPr>
                <w:rFonts w:ascii="Calibri" w:hAnsi="Calibri" w:cs="Calibri"/>
                <w:snapToGrid/>
                <w:color w:val="000000"/>
                <w:sz w:val="24"/>
                <w:szCs w:val="24"/>
              </w:rPr>
              <w:t>32.783</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2C95" w:rsidRPr="005A7065" w:rsidRDefault="009B2C95" w:rsidP="009B2C95">
            <w:pPr>
              <w:widowControl/>
              <w:jc w:val="right"/>
              <w:rPr>
                <w:rFonts w:ascii="Calibri" w:hAnsi="Calibri" w:cs="Calibri"/>
                <w:snapToGrid/>
                <w:color w:val="000000"/>
                <w:sz w:val="24"/>
                <w:szCs w:val="24"/>
              </w:rPr>
            </w:pPr>
            <w:r w:rsidRPr="005A7065">
              <w:rPr>
                <w:rFonts w:ascii="Calibri" w:hAnsi="Calibri" w:cs="Calibri"/>
                <w:snapToGrid/>
                <w:color w:val="000000"/>
                <w:sz w:val="24"/>
                <w:szCs w:val="24"/>
              </w:rPr>
              <w:t>230.881</w:t>
            </w:r>
          </w:p>
        </w:tc>
      </w:tr>
      <w:tr w:rsidR="002822E1" w:rsidRPr="005A7065" w:rsidTr="00697525">
        <w:trPr>
          <w:trHeight w:val="284"/>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22E1" w:rsidRPr="005A7065" w:rsidRDefault="002822E1" w:rsidP="009B2C95">
            <w:pPr>
              <w:widowControl/>
              <w:rPr>
                <w:rFonts w:ascii="Calibri" w:hAnsi="Calibri" w:cs="Calibri"/>
                <w:snapToGrid/>
                <w:color w:val="000000"/>
                <w:sz w:val="24"/>
                <w:szCs w:val="24"/>
              </w:rPr>
            </w:pPr>
            <w:r>
              <w:rPr>
                <w:rFonts w:ascii="Calibri" w:hAnsi="Calibri" w:cs="Calibri"/>
                <w:snapToGrid/>
                <w:color w:val="000000"/>
                <w:sz w:val="24"/>
                <w:szCs w:val="24"/>
              </w:rPr>
              <w:t>Ações Judiciais - VPNI</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22E1" w:rsidRPr="005A7065" w:rsidRDefault="00A3705C" w:rsidP="00E01EC6">
            <w:pPr>
              <w:widowControl/>
              <w:jc w:val="right"/>
              <w:rPr>
                <w:rFonts w:ascii="Calibri" w:hAnsi="Calibri" w:cs="Calibri"/>
                <w:snapToGrid/>
                <w:color w:val="000000"/>
                <w:sz w:val="24"/>
                <w:szCs w:val="24"/>
              </w:rPr>
            </w:pPr>
            <w:r>
              <w:rPr>
                <w:rFonts w:ascii="Calibri" w:hAnsi="Calibri" w:cs="Calibri"/>
                <w:snapToGrid/>
                <w:color w:val="000000"/>
                <w:sz w:val="24"/>
                <w:szCs w:val="24"/>
              </w:rPr>
              <w:t>29.201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22E1" w:rsidRPr="005A7065" w:rsidRDefault="002822E1" w:rsidP="009B2C95">
            <w:pPr>
              <w:widowControl/>
              <w:jc w:val="right"/>
              <w:rPr>
                <w:rFonts w:ascii="Calibri" w:hAnsi="Calibri" w:cs="Calibri"/>
                <w:snapToGrid/>
                <w:color w:val="000000"/>
                <w:sz w:val="24"/>
                <w:szCs w:val="24"/>
              </w:rPr>
            </w:pPr>
            <w:r>
              <w:rPr>
                <w:rFonts w:ascii="Calibri" w:hAnsi="Calibri" w:cs="Calibri"/>
                <w:snapToGrid/>
                <w:color w:val="000000"/>
                <w:sz w:val="24"/>
                <w:szCs w:val="24"/>
              </w:rPr>
              <w:t>22.468</w:t>
            </w:r>
          </w:p>
        </w:tc>
      </w:tr>
      <w:tr w:rsidR="009B2C95" w:rsidRPr="005A7065" w:rsidTr="00697525">
        <w:trPr>
          <w:trHeight w:val="284"/>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2C95" w:rsidRPr="005A7065" w:rsidRDefault="009B2C95" w:rsidP="009B2C95">
            <w:pPr>
              <w:widowControl/>
              <w:rPr>
                <w:rFonts w:ascii="Calibri" w:hAnsi="Calibri" w:cs="Calibri"/>
                <w:snapToGrid/>
                <w:color w:val="000000"/>
                <w:sz w:val="24"/>
                <w:szCs w:val="24"/>
              </w:rPr>
            </w:pPr>
            <w:r w:rsidRPr="005A7065">
              <w:rPr>
                <w:rFonts w:ascii="Calibri" w:hAnsi="Calibri" w:cs="Calibri"/>
                <w:snapToGrid/>
                <w:color w:val="000000"/>
                <w:sz w:val="24"/>
                <w:szCs w:val="24"/>
              </w:rPr>
              <w:t>Outras Ações Judiciais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2C95" w:rsidRPr="005A7065" w:rsidRDefault="00A3705C" w:rsidP="00E01EC6">
            <w:pPr>
              <w:widowControl/>
              <w:jc w:val="right"/>
              <w:rPr>
                <w:rFonts w:ascii="Calibri" w:hAnsi="Calibri" w:cs="Calibri"/>
                <w:snapToGrid/>
                <w:color w:val="000000"/>
                <w:sz w:val="24"/>
                <w:szCs w:val="24"/>
              </w:rPr>
            </w:pPr>
            <w:r>
              <w:rPr>
                <w:rFonts w:ascii="Calibri" w:hAnsi="Calibri" w:cs="Calibri"/>
                <w:snapToGrid/>
                <w:color w:val="000000"/>
                <w:sz w:val="24"/>
                <w:szCs w:val="24"/>
              </w:rPr>
              <w:t>89.619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2C95" w:rsidRPr="005A7065" w:rsidRDefault="00A3705C" w:rsidP="009B2C95">
            <w:pPr>
              <w:widowControl/>
              <w:jc w:val="right"/>
              <w:rPr>
                <w:rFonts w:ascii="Calibri" w:hAnsi="Calibri" w:cs="Calibri"/>
                <w:snapToGrid/>
                <w:color w:val="000000"/>
                <w:sz w:val="24"/>
                <w:szCs w:val="24"/>
              </w:rPr>
            </w:pPr>
            <w:r>
              <w:rPr>
                <w:rFonts w:ascii="Calibri" w:hAnsi="Calibri" w:cs="Calibri"/>
                <w:snapToGrid/>
                <w:color w:val="000000"/>
                <w:sz w:val="24"/>
                <w:szCs w:val="24"/>
              </w:rPr>
              <w:t>63.211</w:t>
            </w:r>
          </w:p>
        </w:tc>
      </w:tr>
      <w:tr w:rsidR="009B2C95" w:rsidRPr="005A7065" w:rsidTr="00697525">
        <w:trPr>
          <w:trHeight w:val="284"/>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2C95" w:rsidRPr="005A7065" w:rsidRDefault="009B2C95" w:rsidP="009B2C95">
            <w:pPr>
              <w:widowControl/>
              <w:rPr>
                <w:rFonts w:ascii="Calibri" w:hAnsi="Calibri" w:cs="Calibri"/>
                <w:b/>
                <w:bCs/>
                <w:snapToGrid/>
                <w:color w:val="000000"/>
                <w:sz w:val="24"/>
                <w:szCs w:val="24"/>
              </w:rPr>
            </w:pPr>
            <w:r w:rsidRPr="005A7065">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2C95" w:rsidRPr="005A7065" w:rsidRDefault="00951CEF" w:rsidP="00E01EC6">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165.012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2C95" w:rsidRPr="005A7065" w:rsidRDefault="009B2C95" w:rsidP="009B2C95">
            <w:pPr>
              <w:widowControl/>
              <w:jc w:val="right"/>
              <w:rPr>
                <w:rFonts w:ascii="Calibri" w:hAnsi="Calibri" w:cs="Calibri"/>
                <w:b/>
                <w:bCs/>
                <w:snapToGrid/>
                <w:color w:val="000000"/>
                <w:sz w:val="24"/>
                <w:szCs w:val="24"/>
              </w:rPr>
            </w:pPr>
            <w:r w:rsidRPr="005A7065">
              <w:rPr>
                <w:rFonts w:ascii="Calibri" w:hAnsi="Calibri" w:cs="Calibri"/>
                <w:b/>
                <w:bCs/>
                <w:snapToGrid/>
                <w:color w:val="000000"/>
                <w:sz w:val="24"/>
                <w:szCs w:val="24"/>
              </w:rPr>
              <w:t>329.969</w:t>
            </w:r>
          </w:p>
        </w:tc>
      </w:tr>
    </w:tbl>
    <w:p w:rsidR="005A7065" w:rsidRDefault="005A7065" w:rsidP="00C16DDB">
      <w:pPr>
        <w:pStyle w:val="Recuodecorpodetexto"/>
        <w:widowControl/>
        <w:autoSpaceDE w:val="0"/>
        <w:autoSpaceDN w:val="0"/>
        <w:ind w:left="0"/>
        <w:rPr>
          <w:rFonts w:ascii="Calibri" w:hAnsi="Calibri" w:cs="Calibri"/>
          <w:szCs w:val="24"/>
          <w:lang w:val="pt-BR"/>
        </w:rPr>
      </w:pPr>
    </w:p>
    <w:p w:rsidR="00B4501B" w:rsidRDefault="004D2CAA" w:rsidP="00C16DDB">
      <w:pPr>
        <w:pStyle w:val="Recuodecorpodetexto"/>
        <w:widowControl/>
        <w:autoSpaceDE w:val="0"/>
        <w:autoSpaceDN w:val="0"/>
        <w:ind w:left="0"/>
        <w:rPr>
          <w:rFonts w:ascii="Calibri" w:hAnsi="Calibri" w:cs="Calibri"/>
          <w:szCs w:val="24"/>
          <w:lang w:val="pt-BR"/>
        </w:rPr>
      </w:pPr>
      <w:r w:rsidRPr="001E11CE">
        <w:rPr>
          <w:rFonts w:ascii="Calibri" w:hAnsi="Calibri" w:cs="Calibri"/>
          <w:b/>
          <w:szCs w:val="24"/>
          <w:lang w:val="pt-BR"/>
        </w:rPr>
        <w:t>As Ações Judiciais – IPTU</w:t>
      </w:r>
      <w:r>
        <w:rPr>
          <w:rFonts w:ascii="Calibri" w:hAnsi="Calibri" w:cs="Calibri"/>
          <w:szCs w:val="24"/>
          <w:lang w:val="pt-BR"/>
        </w:rPr>
        <w:t xml:space="preserve"> tratam de </w:t>
      </w:r>
      <w:r w:rsidR="004B5133">
        <w:rPr>
          <w:rFonts w:ascii="Calibri" w:hAnsi="Calibri" w:cs="Calibri"/>
          <w:szCs w:val="24"/>
          <w:lang w:val="pt-BR"/>
        </w:rPr>
        <w:t>pedidos</w:t>
      </w:r>
      <w:r w:rsidR="002C4086">
        <w:rPr>
          <w:rFonts w:ascii="Calibri" w:hAnsi="Calibri" w:cs="Calibri"/>
          <w:szCs w:val="24"/>
          <w:lang w:val="pt-BR"/>
        </w:rPr>
        <w:t xml:space="preserve"> de reconhecimento de imunidade tributária, em face dos Municípios do Rio de Janeiro, Niterói, Itaguaí e Angra dos Reis</w:t>
      </w:r>
      <w:r w:rsidR="00BD3CB0">
        <w:rPr>
          <w:rFonts w:ascii="Calibri" w:hAnsi="Calibri" w:cs="Calibri"/>
          <w:szCs w:val="24"/>
          <w:lang w:val="pt-BR"/>
        </w:rPr>
        <w:t>.</w:t>
      </w:r>
    </w:p>
    <w:p w:rsidR="004D2CAA" w:rsidRDefault="004D2CAA" w:rsidP="00C16DDB">
      <w:pPr>
        <w:pStyle w:val="Recuodecorpodetexto"/>
        <w:widowControl/>
        <w:autoSpaceDE w:val="0"/>
        <w:autoSpaceDN w:val="0"/>
        <w:ind w:left="0"/>
        <w:rPr>
          <w:rFonts w:ascii="Calibri" w:hAnsi="Calibri" w:cs="Calibri"/>
          <w:szCs w:val="24"/>
          <w:lang w:val="pt-BR"/>
        </w:rPr>
      </w:pPr>
    </w:p>
    <w:p w:rsidR="004B5133" w:rsidRDefault="004D2CAA" w:rsidP="00C16DDB">
      <w:pPr>
        <w:pStyle w:val="Recuodecorpodetexto"/>
        <w:widowControl/>
        <w:autoSpaceDE w:val="0"/>
        <w:autoSpaceDN w:val="0"/>
        <w:ind w:left="0"/>
        <w:rPr>
          <w:rFonts w:ascii="Calibri" w:hAnsi="Calibri" w:cs="Calibri"/>
          <w:szCs w:val="24"/>
          <w:lang w:val="pt-BR"/>
        </w:rPr>
      </w:pPr>
      <w:r w:rsidRPr="001E11CE">
        <w:rPr>
          <w:rFonts w:ascii="Calibri" w:hAnsi="Calibri" w:cs="Calibri"/>
          <w:b/>
          <w:szCs w:val="24"/>
          <w:lang w:val="pt-BR"/>
        </w:rPr>
        <w:t xml:space="preserve">As Ações Judiciais – </w:t>
      </w:r>
      <w:proofErr w:type="spellStart"/>
      <w:r w:rsidRPr="001E11CE">
        <w:rPr>
          <w:rFonts w:ascii="Calibri" w:hAnsi="Calibri" w:cs="Calibri"/>
          <w:b/>
          <w:szCs w:val="24"/>
          <w:lang w:val="pt-BR"/>
        </w:rPr>
        <w:t>Portus</w:t>
      </w:r>
      <w:proofErr w:type="spellEnd"/>
      <w:r>
        <w:rPr>
          <w:rFonts w:ascii="Calibri" w:hAnsi="Calibri" w:cs="Calibri"/>
          <w:szCs w:val="24"/>
          <w:lang w:val="pt-BR"/>
        </w:rPr>
        <w:t xml:space="preserve"> são</w:t>
      </w:r>
      <w:r w:rsidR="002C4086">
        <w:rPr>
          <w:rFonts w:ascii="Calibri" w:hAnsi="Calibri" w:cs="Calibri"/>
          <w:szCs w:val="24"/>
          <w:lang w:val="pt-BR"/>
        </w:rPr>
        <w:t xml:space="preserve"> referentes a depósitos judiciais, nos autos dos seguintes processos:</w:t>
      </w:r>
      <w:r w:rsidR="00BD3CB0">
        <w:rPr>
          <w:rFonts w:ascii="Calibri" w:hAnsi="Calibri" w:cs="Calibri"/>
          <w:szCs w:val="24"/>
          <w:lang w:val="pt-BR"/>
        </w:rPr>
        <w:t xml:space="preserve"> </w:t>
      </w:r>
      <w:r w:rsidR="004B5133">
        <w:rPr>
          <w:rFonts w:ascii="Calibri" w:hAnsi="Calibri" w:cs="Calibri"/>
          <w:szCs w:val="24"/>
          <w:lang w:val="pt-BR"/>
        </w:rPr>
        <w:t>0105594-59.2004.8.19.0001</w:t>
      </w:r>
      <w:r w:rsidR="00BD3CB0">
        <w:rPr>
          <w:rFonts w:ascii="Calibri" w:hAnsi="Calibri" w:cs="Calibri"/>
          <w:szCs w:val="24"/>
          <w:lang w:val="pt-BR"/>
        </w:rPr>
        <w:t>, da</w:t>
      </w:r>
      <w:r w:rsidR="004B5133">
        <w:rPr>
          <w:rFonts w:ascii="Calibri" w:hAnsi="Calibri" w:cs="Calibri"/>
          <w:szCs w:val="24"/>
          <w:lang w:val="pt-BR"/>
        </w:rPr>
        <w:t xml:space="preserve"> 21ª Vara Cível do Rio de Janeiro</w:t>
      </w:r>
      <w:r w:rsidR="00BD3CB0">
        <w:rPr>
          <w:rFonts w:ascii="Calibri" w:hAnsi="Calibri" w:cs="Calibri"/>
          <w:szCs w:val="24"/>
          <w:lang w:val="pt-BR"/>
        </w:rPr>
        <w:t xml:space="preserve">, e </w:t>
      </w:r>
      <w:r w:rsidR="004B5133">
        <w:rPr>
          <w:rFonts w:ascii="Calibri" w:hAnsi="Calibri" w:cs="Calibri"/>
          <w:szCs w:val="24"/>
          <w:lang w:val="pt-BR"/>
        </w:rPr>
        <w:t>0</w:t>
      </w:r>
      <w:r w:rsidR="002822E1">
        <w:rPr>
          <w:rFonts w:ascii="Calibri" w:hAnsi="Calibri" w:cs="Calibri"/>
          <w:szCs w:val="24"/>
          <w:lang w:val="pt-BR"/>
        </w:rPr>
        <w:t>002173-66.2013</w:t>
      </w:r>
      <w:r w:rsidR="004B5133">
        <w:rPr>
          <w:rFonts w:ascii="Calibri" w:hAnsi="Calibri" w:cs="Calibri"/>
          <w:szCs w:val="24"/>
          <w:lang w:val="pt-BR"/>
        </w:rPr>
        <w:t>.8.19.00</w:t>
      </w:r>
      <w:r w:rsidR="002822E1">
        <w:rPr>
          <w:rFonts w:ascii="Calibri" w:hAnsi="Calibri" w:cs="Calibri"/>
          <w:szCs w:val="24"/>
          <w:lang w:val="pt-BR"/>
        </w:rPr>
        <w:t>24</w:t>
      </w:r>
      <w:r w:rsidR="00BD3CB0">
        <w:rPr>
          <w:rFonts w:ascii="Calibri" w:hAnsi="Calibri" w:cs="Calibri"/>
          <w:szCs w:val="24"/>
          <w:lang w:val="pt-BR"/>
        </w:rPr>
        <w:t>, da</w:t>
      </w:r>
      <w:r w:rsidR="004B5133">
        <w:rPr>
          <w:rFonts w:ascii="Calibri" w:hAnsi="Calibri" w:cs="Calibri"/>
          <w:szCs w:val="24"/>
          <w:lang w:val="pt-BR"/>
        </w:rPr>
        <w:t xml:space="preserve"> </w:t>
      </w:r>
      <w:r w:rsidR="002822E1">
        <w:rPr>
          <w:rFonts w:ascii="Calibri" w:hAnsi="Calibri" w:cs="Calibri"/>
          <w:szCs w:val="24"/>
          <w:lang w:val="pt-BR"/>
        </w:rPr>
        <w:t>1</w:t>
      </w:r>
      <w:r w:rsidR="004B5133">
        <w:rPr>
          <w:rFonts w:ascii="Calibri" w:hAnsi="Calibri" w:cs="Calibri"/>
          <w:szCs w:val="24"/>
          <w:lang w:val="pt-BR"/>
        </w:rPr>
        <w:t>ª Vara Cível do Rio de Janeiro</w:t>
      </w:r>
    </w:p>
    <w:p w:rsidR="008B41D5" w:rsidRDefault="008B41D5" w:rsidP="00C16DDB">
      <w:pPr>
        <w:pStyle w:val="Recuodecorpodetexto"/>
        <w:widowControl/>
        <w:autoSpaceDE w:val="0"/>
        <w:autoSpaceDN w:val="0"/>
        <w:ind w:left="0"/>
        <w:rPr>
          <w:rFonts w:ascii="Calibri" w:hAnsi="Calibri" w:cs="Calibri"/>
          <w:szCs w:val="24"/>
          <w:lang w:val="pt-BR"/>
        </w:rPr>
      </w:pPr>
    </w:p>
    <w:p w:rsidR="002822E1" w:rsidRDefault="002822E1" w:rsidP="00C16DDB">
      <w:pPr>
        <w:pStyle w:val="Recuodecorpodetexto"/>
        <w:widowControl/>
        <w:autoSpaceDE w:val="0"/>
        <w:autoSpaceDN w:val="0"/>
        <w:ind w:left="0"/>
        <w:rPr>
          <w:rFonts w:ascii="Calibri" w:hAnsi="Calibri" w:cs="Calibri"/>
          <w:szCs w:val="24"/>
          <w:lang w:val="pt-BR"/>
        </w:rPr>
      </w:pPr>
      <w:r>
        <w:rPr>
          <w:rFonts w:ascii="Calibri" w:hAnsi="Calibri" w:cs="Calibri"/>
          <w:b/>
          <w:szCs w:val="24"/>
          <w:lang w:val="pt-BR"/>
        </w:rPr>
        <w:t xml:space="preserve">Ações Judiciais – VPNI </w:t>
      </w:r>
      <w:r w:rsidR="004D2CAA">
        <w:rPr>
          <w:rFonts w:ascii="Calibri" w:hAnsi="Calibri" w:cs="Calibri"/>
          <w:szCs w:val="24"/>
          <w:lang w:val="pt-BR"/>
        </w:rPr>
        <w:t xml:space="preserve">compreendem </w:t>
      </w:r>
      <w:r w:rsidR="004B5133">
        <w:rPr>
          <w:rFonts w:ascii="Calibri" w:hAnsi="Calibri" w:cs="Calibri"/>
          <w:szCs w:val="24"/>
          <w:lang w:val="pt-BR"/>
        </w:rPr>
        <w:t xml:space="preserve">os depósitos judiciais </w:t>
      </w:r>
      <w:r w:rsidR="009703B0">
        <w:rPr>
          <w:rFonts w:ascii="Calibri" w:hAnsi="Calibri" w:cs="Calibri"/>
          <w:szCs w:val="24"/>
          <w:lang w:val="pt-BR"/>
        </w:rPr>
        <w:t xml:space="preserve">no processo </w:t>
      </w:r>
      <w:r>
        <w:rPr>
          <w:rFonts w:ascii="Calibri" w:hAnsi="Calibri" w:cs="Calibri"/>
          <w:szCs w:val="24"/>
          <w:lang w:val="pt-BR"/>
        </w:rPr>
        <w:t>0100626-70.2017.5.01.0004, em trâmite na 4ª Vara do Trabalho do Rio de Janeiro</w:t>
      </w:r>
      <w:r w:rsidR="00781D86">
        <w:rPr>
          <w:rFonts w:ascii="Calibri" w:hAnsi="Calibri" w:cs="Calibri"/>
          <w:szCs w:val="24"/>
          <w:lang w:val="pt-BR"/>
        </w:rPr>
        <w:t>, relativo à rubrica salarial denominada VPNI – Vantagem Pessoal Nominal Individual.</w:t>
      </w:r>
    </w:p>
    <w:p w:rsidR="002822E1" w:rsidRDefault="002822E1" w:rsidP="00C16DDB">
      <w:pPr>
        <w:pStyle w:val="Recuodecorpodetexto"/>
        <w:widowControl/>
        <w:autoSpaceDE w:val="0"/>
        <w:autoSpaceDN w:val="0"/>
        <w:ind w:left="0"/>
        <w:rPr>
          <w:rFonts w:ascii="Calibri" w:hAnsi="Calibri" w:cs="Calibri"/>
          <w:szCs w:val="24"/>
          <w:lang w:val="pt-BR"/>
        </w:rPr>
      </w:pPr>
    </w:p>
    <w:p w:rsidR="002822E1" w:rsidRDefault="002822E1" w:rsidP="002822E1">
      <w:pPr>
        <w:pStyle w:val="Recuodecorpodetexto"/>
        <w:widowControl/>
        <w:autoSpaceDE w:val="0"/>
        <w:autoSpaceDN w:val="0"/>
        <w:ind w:left="0"/>
        <w:rPr>
          <w:rFonts w:ascii="Calibri" w:hAnsi="Calibri" w:cs="Calibri"/>
          <w:szCs w:val="24"/>
          <w:lang w:val="pt-BR"/>
        </w:rPr>
      </w:pPr>
      <w:r w:rsidRPr="001E11CE">
        <w:rPr>
          <w:rFonts w:ascii="Calibri" w:hAnsi="Calibri" w:cs="Calibri"/>
          <w:b/>
          <w:szCs w:val="24"/>
          <w:lang w:val="pt-BR"/>
        </w:rPr>
        <w:t>Outras Ações Judiciais</w:t>
      </w:r>
      <w:r>
        <w:rPr>
          <w:rFonts w:ascii="Calibri" w:hAnsi="Calibri" w:cs="Calibri"/>
          <w:szCs w:val="24"/>
          <w:lang w:val="pt-BR"/>
        </w:rPr>
        <w:t xml:space="preserve"> compreendem os depósitos judiciais </w:t>
      </w:r>
      <w:r w:rsidR="00C40EB4">
        <w:rPr>
          <w:rFonts w:ascii="Calibri" w:hAnsi="Calibri" w:cs="Calibri"/>
          <w:szCs w:val="24"/>
          <w:lang w:val="pt-BR"/>
        </w:rPr>
        <w:t>nos demais</w:t>
      </w:r>
      <w:r>
        <w:rPr>
          <w:rFonts w:ascii="Calibri" w:hAnsi="Calibri" w:cs="Calibri"/>
          <w:szCs w:val="24"/>
          <w:lang w:val="pt-BR"/>
        </w:rPr>
        <w:t xml:space="preserve"> processos cív</w:t>
      </w:r>
      <w:r w:rsidR="00286C86">
        <w:rPr>
          <w:rFonts w:ascii="Calibri" w:hAnsi="Calibri" w:cs="Calibri"/>
          <w:szCs w:val="24"/>
          <w:lang w:val="pt-BR"/>
        </w:rPr>
        <w:t>eis, trabalhistas e tributários</w:t>
      </w:r>
      <w:r w:rsidR="00781D86">
        <w:rPr>
          <w:rFonts w:ascii="Calibri" w:hAnsi="Calibri" w:cs="Calibri"/>
          <w:szCs w:val="24"/>
          <w:lang w:val="pt-BR"/>
        </w:rPr>
        <w:t>.</w:t>
      </w:r>
    </w:p>
    <w:p w:rsidR="00E01EC6" w:rsidRDefault="00E01EC6" w:rsidP="00C16DDB">
      <w:pPr>
        <w:pStyle w:val="Recuodecorpodetexto"/>
        <w:widowControl/>
        <w:autoSpaceDE w:val="0"/>
        <w:autoSpaceDN w:val="0"/>
        <w:ind w:left="0"/>
        <w:rPr>
          <w:rFonts w:ascii="Calibri" w:hAnsi="Calibri" w:cs="Calibri"/>
          <w:b/>
          <w:szCs w:val="24"/>
          <w:lang w:val="pt-BR"/>
        </w:rPr>
      </w:pPr>
    </w:p>
    <w:p w:rsidR="00C16DDB" w:rsidRPr="00312424" w:rsidRDefault="0043773C" w:rsidP="00C16DDB">
      <w:pPr>
        <w:pStyle w:val="Recuodecorpodetexto"/>
        <w:widowControl/>
        <w:autoSpaceDE w:val="0"/>
        <w:autoSpaceDN w:val="0"/>
        <w:ind w:left="0"/>
        <w:rPr>
          <w:rFonts w:ascii="Calibri" w:hAnsi="Calibri" w:cs="Calibri"/>
          <w:b/>
          <w:szCs w:val="24"/>
          <w:highlight w:val="yellow"/>
          <w:lang w:val="pt-BR"/>
        </w:rPr>
      </w:pPr>
      <w:r>
        <w:rPr>
          <w:rFonts w:ascii="Calibri" w:hAnsi="Calibri" w:cs="Calibri"/>
          <w:b/>
          <w:szCs w:val="24"/>
          <w:lang w:val="pt-BR"/>
        </w:rPr>
        <w:lastRenderedPageBreak/>
        <w:t>9</w:t>
      </w:r>
      <w:r w:rsidR="00C16DDB" w:rsidRPr="00312424">
        <w:rPr>
          <w:rFonts w:ascii="Calibri" w:hAnsi="Calibri" w:cs="Calibri"/>
          <w:b/>
          <w:szCs w:val="24"/>
          <w:lang w:val="pt-BR"/>
        </w:rPr>
        <w:t xml:space="preserve"> </w:t>
      </w:r>
      <w:r w:rsidR="00C16DDB" w:rsidRPr="00312424">
        <w:rPr>
          <w:rFonts w:ascii="Calibri" w:hAnsi="Calibri" w:cs="Calibri"/>
          <w:b/>
          <w:szCs w:val="24"/>
        </w:rPr>
        <w:t>–</w:t>
      </w:r>
      <w:r w:rsidR="00C16DDB" w:rsidRPr="00312424">
        <w:rPr>
          <w:rFonts w:ascii="Calibri" w:hAnsi="Calibri" w:cs="Calibri"/>
          <w:b/>
          <w:szCs w:val="24"/>
          <w:lang w:val="pt-BR"/>
        </w:rPr>
        <w:t xml:space="preserve"> </w:t>
      </w:r>
      <w:r w:rsidR="00E875D1">
        <w:rPr>
          <w:rFonts w:ascii="Calibri" w:hAnsi="Calibri" w:cs="Calibri"/>
          <w:b/>
          <w:szCs w:val="24"/>
          <w:u w:val="single"/>
          <w:lang w:val="pt-BR"/>
        </w:rPr>
        <w:t>CONTAS A RECEBER DE P</w:t>
      </w:r>
      <w:r w:rsidR="00C16DDB" w:rsidRPr="00312424">
        <w:rPr>
          <w:rFonts w:ascii="Calibri" w:hAnsi="Calibri" w:cs="Calibri"/>
          <w:b/>
          <w:szCs w:val="24"/>
          <w:u w:val="single"/>
          <w:lang w:val="pt-BR"/>
        </w:rPr>
        <w:t>ARTES RELACIONADAS</w:t>
      </w:r>
      <w:r w:rsidR="00C16DDB" w:rsidRPr="00312424">
        <w:rPr>
          <w:rFonts w:ascii="Calibri" w:hAnsi="Calibri" w:cs="Calibri"/>
          <w:b/>
          <w:szCs w:val="24"/>
          <w:highlight w:val="yellow"/>
        </w:rPr>
        <w:t xml:space="preserve"> </w:t>
      </w:r>
    </w:p>
    <w:p w:rsidR="00C16DDB" w:rsidRPr="00312424" w:rsidRDefault="00C16DDB" w:rsidP="00C16DDB">
      <w:pPr>
        <w:pStyle w:val="Recuodecorpodetexto"/>
        <w:widowControl/>
        <w:autoSpaceDE w:val="0"/>
        <w:autoSpaceDN w:val="0"/>
        <w:ind w:left="0"/>
        <w:rPr>
          <w:rFonts w:ascii="Calibri" w:hAnsi="Calibri" w:cs="Calibri"/>
          <w:b/>
          <w:szCs w:val="24"/>
          <w:highlight w:val="yellow"/>
          <w:lang w:val="pt-BR"/>
        </w:rPr>
      </w:pPr>
    </w:p>
    <w:p w:rsidR="00C16DDB" w:rsidRPr="00312424" w:rsidRDefault="009703B0" w:rsidP="00C16DDB">
      <w:pPr>
        <w:pStyle w:val="Recuodecorpodetexto"/>
        <w:widowControl/>
        <w:autoSpaceDE w:val="0"/>
        <w:autoSpaceDN w:val="0"/>
        <w:ind w:left="0"/>
        <w:rPr>
          <w:rFonts w:ascii="Calibri" w:hAnsi="Calibri" w:cs="Calibri"/>
          <w:b/>
          <w:szCs w:val="24"/>
          <w:highlight w:val="yellow"/>
          <w:lang w:val="pt-BR"/>
        </w:rPr>
      </w:pPr>
      <w:r>
        <w:rPr>
          <w:rFonts w:ascii="Calibri" w:hAnsi="Calibri" w:cs="Calibri"/>
          <w:szCs w:val="24"/>
          <w:lang w:val="pt-BR"/>
        </w:rPr>
        <w:t xml:space="preserve">A </w:t>
      </w:r>
      <w:r w:rsidR="00C16DDB" w:rsidRPr="00312424">
        <w:rPr>
          <w:rFonts w:ascii="Calibri" w:hAnsi="Calibri" w:cs="Calibri"/>
          <w:szCs w:val="24"/>
          <w:lang w:val="pt-BR"/>
        </w:rPr>
        <w:t xml:space="preserve">Companhia mantém recursos </w:t>
      </w:r>
      <w:r>
        <w:rPr>
          <w:rFonts w:ascii="Calibri" w:hAnsi="Calibri" w:cs="Calibri"/>
          <w:szCs w:val="24"/>
          <w:lang w:val="pt-BR"/>
        </w:rPr>
        <w:t xml:space="preserve">em conta específica pertencente ao </w:t>
      </w:r>
      <w:r w:rsidR="00C16DDB" w:rsidRPr="00312424">
        <w:rPr>
          <w:rFonts w:ascii="Calibri" w:hAnsi="Calibri" w:cs="Calibri"/>
          <w:szCs w:val="24"/>
          <w:lang w:val="pt-BR"/>
        </w:rPr>
        <w:t>Sistema Integrado de Administração Financeira – SIAFI</w:t>
      </w:r>
      <w:r w:rsidR="00C40EB4">
        <w:rPr>
          <w:rFonts w:ascii="Calibri" w:hAnsi="Calibri" w:cs="Calibri"/>
          <w:szCs w:val="24"/>
          <w:lang w:val="pt-BR"/>
        </w:rPr>
        <w:t>.</w:t>
      </w:r>
      <w:r>
        <w:rPr>
          <w:rFonts w:ascii="Calibri" w:hAnsi="Calibri" w:cs="Calibri"/>
          <w:szCs w:val="24"/>
          <w:lang w:val="pt-BR"/>
        </w:rPr>
        <w:t xml:space="preserve"> Entretanto, </w:t>
      </w:r>
      <w:r w:rsidR="00C16DDB" w:rsidRPr="00312424">
        <w:rPr>
          <w:rFonts w:ascii="Calibri" w:hAnsi="Calibri" w:cs="Calibri"/>
          <w:szCs w:val="24"/>
          <w:lang w:val="pt-BR"/>
        </w:rPr>
        <w:t>por solicitação d</w:t>
      </w:r>
      <w:r>
        <w:rPr>
          <w:rFonts w:ascii="Calibri" w:hAnsi="Calibri" w:cs="Calibri"/>
          <w:szCs w:val="24"/>
          <w:lang w:val="pt-BR"/>
        </w:rPr>
        <w:t>e</w:t>
      </w:r>
      <w:r w:rsidR="00C16DDB" w:rsidRPr="00312424">
        <w:rPr>
          <w:rFonts w:ascii="Calibri" w:hAnsi="Calibri" w:cs="Calibri"/>
          <w:szCs w:val="24"/>
          <w:lang w:val="pt-BR"/>
        </w:rPr>
        <w:t xml:space="preserve"> </w:t>
      </w:r>
      <w:r>
        <w:rPr>
          <w:rFonts w:ascii="Calibri" w:hAnsi="Calibri" w:cs="Calibri"/>
          <w:szCs w:val="24"/>
          <w:lang w:val="pt-BR"/>
        </w:rPr>
        <w:t xml:space="preserve">sua </w:t>
      </w:r>
      <w:r w:rsidR="00C16DDB" w:rsidRPr="00312424">
        <w:rPr>
          <w:rFonts w:ascii="Calibri" w:hAnsi="Calibri" w:cs="Calibri"/>
          <w:szCs w:val="24"/>
          <w:lang w:val="pt-BR"/>
        </w:rPr>
        <w:t>controlador</w:t>
      </w:r>
      <w:r>
        <w:rPr>
          <w:rFonts w:ascii="Calibri" w:hAnsi="Calibri" w:cs="Calibri"/>
          <w:szCs w:val="24"/>
          <w:lang w:val="pt-BR"/>
        </w:rPr>
        <w:t>a</w:t>
      </w:r>
      <w:r w:rsidR="00C16DDB" w:rsidRPr="00312424">
        <w:rPr>
          <w:rFonts w:ascii="Calibri" w:hAnsi="Calibri" w:cs="Calibri"/>
          <w:szCs w:val="24"/>
          <w:lang w:val="pt-BR"/>
        </w:rPr>
        <w:t xml:space="preserve">, foram </w:t>
      </w:r>
      <w:r w:rsidR="00BD3CB0">
        <w:rPr>
          <w:rFonts w:ascii="Calibri" w:hAnsi="Calibri" w:cs="Calibri"/>
          <w:szCs w:val="24"/>
          <w:lang w:val="pt-BR"/>
        </w:rPr>
        <w:t>devolvidos</w:t>
      </w:r>
      <w:r w:rsidR="00C16DDB" w:rsidRPr="00312424">
        <w:rPr>
          <w:rFonts w:ascii="Calibri" w:hAnsi="Calibri" w:cs="Calibri"/>
          <w:szCs w:val="24"/>
          <w:lang w:val="pt-BR"/>
        </w:rPr>
        <w:t xml:space="preserve"> os montantes de R$ 279.900</w:t>
      </w:r>
      <w:r w:rsidR="001F62A0">
        <w:rPr>
          <w:rFonts w:ascii="Calibri" w:hAnsi="Calibri" w:cs="Calibri"/>
          <w:szCs w:val="24"/>
          <w:lang w:val="pt-BR"/>
        </w:rPr>
        <w:t xml:space="preserve"> mil</w:t>
      </w:r>
      <w:r w:rsidR="00790F34">
        <w:rPr>
          <w:rFonts w:ascii="Calibri" w:hAnsi="Calibri" w:cs="Calibri"/>
          <w:szCs w:val="24"/>
          <w:lang w:val="pt-BR"/>
        </w:rPr>
        <w:t xml:space="preserve"> </w:t>
      </w:r>
      <w:r w:rsidR="00B00D0B">
        <w:rPr>
          <w:rFonts w:ascii="Calibri" w:hAnsi="Calibri" w:cs="Calibri"/>
          <w:szCs w:val="24"/>
          <w:lang w:val="pt-BR"/>
        </w:rPr>
        <w:t>e R$ 13.31</w:t>
      </w:r>
      <w:r w:rsidR="00790F34">
        <w:rPr>
          <w:rFonts w:ascii="Calibri" w:hAnsi="Calibri" w:cs="Calibri"/>
          <w:szCs w:val="24"/>
          <w:lang w:val="pt-BR"/>
        </w:rPr>
        <w:t>5</w:t>
      </w:r>
      <w:r w:rsidR="00B00D0B">
        <w:rPr>
          <w:rFonts w:ascii="Calibri" w:hAnsi="Calibri" w:cs="Calibri"/>
          <w:szCs w:val="24"/>
          <w:lang w:val="pt-BR"/>
        </w:rPr>
        <w:t xml:space="preserve"> </w:t>
      </w:r>
      <w:r w:rsidR="00E01EC6">
        <w:rPr>
          <w:rFonts w:ascii="Calibri" w:hAnsi="Calibri" w:cs="Calibri"/>
          <w:szCs w:val="24"/>
          <w:lang w:val="pt-BR"/>
        </w:rPr>
        <w:t xml:space="preserve">mil </w:t>
      </w:r>
      <w:r w:rsidR="00C16DDB" w:rsidRPr="00312424">
        <w:rPr>
          <w:rFonts w:ascii="Calibri" w:hAnsi="Calibri" w:cs="Calibri"/>
          <w:szCs w:val="24"/>
          <w:lang w:val="pt-BR"/>
        </w:rPr>
        <w:t>aos cofres do Governo Federal, em 2014 e 2015, respectivamente.</w:t>
      </w:r>
    </w:p>
    <w:p w:rsidR="002A2E73" w:rsidRDefault="002A2E73" w:rsidP="00C16DDB">
      <w:pPr>
        <w:pStyle w:val="Recuodecorpodetexto"/>
        <w:widowControl/>
        <w:autoSpaceDE w:val="0"/>
        <w:autoSpaceDN w:val="0"/>
        <w:ind w:left="0"/>
        <w:rPr>
          <w:rFonts w:ascii="Calibri" w:hAnsi="Calibri" w:cs="Calibri"/>
          <w:b/>
          <w:szCs w:val="24"/>
          <w:lang w:val="pt-BR"/>
        </w:rPr>
      </w:pPr>
    </w:p>
    <w:p w:rsidR="00BD3CB0" w:rsidRDefault="00BD3CB0" w:rsidP="00C16DDB">
      <w:pPr>
        <w:pStyle w:val="Recuodecorpodetexto"/>
        <w:widowControl/>
        <w:autoSpaceDE w:val="0"/>
        <w:autoSpaceDN w:val="0"/>
        <w:ind w:left="0"/>
        <w:rPr>
          <w:rFonts w:ascii="Calibri" w:hAnsi="Calibri" w:cs="Calibri"/>
          <w:b/>
          <w:szCs w:val="24"/>
          <w:lang w:val="pt-BR"/>
        </w:rPr>
      </w:pPr>
    </w:p>
    <w:p w:rsidR="00C16DDB" w:rsidRPr="00312424" w:rsidRDefault="0043773C" w:rsidP="00C16DDB">
      <w:pPr>
        <w:pStyle w:val="Recuodecorpodetexto"/>
        <w:widowControl/>
        <w:autoSpaceDE w:val="0"/>
        <w:autoSpaceDN w:val="0"/>
        <w:ind w:left="0"/>
        <w:rPr>
          <w:rFonts w:ascii="Calibri" w:hAnsi="Calibri" w:cs="Calibri"/>
          <w:b/>
          <w:szCs w:val="24"/>
        </w:rPr>
      </w:pPr>
      <w:r>
        <w:rPr>
          <w:rFonts w:ascii="Calibri" w:hAnsi="Calibri" w:cs="Calibri"/>
          <w:b/>
          <w:szCs w:val="24"/>
          <w:lang w:val="pt-BR"/>
        </w:rPr>
        <w:t>10</w:t>
      </w:r>
      <w:r w:rsidR="00C16DDB" w:rsidRPr="00312424">
        <w:rPr>
          <w:rFonts w:ascii="Calibri" w:hAnsi="Calibri" w:cs="Calibri"/>
          <w:b/>
          <w:szCs w:val="24"/>
          <w:lang w:val="pt-BR"/>
        </w:rPr>
        <w:t xml:space="preserve"> – </w:t>
      </w:r>
      <w:r w:rsidR="00C16DDB" w:rsidRPr="00312424">
        <w:rPr>
          <w:rFonts w:ascii="Calibri" w:hAnsi="Calibri" w:cs="Calibri"/>
          <w:b/>
          <w:szCs w:val="24"/>
          <w:u w:val="single"/>
        </w:rPr>
        <w:t xml:space="preserve">BENS EM PROCESSO DE </w:t>
      </w:r>
      <w:r w:rsidR="00C16DDB" w:rsidRPr="00312424">
        <w:rPr>
          <w:rFonts w:ascii="Calibri" w:hAnsi="Calibri" w:cs="Calibri"/>
          <w:b/>
          <w:szCs w:val="24"/>
          <w:u w:val="single"/>
          <w:lang w:val="pt-BR"/>
        </w:rPr>
        <w:t>CESSÃO</w:t>
      </w:r>
    </w:p>
    <w:p w:rsidR="00C16DDB" w:rsidRPr="00312424" w:rsidRDefault="00C16DDB" w:rsidP="00C16DDB">
      <w:pPr>
        <w:pStyle w:val="Recuodecorpodetexto"/>
        <w:widowControl/>
        <w:autoSpaceDE w:val="0"/>
        <w:autoSpaceDN w:val="0"/>
        <w:ind w:left="993"/>
        <w:rPr>
          <w:rFonts w:ascii="Calibri" w:hAnsi="Calibri" w:cs="Calibri"/>
          <w:b/>
          <w:szCs w:val="24"/>
        </w:rPr>
      </w:pPr>
      <w:r w:rsidRPr="00312424">
        <w:rPr>
          <w:rFonts w:ascii="Calibri" w:hAnsi="Calibri" w:cs="Calibri"/>
          <w:b/>
          <w:szCs w:val="24"/>
        </w:rPr>
        <w:tab/>
      </w:r>
    </w:p>
    <w:p w:rsidR="00C16DDB" w:rsidRDefault="003E7F3A" w:rsidP="00C16DDB">
      <w:pPr>
        <w:pStyle w:val="Recuodecorpodetexto"/>
        <w:widowControl/>
        <w:autoSpaceDE w:val="0"/>
        <w:autoSpaceDN w:val="0"/>
        <w:ind w:left="0"/>
        <w:rPr>
          <w:rFonts w:ascii="Calibri" w:hAnsi="Calibri" w:cs="Calibri"/>
          <w:szCs w:val="24"/>
        </w:rPr>
      </w:pPr>
      <w:r>
        <w:rPr>
          <w:rFonts w:ascii="Calibri" w:hAnsi="Calibri" w:cs="Calibri"/>
          <w:szCs w:val="24"/>
          <w:lang w:val="pt-BR"/>
        </w:rPr>
        <w:t>São</w:t>
      </w:r>
      <w:r w:rsidR="00B00D0B">
        <w:rPr>
          <w:rFonts w:ascii="Calibri" w:hAnsi="Calibri" w:cs="Calibri"/>
          <w:szCs w:val="24"/>
        </w:rPr>
        <w:t xml:space="preserve"> terrenos na área do porto organizado</w:t>
      </w:r>
      <w:r w:rsidR="00C16DDB" w:rsidRPr="00312424">
        <w:rPr>
          <w:rFonts w:ascii="Calibri" w:hAnsi="Calibri" w:cs="Calibri"/>
          <w:szCs w:val="24"/>
        </w:rPr>
        <w:t xml:space="preserve"> de Itaguaí, baixados para cessão à União</w:t>
      </w:r>
      <w:r w:rsidR="00F10FEB">
        <w:rPr>
          <w:rFonts w:ascii="Calibri" w:hAnsi="Calibri" w:cs="Calibri"/>
          <w:szCs w:val="24"/>
          <w:lang w:val="pt-BR"/>
        </w:rPr>
        <w:t xml:space="preserve"> para utilização</w:t>
      </w:r>
      <w:r w:rsidR="00C16DDB" w:rsidRPr="00312424">
        <w:rPr>
          <w:rFonts w:ascii="Calibri" w:hAnsi="Calibri" w:cs="Calibri"/>
          <w:szCs w:val="24"/>
        </w:rPr>
        <w:t xml:space="preserve"> no programa de construção da Base </w:t>
      </w:r>
      <w:r w:rsidR="00F10FEB">
        <w:rPr>
          <w:rFonts w:ascii="Calibri" w:hAnsi="Calibri" w:cs="Calibri"/>
          <w:szCs w:val="24"/>
          <w:lang w:val="pt-BR"/>
        </w:rPr>
        <w:t xml:space="preserve">e </w:t>
      </w:r>
      <w:r w:rsidR="00C16DDB" w:rsidRPr="00312424">
        <w:rPr>
          <w:rFonts w:ascii="Calibri" w:hAnsi="Calibri" w:cs="Calibri"/>
          <w:szCs w:val="24"/>
        </w:rPr>
        <w:t>Estaleiro Naval e área de apoio para submarinos convencionais e nucleares para a Marinha do Brasil, através do Protocolo de Intenções firmado entre SEP/PR, Ministério da Defesa, Ministério do Planejamento, Orçamento e Gestão - MPOG, Comando da Marinha e Companhia Docas do Rio de Janeiro, datado de 17/03/2010 e Contrato C-SUPJUR nº 50, de 10/08/2010. O valor encontra-se registrado nesta conta aguardando o encerramento do processo de dação dos bens, que terá como contrapartida a redução da participação da União no Capital Social da Companhia.</w:t>
      </w:r>
    </w:p>
    <w:p w:rsidR="00085185" w:rsidRPr="00312424" w:rsidRDefault="00085185" w:rsidP="00C16DDB">
      <w:pPr>
        <w:pStyle w:val="Recuodecorpodetexto"/>
        <w:widowControl/>
        <w:autoSpaceDE w:val="0"/>
        <w:autoSpaceDN w:val="0"/>
        <w:ind w:left="0"/>
        <w:rPr>
          <w:rFonts w:ascii="Calibri" w:hAnsi="Calibri" w:cs="Calibri"/>
          <w:b/>
          <w:szCs w:val="24"/>
          <w:lang w:val="pt-BR"/>
        </w:rPr>
      </w:pPr>
    </w:p>
    <w:p w:rsidR="00C16DDB" w:rsidRPr="00312424" w:rsidRDefault="00C16DDB" w:rsidP="00C16DDB">
      <w:pPr>
        <w:pStyle w:val="Recuodecorpodetexto"/>
        <w:widowControl/>
        <w:autoSpaceDE w:val="0"/>
        <w:autoSpaceDN w:val="0"/>
        <w:ind w:left="0"/>
        <w:rPr>
          <w:rFonts w:ascii="Calibri" w:hAnsi="Calibri" w:cs="Calibri"/>
          <w:b/>
          <w:szCs w:val="24"/>
          <w:lang w:val="pt-BR"/>
        </w:rPr>
      </w:pPr>
    </w:p>
    <w:p w:rsidR="00C16DDB" w:rsidRPr="00312424" w:rsidRDefault="0043773C" w:rsidP="00C16DDB">
      <w:pPr>
        <w:pStyle w:val="Recuodecorpodetexto"/>
        <w:widowControl/>
        <w:autoSpaceDE w:val="0"/>
        <w:autoSpaceDN w:val="0"/>
        <w:ind w:left="0"/>
        <w:rPr>
          <w:rFonts w:ascii="Calibri" w:hAnsi="Calibri" w:cs="Calibri"/>
          <w:b/>
          <w:szCs w:val="24"/>
          <w:u w:val="single"/>
          <w:lang w:val="pt-BR"/>
        </w:rPr>
      </w:pPr>
      <w:r>
        <w:rPr>
          <w:rFonts w:ascii="Calibri" w:hAnsi="Calibri" w:cs="Calibri"/>
          <w:b/>
          <w:szCs w:val="24"/>
          <w:lang w:val="pt-BR"/>
        </w:rPr>
        <w:t>11</w:t>
      </w:r>
      <w:r w:rsidR="00C16DDB" w:rsidRPr="00312424">
        <w:rPr>
          <w:rFonts w:ascii="Calibri" w:hAnsi="Calibri" w:cs="Calibri"/>
          <w:b/>
          <w:szCs w:val="24"/>
          <w:lang w:val="pt-BR"/>
        </w:rPr>
        <w:t xml:space="preserve"> </w:t>
      </w:r>
      <w:r w:rsidR="00C16DDB" w:rsidRPr="00312424">
        <w:rPr>
          <w:rFonts w:ascii="Calibri" w:hAnsi="Calibri" w:cs="Calibri"/>
          <w:b/>
          <w:szCs w:val="24"/>
        </w:rPr>
        <w:t xml:space="preserve">– </w:t>
      </w:r>
      <w:r w:rsidR="00C16DDB" w:rsidRPr="00312424">
        <w:rPr>
          <w:rFonts w:ascii="Calibri" w:hAnsi="Calibri" w:cs="Calibri"/>
          <w:b/>
          <w:szCs w:val="24"/>
          <w:u w:val="single"/>
          <w:lang w:val="pt-BR"/>
        </w:rPr>
        <w:t>CAUÇÕES E DEPÓSITOS VINCULADOS</w:t>
      </w:r>
    </w:p>
    <w:p w:rsidR="00C16DDB" w:rsidRDefault="00C16DDB" w:rsidP="00C16DDB">
      <w:pPr>
        <w:pStyle w:val="Recuodecorpodetexto"/>
        <w:widowControl/>
        <w:autoSpaceDE w:val="0"/>
        <w:autoSpaceDN w:val="0"/>
        <w:ind w:left="0"/>
        <w:rPr>
          <w:rFonts w:ascii="Calibri" w:hAnsi="Calibri" w:cs="Calibri"/>
          <w:b/>
          <w:szCs w:val="24"/>
          <w:u w:val="single"/>
          <w:lang w:val="pt-BR"/>
        </w:rPr>
      </w:pPr>
    </w:p>
    <w:p w:rsidR="00B00D0B" w:rsidRDefault="00B00D0B" w:rsidP="00C16DDB">
      <w:pPr>
        <w:pStyle w:val="Recuodecorpodetexto"/>
        <w:widowControl/>
        <w:autoSpaceDE w:val="0"/>
        <w:autoSpaceDN w:val="0"/>
        <w:ind w:left="0"/>
        <w:rPr>
          <w:rFonts w:ascii="Calibri" w:hAnsi="Calibri" w:cs="Calibri"/>
          <w:szCs w:val="24"/>
          <w:lang w:val="pt-BR"/>
        </w:rPr>
      </w:pPr>
      <w:r w:rsidRPr="00B00D0B">
        <w:rPr>
          <w:rFonts w:ascii="Calibri" w:hAnsi="Calibri" w:cs="Calibri"/>
          <w:szCs w:val="24"/>
          <w:lang w:val="pt-BR"/>
        </w:rPr>
        <w:t>Os seguintes valores compõem o grupo:</w:t>
      </w:r>
    </w:p>
    <w:p w:rsidR="00790F34" w:rsidRDefault="00790F34" w:rsidP="00C16DDB">
      <w:pPr>
        <w:pStyle w:val="Recuodecorpodetexto"/>
        <w:widowControl/>
        <w:autoSpaceDE w:val="0"/>
        <w:autoSpaceDN w:val="0"/>
        <w:ind w:left="0"/>
        <w:rPr>
          <w:rFonts w:ascii="Calibri" w:hAnsi="Calibri" w:cs="Calibri"/>
          <w:szCs w:val="24"/>
          <w:lang w:val="pt-BR"/>
        </w:rPr>
      </w:pPr>
    </w:p>
    <w:tbl>
      <w:tblPr>
        <w:tblW w:w="6780" w:type="dxa"/>
        <w:jc w:val="center"/>
        <w:tblCellMar>
          <w:left w:w="70" w:type="dxa"/>
          <w:right w:w="70" w:type="dxa"/>
        </w:tblCellMar>
        <w:tblLook w:val="04A0" w:firstRow="1" w:lastRow="0" w:firstColumn="1" w:lastColumn="0" w:noHBand="0" w:noVBand="1"/>
      </w:tblPr>
      <w:tblGrid>
        <w:gridCol w:w="3260"/>
        <w:gridCol w:w="1760"/>
        <w:gridCol w:w="1760"/>
      </w:tblGrid>
      <w:tr w:rsidR="002A2E73" w:rsidRPr="00790F34" w:rsidTr="00697525">
        <w:trPr>
          <w:trHeight w:val="284"/>
          <w:jc w:val="center"/>
        </w:trPr>
        <w:tc>
          <w:tcPr>
            <w:tcW w:w="3260" w:type="dxa"/>
            <w:tcBorders>
              <w:top w:val="nil"/>
              <w:left w:val="nil"/>
              <w:bottom w:val="single" w:sz="4" w:space="0" w:color="auto"/>
              <w:right w:val="single" w:sz="4" w:space="0" w:color="auto"/>
            </w:tcBorders>
            <w:shd w:val="clear" w:color="auto" w:fill="auto"/>
            <w:noWrap/>
            <w:vAlign w:val="bottom"/>
            <w:hideMark/>
          </w:tcPr>
          <w:p w:rsidR="002A2E73" w:rsidRPr="00790F34" w:rsidRDefault="002A2E73" w:rsidP="002A2E73">
            <w:pPr>
              <w:widowControl/>
              <w:rPr>
                <w:rFonts w:ascii="Calibri" w:hAnsi="Calibri" w:cs="Calibri"/>
                <w:snapToGrid/>
                <w:color w:val="000000"/>
                <w:sz w:val="24"/>
                <w:szCs w:val="24"/>
              </w:rPr>
            </w:pPr>
            <w:r w:rsidRPr="00790F34">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E73" w:rsidRPr="00790F34" w:rsidRDefault="00D0760C" w:rsidP="00E01EC6">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c>
          <w:tcPr>
            <w:tcW w:w="1760" w:type="dxa"/>
            <w:tcBorders>
              <w:top w:val="single" w:sz="4" w:space="0" w:color="auto"/>
              <w:left w:val="single" w:sz="4" w:space="0" w:color="auto"/>
              <w:bottom w:val="single" w:sz="4" w:space="0" w:color="auto"/>
              <w:right w:val="single" w:sz="4" w:space="0" w:color="auto"/>
            </w:tcBorders>
            <w:vAlign w:val="bottom"/>
          </w:tcPr>
          <w:p w:rsidR="002A2E73" w:rsidRPr="00790F34" w:rsidRDefault="002A2E73" w:rsidP="002A2E73">
            <w:pPr>
              <w:widowControl/>
              <w:jc w:val="center"/>
              <w:rPr>
                <w:rFonts w:ascii="Calibri" w:hAnsi="Calibri" w:cs="Calibri"/>
                <w:b/>
                <w:bCs/>
                <w:snapToGrid/>
                <w:color w:val="000000"/>
                <w:sz w:val="24"/>
                <w:szCs w:val="24"/>
              </w:rPr>
            </w:pPr>
            <w:r w:rsidRPr="00790F34">
              <w:rPr>
                <w:rFonts w:ascii="Calibri" w:hAnsi="Calibri" w:cs="Calibri"/>
                <w:b/>
                <w:bCs/>
                <w:snapToGrid/>
                <w:color w:val="000000"/>
                <w:sz w:val="24"/>
                <w:szCs w:val="24"/>
              </w:rPr>
              <w:t>31/12/2018</w:t>
            </w:r>
          </w:p>
        </w:tc>
      </w:tr>
      <w:tr w:rsidR="002A2E73" w:rsidRPr="00790F34" w:rsidTr="00697525">
        <w:trPr>
          <w:trHeight w:val="284"/>
          <w:jc w:val="center"/>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E73" w:rsidRPr="00790F34" w:rsidRDefault="002A2E73" w:rsidP="002A2E73">
            <w:pPr>
              <w:widowControl/>
              <w:rPr>
                <w:rFonts w:ascii="Calibri" w:hAnsi="Calibri" w:cs="Calibri"/>
                <w:snapToGrid/>
                <w:color w:val="000000"/>
                <w:sz w:val="24"/>
                <w:szCs w:val="24"/>
              </w:rPr>
            </w:pPr>
            <w:r w:rsidRPr="00790F34">
              <w:rPr>
                <w:rFonts w:ascii="Calibri" w:hAnsi="Calibri" w:cs="Calibri"/>
                <w:snapToGrid/>
                <w:color w:val="000000"/>
                <w:sz w:val="24"/>
                <w:szCs w:val="24"/>
              </w:rPr>
              <w:t>Recursos Bloqueados RSD</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2E73" w:rsidRPr="00790F34" w:rsidRDefault="00C40EB4" w:rsidP="002A2E73">
            <w:pPr>
              <w:widowControl/>
              <w:jc w:val="right"/>
              <w:rPr>
                <w:rFonts w:ascii="Calibri" w:hAnsi="Calibri" w:cs="Calibri"/>
                <w:snapToGrid/>
                <w:color w:val="000000"/>
                <w:sz w:val="24"/>
                <w:szCs w:val="24"/>
              </w:rPr>
            </w:pPr>
            <w:r>
              <w:rPr>
                <w:rFonts w:ascii="Calibri" w:hAnsi="Calibri" w:cs="Calibri"/>
                <w:snapToGrid/>
                <w:color w:val="000000"/>
                <w:sz w:val="24"/>
                <w:szCs w:val="24"/>
              </w:rPr>
              <w:t>9.232</w:t>
            </w:r>
          </w:p>
        </w:tc>
        <w:tc>
          <w:tcPr>
            <w:tcW w:w="1760" w:type="dxa"/>
            <w:tcBorders>
              <w:top w:val="single" w:sz="4" w:space="0" w:color="auto"/>
              <w:left w:val="single" w:sz="4" w:space="0" w:color="auto"/>
              <w:bottom w:val="single" w:sz="4" w:space="0" w:color="auto"/>
              <w:right w:val="single" w:sz="4" w:space="0" w:color="auto"/>
            </w:tcBorders>
            <w:vAlign w:val="bottom"/>
          </w:tcPr>
          <w:p w:rsidR="002A2E73" w:rsidRPr="00790F34" w:rsidRDefault="002A2E73" w:rsidP="002A2E73">
            <w:pPr>
              <w:widowControl/>
              <w:jc w:val="right"/>
              <w:rPr>
                <w:rFonts w:ascii="Calibri" w:hAnsi="Calibri" w:cs="Calibri"/>
                <w:snapToGrid/>
                <w:color w:val="000000"/>
                <w:sz w:val="24"/>
                <w:szCs w:val="24"/>
              </w:rPr>
            </w:pPr>
            <w:r w:rsidRPr="00790F34">
              <w:rPr>
                <w:rFonts w:ascii="Calibri" w:hAnsi="Calibri" w:cs="Calibri"/>
                <w:snapToGrid/>
                <w:color w:val="000000"/>
                <w:sz w:val="24"/>
                <w:szCs w:val="24"/>
              </w:rPr>
              <w:t>9.232</w:t>
            </w:r>
          </w:p>
        </w:tc>
      </w:tr>
      <w:tr w:rsidR="002A2E73" w:rsidRPr="00790F34" w:rsidTr="00697525">
        <w:trPr>
          <w:trHeight w:val="284"/>
          <w:jc w:val="center"/>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E73" w:rsidRPr="00790F34" w:rsidRDefault="002A2E73" w:rsidP="002A2E73">
            <w:pPr>
              <w:widowControl/>
              <w:rPr>
                <w:rFonts w:ascii="Calibri" w:hAnsi="Calibri" w:cs="Calibri"/>
                <w:snapToGrid/>
                <w:color w:val="000000"/>
                <w:sz w:val="24"/>
                <w:szCs w:val="24"/>
              </w:rPr>
            </w:pPr>
            <w:r w:rsidRPr="00790F34">
              <w:rPr>
                <w:rFonts w:ascii="Calibri" w:hAnsi="Calibri" w:cs="Calibri"/>
                <w:snapToGrid/>
                <w:color w:val="000000"/>
                <w:sz w:val="24"/>
                <w:szCs w:val="24"/>
              </w:rPr>
              <w:t>Bloqueios em Conta Corrente</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2E73" w:rsidRPr="00790F34" w:rsidRDefault="00C40EB4" w:rsidP="00CF239E">
            <w:pPr>
              <w:widowControl/>
              <w:jc w:val="right"/>
              <w:rPr>
                <w:rFonts w:ascii="Calibri" w:hAnsi="Calibri" w:cs="Calibri"/>
                <w:snapToGrid/>
                <w:color w:val="000000"/>
                <w:sz w:val="24"/>
                <w:szCs w:val="24"/>
              </w:rPr>
            </w:pPr>
            <w:r>
              <w:rPr>
                <w:rFonts w:ascii="Calibri" w:hAnsi="Calibri" w:cs="Calibri"/>
                <w:snapToGrid/>
                <w:color w:val="000000"/>
                <w:sz w:val="24"/>
                <w:szCs w:val="24"/>
              </w:rPr>
              <w:t>151.278</w:t>
            </w:r>
          </w:p>
        </w:tc>
        <w:tc>
          <w:tcPr>
            <w:tcW w:w="1760" w:type="dxa"/>
            <w:tcBorders>
              <w:top w:val="single" w:sz="4" w:space="0" w:color="auto"/>
              <w:left w:val="single" w:sz="4" w:space="0" w:color="auto"/>
              <w:bottom w:val="single" w:sz="4" w:space="0" w:color="auto"/>
              <w:right w:val="single" w:sz="4" w:space="0" w:color="auto"/>
            </w:tcBorders>
            <w:vAlign w:val="bottom"/>
          </w:tcPr>
          <w:p w:rsidR="002A2E73" w:rsidRPr="00790F34" w:rsidRDefault="002A2E73" w:rsidP="002A2E73">
            <w:pPr>
              <w:widowControl/>
              <w:jc w:val="right"/>
              <w:rPr>
                <w:rFonts w:ascii="Calibri" w:hAnsi="Calibri" w:cs="Calibri"/>
                <w:snapToGrid/>
                <w:color w:val="000000"/>
                <w:sz w:val="24"/>
                <w:szCs w:val="24"/>
              </w:rPr>
            </w:pPr>
            <w:r w:rsidRPr="00790F34">
              <w:rPr>
                <w:rFonts w:ascii="Calibri" w:hAnsi="Calibri" w:cs="Calibri"/>
                <w:snapToGrid/>
                <w:color w:val="000000"/>
                <w:sz w:val="24"/>
                <w:szCs w:val="24"/>
              </w:rPr>
              <w:t>126.266</w:t>
            </w:r>
          </w:p>
        </w:tc>
      </w:tr>
      <w:tr w:rsidR="002A2E73" w:rsidRPr="00790F34" w:rsidTr="00697525">
        <w:trPr>
          <w:trHeight w:val="284"/>
          <w:jc w:val="center"/>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E73" w:rsidRPr="00790F34" w:rsidRDefault="002A2E73" w:rsidP="002A2E73">
            <w:pPr>
              <w:widowControl/>
              <w:rPr>
                <w:rFonts w:ascii="Calibri" w:hAnsi="Calibri" w:cs="Calibri"/>
                <w:snapToGrid/>
                <w:color w:val="000000"/>
                <w:sz w:val="24"/>
                <w:szCs w:val="24"/>
              </w:rPr>
            </w:pPr>
            <w:r w:rsidRPr="00790F34">
              <w:rPr>
                <w:rFonts w:ascii="Calibri" w:hAnsi="Calibri" w:cs="Calibri"/>
                <w:snapToGrid/>
                <w:color w:val="000000"/>
                <w:sz w:val="24"/>
                <w:szCs w:val="24"/>
              </w:rPr>
              <w:t>Bloqueios em Ações do Leasing</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2E73" w:rsidRPr="00790F34" w:rsidRDefault="00C40EB4" w:rsidP="00CF239E">
            <w:pPr>
              <w:widowControl/>
              <w:jc w:val="right"/>
              <w:rPr>
                <w:rFonts w:ascii="Calibri" w:hAnsi="Calibri" w:cs="Calibri"/>
                <w:snapToGrid/>
                <w:color w:val="000000"/>
                <w:sz w:val="24"/>
                <w:szCs w:val="24"/>
              </w:rPr>
            </w:pPr>
            <w:r>
              <w:rPr>
                <w:rFonts w:ascii="Calibri" w:hAnsi="Calibri" w:cs="Calibri"/>
                <w:snapToGrid/>
                <w:color w:val="000000"/>
                <w:sz w:val="24"/>
                <w:szCs w:val="24"/>
              </w:rPr>
              <w:t>164.146</w:t>
            </w:r>
          </w:p>
        </w:tc>
        <w:tc>
          <w:tcPr>
            <w:tcW w:w="1760" w:type="dxa"/>
            <w:tcBorders>
              <w:top w:val="single" w:sz="4" w:space="0" w:color="auto"/>
              <w:left w:val="single" w:sz="4" w:space="0" w:color="auto"/>
              <w:bottom w:val="single" w:sz="4" w:space="0" w:color="auto"/>
              <w:right w:val="single" w:sz="4" w:space="0" w:color="auto"/>
            </w:tcBorders>
            <w:vAlign w:val="bottom"/>
          </w:tcPr>
          <w:p w:rsidR="002A2E73" w:rsidRPr="00790F34" w:rsidRDefault="002A2E73" w:rsidP="002A2E73">
            <w:pPr>
              <w:widowControl/>
              <w:jc w:val="right"/>
              <w:rPr>
                <w:rFonts w:ascii="Calibri" w:hAnsi="Calibri" w:cs="Calibri"/>
                <w:snapToGrid/>
                <w:color w:val="000000"/>
                <w:sz w:val="24"/>
                <w:szCs w:val="24"/>
              </w:rPr>
            </w:pPr>
            <w:r w:rsidRPr="00790F34">
              <w:rPr>
                <w:rFonts w:ascii="Calibri" w:hAnsi="Calibri" w:cs="Calibri"/>
                <w:snapToGrid/>
                <w:color w:val="000000"/>
                <w:sz w:val="24"/>
                <w:szCs w:val="24"/>
              </w:rPr>
              <w:t>137.197</w:t>
            </w:r>
          </w:p>
        </w:tc>
      </w:tr>
      <w:tr w:rsidR="002A2E73" w:rsidRPr="00790F34" w:rsidTr="00697525">
        <w:trPr>
          <w:trHeight w:val="284"/>
          <w:jc w:val="center"/>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E73" w:rsidRPr="00790F34" w:rsidRDefault="002A2E73" w:rsidP="002A2E73">
            <w:pPr>
              <w:widowControl/>
              <w:rPr>
                <w:rFonts w:ascii="Calibri" w:hAnsi="Calibri" w:cs="Calibri"/>
                <w:snapToGrid/>
                <w:color w:val="000000"/>
                <w:sz w:val="24"/>
                <w:szCs w:val="24"/>
              </w:rPr>
            </w:pPr>
            <w:r w:rsidRPr="00790F34">
              <w:rPr>
                <w:rFonts w:ascii="Calibri" w:hAnsi="Calibri" w:cs="Calibri"/>
                <w:snapToGrid/>
                <w:color w:val="000000"/>
                <w:sz w:val="24"/>
                <w:szCs w:val="24"/>
              </w:rPr>
              <w:t>Recursos Judiciais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2E73" w:rsidRPr="00790F34" w:rsidRDefault="00C40EB4" w:rsidP="00CF239E">
            <w:pPr>
              <w:widowControl/>
              <w:jc w:val="right"/>
              <w:rPr>
                <w:rFonts w:ascii="Calibri" w:hAnsi="Calibri" w:cs="Calibri"/>
                <w:snapToGrid/>
                <w:color w:val="000000"/>
                <w:sz w:val="24"/>
                <w:szCs w:val="24"/>
              </w:rPr>
            </w:pPr>
            <w:r>
              <w:rPr>
                <w:rFonts w:ascii="Calibri" w:hAnsi="Calibri" w:cs="Calibri"/>
                <w:snapToGrid/>
                <w:color w:val="000000"/>
                <w:sz w:val="24"/>
                <w:szCs w:val="24"/>
              </w:rPr>
              <w:t>13.552</w:t>
            </w:r>
          </w:p>
        </w:tc>
        <w:tc>
          <w:tcPr>
            <w:tcW w:w="1760" w:type="dxa"/>
            <w:tcBorders>
              <w:top w:val="single" w:sz="4" w:space="0" w:color="auto"/>
              <w:left w:val="single" w:sz="4" w:space="0" w:color="auto"/>
              <w:bottom w:val="single" w:sz="4" w:space="0" w:color="auto"/>
              <w:right w:val="single" w:sz="4" w:space="0" w:color="auto"/>
            </w:tcBorders>
            <w:vAlign w:val="bottom"/>
          </w:tcPr>
          <w:p w:rsidR="002A2E73" w:rsidRPr="00790F34" w:rsidRDefault="002A2E73" w:rsidP="002A2E73">
            <w:pPr>
              <w:widowControl/>
              <w:jc w:val="right"/>
              <w:rPr>
                <w:rFonts w:ascii="Calibri" w:hAnsi="Calibri" w:cs="Calibri"/>
                <w:snapToGrid/>
                <w:color w:val="000000"/>
                <w:sz w:val="24"/>
                <w:szCs w:val="24"/>
              </w:rPr>
            </w:pPr>
            <w:r w:rsidRPr="00790F34">
              <w:rPr>
                <w:rFonts w:ascii="Calibri" w:hAnsi="Calibri" w:cs="Calibri"/>
                <w:snapToGrid/>
                <w:color w:val="000000"/>
                <w:sz w:val="24"/>
                <w:szCs w:val="24"/>
              </w:rPr>
              <w:t>11.413</w:t>
            </w:r>
          </w:p>
        </w:tc>
      </w:tr>
      <w:tr w:rsidR="002A2E73" w:rsidRPr="00790F34" w:rsidTr="00697525">
        <w:trPr>
          <w:trHeight w:val="284"/>
          <w:jc w:val="center"/>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E73" w:rsidRPr="00790F34" w:rsidRDefault="002A2E73" w:rsidP="002A2E73">
            <w:pPr>
              <w:widowControl/>
              <w:rPr>
                <w:rFonts w:ascii="Calibri" w:hAnsi="Calibri" w:cs="Calibri"/>
                <w:b/>
                <w:bCs/>
                <w:snapToGrid/>
                <w:color w:val="000000"/>
                <w:sz w:val="24"/>
                <w:szCs w:val="24"/>
              </w:rPr>
            </w:pPr>
            <w:r w:rsidRPr="00790F34">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2E73" w:rsidRPr="00790F34" w:rsidRDefault="00C40EB4" w:rsidP="002A2E73">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338.208</w:t>
            </w:r>
          </w:p>
        </w:tc>
        <w:tc>
          <w:tcPr>
            <w:tcW w:w="1760" w:type="dxa"/>
            <w:tcBorders>
              <w:top w:val="single" w:sz="4" w:space="0" w:color="auto"/>
              <w:left w:val="single" w:sz="4" w:space="0" w:color="auto"/>
              <w:bottom w:val="single" w:sz="4" w:space="0" w:color="auto"/>
              <w:right w:val="single" w:sz="4" w:space="0" w:color="auto"/>
            </w:tcBorders>
            <w:vAlign w:val="bottom"/>
          </w:tcPr>
          <w:p w:rsidR="002A2E73" w:rsidRPr="00790F34" w:rsidRDefault="002A2E73" w:rsidP="002A2E73">
            <w:pPr>
              <w:widowControl/>
              <w:jc w:val="right"/>
              <w:rPr>
                <w:rFonts w:ascii="Calibri" w:hAnsi="Calibri" w:cs="Calibri"/>
                <w:b/>
                <w:bCs/>
                <w:snapToGrid/>
                <w:color w:val="000000"/>
                <w:sz w:val="24"/>
                <w:szCs w:val="24"/>
              </w:rPr>
            </w:pPr>
            <w:r w:rsidRPr="00790F34">
              <w:rPr>
                <w:rFonts w:ascii="Calibri" w:hAnsi="Calibri" w:cs="Calibri"/>
                <w:b/>
                <w:bCs/>
                <w:snapToGrid/>
                <w:color w:val="000000"/>
                <w:sz w:val="24"/>
                <w:szCs w:val="24"/>
              </w:rPr>
              <w:t>284.108</w:t>
            </w:r>
          </w:p>
        </w:tc>
      </w:tr>
    </w:tbl>
    <w:p w:rsidR="00790F34" w:rsidRPr="00312424" w:rsidRDefault="00790F34" w:rsidP="00C16DDB">
      <w:pPr>
        <w:jc w:val="both"/>
        <w:rPr>
          <w:rFonts w:ascii="Calibri" w:hAnsi="Calibri" w:cs="Calibri"/>
          <w:b/>
          <w:sz w:val="24"/>
          <w:szCs w:val="24"/>
        </w:rPr>
      </w:pPr>
    </w:p>
    <w:p w:rsidR="00F10FEB" w:rsidRDefault="00C16DDB" w:rsidP="00C16DDB">
      <w:pPr>
        <w:jc w:val="both"/>
        <w:rPr>
          <w:rFonts w:ascii="Calibri" w:hAnsi="Calibri" w:cs="Calibri"/>
          <w:sz w:val="24"/>
          <w:szCs w:val="24"/>
        </w:rPr>
      </w:pPr>
      <w:r w:rsidRPr="00312424">
        <w:rPr>
          <w:rFonts w:ascii="Calibri" w:hAnsi="Calibri" w:cs="Calibri"/>
          <w:b/>
          <w:sz w:val="24"/>
          <w:szCs w:val="24"/>
        </w:rPr>
        <w:t xml:space="preserve">Recursos Bloqueados RSD </w:t>
      </w:r>
      <w:r w:rsidR="001E11CE">
        <w:rPr>
          <w:rFonts w:ascii="Calibri" w:hAnsi="Calibri" w:cs="Calibri"/>
          <w:sz w:val="24"/>
          <w:szCs w:val="24"/>
        </w:rPr>
        <w:t>r</w:t>
      </w:r>
      <w:r w:rsidRPr="00312424">
        <w:rPr>
          <w:rFonts w:ascii="Calibri" w:hAnsi="Calibri" w:cs="Calibri"/>
          <w:sz w:val="24"/>
          <w:szCs w:val="24"/>
        </w:rPr>
        <w:t>efere</w:t>
      </w:r>
      <w:r w:rsidR="001E11CE">
        <w:rPr>
          <w:rFonts w:ascii="Calibri" w:hAnsi="Calibri" w:cs="Calibri"/>
          <w:sz w:val="24"/>
          <w:szCs w:val="24"/>
        </w:rPr>
        <w:t>m</w:t>
      </w:r>
      <w:r w:rsidRPr="00312424">
        <w:rPr>
          <w:rFonts w:ascii="Calibri" w:hAnsi="Calibri" w:cs="Calibri"/>
          <w:sz w:val="24"/>
          <w:szCs w:val="24"/>
        </w:rPr>
        <w:t>-se ao</w:t>
      </w:r>
      <w:r w:rsidR="001E11CE">
        <w:rPr>
          <w:rFonts w:ascii="Calibri" w:hAnsi="Calibri" w:cs="Calibri"/>
          <w:sz w:val="24"/>
          <w:szCs w:val="24"/>
        </w:rPr>
        <w:t>s valores de</w:t>
      </w:r>
      <w:r w:rsidRPr="00312424">
        <w:rPr>
          <w:rFonts w:ascii="Calibri" w:hAnsi="Calibri" w:cs="Calibri"/>
          <w:sz w:val="24"/>
          <w:szCs w:val="24"/>
        </w:rPr>
        <w:t xml:space="preserve"> Reembolso de Serviço de Dragagem depositado</w:t>
      </w:r>
      <w:r w:rsidR="001E11CE">
        <w:rPr>
          <w:rFonts w:ascii="Calibri" w:hAnsi="Calibri" w:cs="Calibri"/>
          <w:sz w:val="24"/>
          <w:szCs w:val="24"/>
        </w:rPr>
        <w:t>s</w:t>
      </w:r>
      <w:r w:rsidRPr="00312424">
        <w:rPr>
          <w:rFonts w:ascii="Calibri" w:hAnsi="Calibri" w:cs="Calibri"/>
          <w:sz w:val="24"/>
          <w:szCs w:val="24"/>
        </w:rPr>
        <w:t xml:space="preserve"> no BNDES como garantia aos contratos de </w:t>
      </w:r>
      <w:r w:rsidRPr="00312424">
        <w:rPr>
          <w:rFonts w:ascii="Calibri" w:hAnsi="Calibri" w:cs="Calibri"/>
          <w:i/>
          <w:sz w:val="24"/>
          <w:szCs w:val="24"/>
        </w:rPr>
        <w:t>Leasing</w:t>
      </w:r>
      <w:r w:rsidRPr="00312424">
        <w:rPr>
          <w:rFonts w:ascii="Calibri" w:hAnsi="Calibri" w:cs="Calibri"/>
          <w:sz w:val="24"/>
          <w:szCs w:val="24"/>
        </w:rPr>
        <w:t xml:space="preserve"> da extinta Empresa de Portos do Brasil – PORTOBRÁS. Tais recursos encontram-se bloqueados em Juízo na 3ª Vara Federal do Rio de Janeiro</w:t>
      </w:r>
      <w:r w:rsidR="00F10FEB">
        <w:rPr>
          <w:rFonts w:ascii="Calibri" w:hAnsi="Calibri" w:cs="Calibri"/>
          <w:sz w:val="24"/>
          <w:szCs w:val="24"/>
        </w:rPr>
        <w:t>.</w:t>
      </w:r>
    </w:p>
    <w:p w:rsidR="00C16DDB" w:rsidRDefault="00F10FEB" w:rsidP="00C16DDB">
      <w:pPr>
        <w:jc w:val="both"/>
        <w:rPr>
          <w:rFonts w:ascii="Calibri" w:hAnsi="Calibri" w:cs="Calibri"/>
          <w:b/>
          <w:sz w:val="24"/>
          <w:szCs w:val="24"/>
        </w:rPr>
      </w:pPr>
      <w:r>
        <w:rPr>
          <w:rFonts w:ascii="Calibri" w:hAnsi="Calibri" w:cs="Calibri"/>
          <w:b/>
          <w:sz w:val="24"/>
          <w:szCs w:val="24"/>
        </w:rPr>
        <w:t xml:space="preserve"> </w:t>
      </w:r>
    </w:p>
    <w:p w:rsidR="001E11CE" w:rsidRPr="00312424" w:rsidRDefault="001E11CE" w:rsidP="001E11CE">
      <w:pPr>
        <w:pStyle w:val="Recuodecorpodetexto"/>
        <w:widowControl/>
        <w:autoSpaceDE w:val="0"/>
        <w:autoSpaceDN w:val="0"/>
        <w:ind w:left="0"/>
        <w:rPr>
          <w:rFonts w:ascii="Calibri" w:hAnsi="Calibri" w:cs="Calibri"/>
          <w:szCs w:val="24"/>
        </w:rPr>
      </w:pPr>
      <w:r w:rsidRPr="00312424">
        <w:rPr>
          <w:rFonts w:ascii="Calibri" w:hAnsi="Calibri" w:cs="Calibri"/>
          <w:b/>
          <w:szCs w:val="24"/>
        </w:rPr>
        <w:t xml:space="preserve">Bloqueios em </w:t>
      </w:r>
      <w:r>
        <w:rPr>
          <w:rFonts w:ascii="Calibri" w:hAnsi="Calibri" w:cs="Calibri"/>
          <w:b/>
          <w:szCs w:val="24"/>
          <w:lang w:val="pt-BR"/>
        </w:rPr>
        <w:t xml:space="preserve">Conta </w:t>
      </w:r>
      <w:r w:rsidRPr="00312424">
        <w:rPr>
          <w:rFonts w:ascii="Calibri" w:hAnsi="Calibri" w:cs="Calibri"/>
          <w:b/>
          <w:szCs w:val="24"/>
        </w:rPr>
        <w:t xml:space="preserve">Corrente </w:t>
      </w:r>
      <w:r w:rsidRPr="00312424">
        <w:rPr>
          <w:rFonts w:ascii="Calibri" w:hAnsi="Calibri" w:cs="Calibri"/>
          <w:szCs w:val="24"/>
          <w:lang w:val="pt-BR"/>
        </w:rPr>
        <w:t xml:space="preserve"> </w:t>
      </w:r>
      <w:r>
        <w:rPr>
          <w:rFonts w:ascii="Calibri" w:hAnsi="Calibri" w:cs="Calibri"/>
          <w:szCs w:val="24"/>
          <w:lang w:val="pt-BR"/>
        </w:rPr>
        <w:t xml:space="preserve">são relativos a </w:t>
      </w:r>
      <w:r w:rsidRPr="00312424">
        <w:rPr>
          <w:rFonts w:ascii="Calibri" w:hAnsi="Calibri" w:cs="Calibri"/>
          <w:szCs w:val="24"/>
          <w:lang w:val="pt-BR"/>
        </w:rPr>
        <w:t>diversas ações trabalhistas</w:t>
      </w:r>
      <w:r w:rsidR="00333F79">
        <w:rPr>
          <w:rFonts w:ascii="Calibri" w:hAnsi="Calibri" w:cs="Calibri"/>
          <w:szCs w:val="24"/>
          <w:lang w:val="pt-BR"/>
        </w:rPr>
        <w:t>,</w:t>
      </w:r>
      <w:r>
        <w:rPr>
          <w:rFonts w:ascii="Calibri" w:hAnsi="Calibri" w:cs="Calibri"/>
          <w:szCs w:val="24"/>
          <w:lang w:val="pt-BR"/>
        </w:rPr>
        <w:t xml:space="preserve"> cíveis</w:t>
      </w:r>
      <w:r w:rsidR="00333F79">
        <w:rPr>
          <w:rFonts w:ascii="Calibri" w:hAnsi="Calibri" w:cs="Calibri"/>
          <w:szCs w:val="24"/>
          <w:lang w:val="pt-BR"/>
        </w:rPr>
        <w:t xml:space="preserve"> e tributárias</w:t>
      </w:r>
      <w:r>
        <w:rPr>
          <w:rFonts w:ascii="Calibri" w:hAnsi="Calibri" w:cs="Calibri"/>
          <w:szCs w:val="24"/>
          <w:lang w:val="pt-BR"/>
        </w:rPr>
        <w:t xml:space="preserve">, </w:t>
      </w:r>
      <w:r w:rsidRPr="00312424">
        <w:rPr>
          <w:rFonts w:ascii="Calibri" w:hAnsi="Calibri" w:cs="Calibri"/>
          <w:szCs w:val="24"/>
          <w:lang w:val="pt-BR"/>
        </w:rPr>
        <w:t>c</w:t>
      </w:r>
      <w:r>
        <w:rPr>
          <w:rFonts w:ascii="Calibri" w:hAnsi="Calibri" w:cs="Calibri"/>
          <w:szCs w:val="24"/>
          <w:lang w:val="pt-BR"/>
        </w:rPr>
        <w:t>om pedido de penhora judicial em conta bancária.</w:t>
      </w:r>
    </w:p>
    <w:p w:rsidR="001E11CE" w:rsidRPr="00312424" w:rsidRDefault="001E11CE" w:rsidP="00C16DDB">
      <w:pPr>
        <w:jc w:val="both"/>
        <w:rPr>
          <w:rFonts w:ascii="Calibri" w:hAnsi="Calibri" w:cs="Calibri"/>
          <w:b/>
          <w:sz w:val="24"/>
          <w:szCs w:val="24"/>
        </w:rPr>
      </w:pPr>
    </w:p>
    <w:p w:rsidR="00333F79" w:rsidRDefault="001E11CE" w:rsidP="00C16DDB">
      <w:pPr>
        <w:jc w:val="both"/>
        <w:rPr>
          <w:rFonts w:ascii="Calibri" w:hAnsi="Calibri" w:cs="Calibri"/>
          <w:sz w:val="24"/>
          <w:szCs w:val="24"/>
        </w:rPr>
      </w:pPr>
      <w:r w:rsidRPr="001E11CE">
        <w:rPr>
          <w:rFonts w:ascii="Calibri" w:hAnsi="Calibri" w:cs="Calibri"/>
          <w:b/>
          <w:sz w:val="24"/>
          <w:szCs w:val="24"/>
        </w:rPr>
        <w:t xml:space="preserve">Bloqueios nas Ações do </w:t>
      </w:r>
      <w:r w:rsidR="00C16DDB" w:rsidRPr="00312424">
        <w:rPr>
          <w:rFonts w:ascii="Calibri" w:hAnsi="Calibri" w:cs="Calibri"/>
          <w:b/>
          <w:i/>
          <w:sz w:val="24"/>
          <w:szCs w:val="24"/>
        </w:rPr>
        <w:t>Leasing</w:t>
      </w:r>
      <w:r w:rsidR="00C16DDB" w:rsidRPr="00312424">
        <w:rPr>
          <w:rFonts w:ascii="Calibri" w:hAnsi="Calibri" w:cs="Calibri"/>
          <w:b/>
          <w:sz w:val="24"/>
          <w:szCs w:val="24"/>
        </w:rPr>
        <w:t xml:space="preserve"> </w:t>
      </w:r>
      <w:proofErr w:type="spellStart"/>
      <w:r w:rsidR="00C16DDB" w:rsidRPr="00312424">
        <w:rPr>
          <w:rFonts w:ascii="Calibri" w:hAnsi="Calibri" w:cs="Calibri"/>
          <w:b/>
          <w:sz w:val="24"/>
          <w:szCs w:val="24"/>
        </w:rPr>
        <w:t>Portobrás</w:t>
      </w:r>
      <w:proofErr w:type="spellEnd"/>
      <w:r w:rsidR="00C16DDB" w:rsidRPr="00312424">
        <w:rPr>
          <w:rFonts w:ascii="Calibri" w:hAnsi="Calibri" w:cs="Calibri"/>
          <w:b/>
          <w:sz w:val="24"/>
          <w:szCs w:val="24"/>
        </w:rPr>
        <w:t xml:space="preserve"> </w:t>
      </w:r>
      <w:r>
        <w:rPr>
          <w:rFonts w:ascii="Calibri" w:hAnsi="Calibri" w:cs="Calibri"/>
          <w:sz w:val="24"/>
          <w:szCs w:val="24"/>
        </w:rPr>
        <w:t>são penhoras na</w:t>
      </w:r>
      <w:r w:rsidR="00C16DDB" w:rsidRPr="00312424">
        <w:rPr>
          <w:rFonts w:ascii="Calibri" w:hAnsi="Calibri" w:cs="Calibri"/>
          <w:sz w:val="24"/>
          <w:szCs w:val="24"/>
        </w:rPr>
        <w:t xml:space="preserve"> receita </w:t>
      </w:r>
      <w:r>
        <w:rPr>
          <w:rFonts w:ascii="Calibri" w:hAnsi="Calibri" w:cs="Calibri"/>
          <w:sz w:val="24"/>
          <w:szCs w:val="24"/>
        </w:rPr>
        <w:t xml:space="preserve">da CDRJ </w:t>
      </w:r>
      <w:r w:rsidR="00C16DDB" w:rsidRPr="00312424">
        <w:rPr>
          <w:rFonts w:ascii="Calibri" w:hAnsi="Calibri" w:cs="Calibri"/>
          <w:sz w:val="24"/>
          <w:szCs w:val="24"/>
        </w:rPr>
        <w:t xml:space="preserve">para garantia dos </w:t>
      </w:r>
      <w:r w:rsidR="00333F79">
        <w:rPr>
          <w:rFonts w:ascii="Calibri" w:hAnsi="Calibri" w:cs="Calibri"/>
          <w:sz w:val="24"/>
          <w:szCs w:val="24"/>
        </w:rPr>
        <w:t xml:space="preserve">seguintes </w:t>
      </w:r>
      <w:r w:rsidR="00C16DDB" w:rsidRPr="00312424">
        <w:rPr>
          <w:rFonts w:ascii="Calibri" w:hAnsi="Calibri" w:cs="Calibri"/>
          <w:sz w:val="24"/>
          <w:szCs w:val="24"/>
        </w:rPr>
        <w:t>processos</w:t>
      </w:r>
      <w:r w:rsidR="00333F79">
        <w:rPr>
          <w:rFonts w:ascii="Calibri" w:hAnsi="Calibri" w:cs="Calibri"/>
          <w:sz w:val="24"/>
          <w:szCs w:val="24"/>
        </w:rPr>
        <w:t>:</w:t>
      </w:r>
      <w:r w:rsidR="00E64364">
        <w:rPr>
          <w:rFonts w:ascii="Calibri" w:hAnsi="Calibri" w:cs="Calibri"/>
          <w:sz w:val="24"/>
          <w:szCs w:val="24"/>
        </w:rPr>
        <w:tab/>
      </w:r>
    </w:p>
    <w:p w:rsidR="00333F79" w:rsidRDefault="003E36CA" w:rsidP="00C16DDB">
      <w:pPr>
        <w:jc w:val="both"/>
        <w:rPr>
          <w:rFonts w:ascii="Calibri" w:hAnsi="Calibri" w:cs="Calibri"/>
          <w:sz w:val="24"/>
          <w:szCs w:val="24"/>
        </w:rPr>
      </w:pPr>
      <w:r>
        <w:rPr>
          <w:rFonts w:ascii="Calibri" w:hAnsi="Calibri" w:cs="Calibri"/>
          <w:sz w:val="24"/>
          <w:szCs w:val="24"/>
        </w:rPr>
        <w:t>0190316-36.1998.8.19.0001 – 11ª Vara Cível do Rio de Janeiro</w:t>
      </w:r>
    </w:p>
    <w:p w:rsidR="003E36CA" w:rsidRDefault="003E36CA" w:rsidP="00C16DDB">
      <w:pPr>
        <w:jc w:val="both"/>
        <w:rPr>
          <w:rFonts w:ascii="Calibri" w:hAnsi="Calibri" w:cs="Calibri"/>
          <w:sz w:val="24"/>
          <w:szCs w:val="24"/>
        </w:rPr>
      </w:pPr>
      <w:r>
        <w:rPr>
          <w:rFonts w:ascii="Calibri" w:hAnsi="Calibri" w:cs="Calibri"/>
          <w:sz w:val="24"/>
          <w:szCs w:val="24"/>
        </w:rPr>
        <w:t>0102697-82.2009.8.19.0001 – 19ª Vara Cível do Rio de Janeiro</w:t>
      </w:r>
    </w:p>
    <w:p w:rsidR="003E36CA" w:rsidRDefault="003E36CA" w:rsidP="00C16DDB">
      <w:pPr>
        <w:jc w:val="both"/>
        <w:rPr>
          <w:rFonts w:ascii="Calibri" w:hAnsi="Calibri" w:cs="Calibri"/>
          <w:sz w:val="24"/>
          <w:szCs w:val="24"/>
        </w:rPr>
      </w:pPr>
      <w:r>
        <w:rPr>
          <w:rFonts w:ascii="Calibri" w:hAnsi="Calibri" w:cs="Calibri"/>
          <w:sz w:val="24"/>
          <w:szCs w:val="24"/>
        </w:rPr>
        <w:t>0044608-27.1994.4.02.5101 – 3ª Vara Federal da Seção Judiciária do Rio de Janeiro</w:t>
      </w:r>
    </w:p>
    <w:p w:rsidR="003E36CA" w:rsidRDefault="003E36CA" w:rsidP="00C16DDB">
      <w:pPr>
        <w:jc w:val="both"/>
        <w:rPr>
          <w:rFonts w:ascii="Calibri" w:hAnsi="Calibri" w:cs="Calibri"/>
          <w:sz w:val="24"/>
          <w:szCs w:val="24"/>
        </w:rPr>
      </w:pPr>
      <w:r>
        <w:rPr>
          <w:rFonts w:ascii="Calibri" w:hAnsi="Calibri" w:cs="Calibri"/>
          <w:sz w:val="24"/>
          <w:szCs w:val="24"/>
        </w:rPr>
        <w:t>0005985-83.1997.4.02.5101 – 3ª Vara Federal da Seção Judiciária do Rio de Janeiro</w:t>
      </w:r>
    </w:p>
    <w:p w:rsidR="00E64364" w:rsidRDefault="00E64364" w:rsidP="00C16DDB">
      <w:pPr>
        <w:jc w:val="both"/>
        <w:rPr>
          <w:rFonts w:ascii="Calibri" w:hAnsi="Calibri" w:cs="Calibri"/>
          <w:sz w:val="24"/>
          <w:szCs w:val="24"/>
        </w:rPr>
      </w:pPr>
    </w:p>
    <w:p w:rsidR="00994937" w:rsidRPr="00312424" w:rsidRDefault="00994937" w:rsidP="00994937">
      <w:pPr>
        <w:pStyle w:val="Recuodecorpodetexto"/>
        <w:widowControl/>
        <w:autoSpaceDE w:val="0"/>
        <w:autoSpaceDN w:val="0"/>
        <w:ind w:left="0"/>
        <w:rPr>
          <w:rFonts w:ascii="Calibri" w:hAnsi="Calibri" w:cs="Calibri"/>
          <w:szCs w:val="24"/>
        </w:rPr>
      </w:pPr>
      <w:r>
        <w:rPr>
          <w:rFonts w:ascii="Calibri" w:hAnsi="Calibri" w:cs="Calibri"/>
          <w:b/>
          <w:szCs w:val="24"/>
          <w:lang w:val="pt-BR"/>
        </w:rPr>
        <w:lastRenderedPageBreak/>
        <w:t>Recursos Judiciais</w:t>
      </w:r>
      <w:r w:rsidRPr="00312424">
        <w:rPr>
          <w:rFonts w:ascii="Calibri" w:hAnsi="Calibri" w:cs="Calibri"/>
          <w:b/>
          <w:szCs w:val="24"/>
        </w:rPr>
        <w:t xml:space="preserve"> </w:t>
      </w:r>
      <w:r w:rsidRPr="00994937">
        <w:rPr>
          <w:rFonts w:ascii="Calibri" w:hAnsi="Calibri" w:cs="Calibri"/>
          <w:szCs w:val="24"/>
          <w:lang w:val="pt-BR"/>
        </w:rPr>
        <w:t>registra</w:t>
      </w:r>
      <w:r w:rsidRPr="00312424">
        <w:rPr>
          <w:rFonts w:ascii="Calibri" w:hAnsi="Calibri" w:cs="Calibri"/>
          <w:szCs w:val="24"/>
          <w:lang w:val="pt-BR"/>
        </w:rPr>
        <w:t xml:space="preserve"> </w:t>
      </w:r>
      <w:r>
        <w:rPr>
          <w:rFonts w:ascii="Calibri" w:hAnsi="Calibri" w:cs="Calibri"/>
          <w:szCs w:val="24"/>
          <w:lang w:val="pt-BR"/>
        </w:rPr>
        <w:t xml:space="preserve">os pagamentos de interposição de recursos </w:t>
      </w:r>
      <w:r w:rsidR="008A2B39">
        <w:rPr>
          <w:rFonts w:ascii="Calibri" w:hAnsi="Calibri" w:cs="Calibri"/>
          <w:szCs w:val="24"/>
          <w:lang w:val="pt-BR"/>
        </w:rPr>
        <w:t>ordinários, embargos de declaração, recurso de revista</w:t>
      </w:r>
      <w:r w:rsidR="00D014D7">
        <w:rPr>
          <w:rFonts w:ascii="Calibri" w:hAnsi="Calibri" w:cs="Calibri"/>
          <w:szCs w:val="24"/>
          <w:lang w:val="pt-BR"/>
        </w:rPr>
        <w:t>,</w:t>
      </w:r>
      <w:r>
        <w:rPr>
          <w:rFonts w:ascii="Calibri" w:hAnsi="Calibri" w:cs="Calibri"/>
          <w:szCs w:val="24"/>
          <w:lang w:val="pt-BR"/>
        </w:rPr>
        <w:t xml:space="preserve"> agravo</w:t>
      </w:r>
      <w:r w:rsidR="00D014D7">
        <w:rPr>
          <w:rFonts w:ascii="Calibri" w:hAnsi="Calibri" w:cs="Calibri"/>
          <w:szCs w:val="24"/>
          <w:lang w:val="pt-BR"/>
        </w:rPr>
        <w:t xml:space="preserve"> de instrumento</w:t>
      </w:r>
      <w:r w:rsidR="00A662AB">
        <w:rPr>
          <w:rFonts w:ascii="Calibri" w:hAnsi="Calibri" w:cs="Calibri"/>
          <w:szCs w:val="24"/>
          <w:lang w:val="pt-BR"/>
        </w:rPr>
        <w:t>, agravo interno</w:t>
      </w:r>
      <w:r w:rsidR="00D014D7">
        <w:rPr>
          <w:rFonts w:ascii="Calibri" w:hAnsi="Calibri" w:cs="Calibri"/>
          <w:szCs w:val="24"/>
          <w:lang w:val="pt-BR"/>
        </w:rPr>
        <w:t xml:space="preserve"> e demais medidas jurídicas</w:t>
      </w:r>
      <w:r w:rsidR="005668D8">
        <w:rPr>
          <w:rFonts w:ascii="Calibri" w:hAnsi="Calibri" w:cs="Calibri"/>
          <w:szCs w:val="24"/>
          <w:lang w:val="pt-BR"/>
        </w:rPr>
        <w:t xml:space="preserve"> de interesse da CDRJ.</w:t>
      </w:r>
    </w:p>
    <w:p w:rsidR="000831FD" w:rsidRDefault="000831FD" w:rsidP="00C16DDB">
      <w:pPr>
        <w:jc w:val="both"/>
        <w:rPr>
          <w:rFonts w:ascii="Calibri" w:hAnsi="Calibri" w:cs="Calibri"/>
          <w:b/>
          <w:sz w:val="24"/>
          <w:szCs w:val="24"/>
        </w:rPr>
      </w:pPr>
    </w:p>
    <w:p w:rsidR="000831FD" w:rsidRDefault="000831FD" w:rsidP="00C16DDB">
      <w:pPr>
        <w:jc w:val="both"/>
        <w:rPr>
          <w:rFonts w:ascii="Calibri" w:hAnsi="Calibri" w:cs="Calibri"/>
          <w:b/>
          <w:sz w:val="24"/>
          <w:szCs w:val="24"/>
        </w:rPr>
      </w:pPr>
    </w:p>
    <w:p w:rsidR="007A2507" w:rsidRPr="00312424" w:rsidRDefault="0043773C" w:rsidP="007A2507">
      <w:pPr>
        <w:pStyle w:val="Recuodecorpodetexto"/>
        <w:widowControl/>
        <w:autoSpaceDE w:val="0"/>
        <w:autoSpaceDN w:val="0"/>
        <w:ind w:left="0"/>
        <w:rPr>
          <w:rFonts w:ascii="Calibri" w:hAnsi="Calibri" w:cs="Calibri"/>
          <w:b/>
          <w:szCs w:val="24"/>
          <w:u w:val="single"/>
          <w:lang w:val="pt-BR"/>
        </w:rPr>
      </w:pPr>
      <w:r>
        <w:rPr>
          <w:rFonts w:ascii="Calibri" w:hAnsi="Calibri" w:cs="Calibri"/>
          <w:b/>
          <w:szCs w:val="24"/>
          <w:lang w:val="pt-BR"/>
        </w:rPr>
        <w:t>12</w:t>
      </w:r>
      <w:r w:rsidR="007A2507" w:rsidRPr="00312424">
        <w:rPr>
          <w:rFonts w:ascii="Calibri" w:hAnsi="Calibri" w:cs="Calibri"/>
          <w:b/>
          <w:szCs w:val="24"/>
          <w:lang w:val="pt-BR"/>
        </w:rPr>
        <w:t xml:space="preserve"> </w:t>
      </w:r>
      <w:r w:rsidR="007A2507" w:rsidRPr="00312424">
        <w:rPr>
          <w:rFonts w:ascii="Calibri" w:hAnsi="Calibri" w:cs="Calibri"/>
          <w:b/>
          <w:szCs w:val="24"/>
        </w:rPr>
        <w:t xml:space="preserve">– </w:t>
      </w:r>
      <w:r w:rsidR="007A2507">
        <w:rPr>
          <w:rFonts w:ascii="Calibri" w:hAnsi="Calibri" w:cs="Calibri"/>
          <w:b/>
          <w:szCs w:val="24"/>
          <w:u w:val="single"/>
          <w:lang w:val="pt-BR"/>
        </w:rPr>
        <w:t>PROPRIEDADES PARA INVESTIMENTOS</w:t>
      </w:r>
    </w:p>
    <w:p w:rsidR="007A2507" w:rsidRDefault="007A2507" w:rsidP="007A2507">
      <w:pPr>
        <w:pStyle w:val="Recuodecorpodetexto"/>
        <w:widowControl/>
        <w:autoSpaceDE w:val="0"/>
        <w:autoSpaceDN w:val="0"/>
        <w:ind w:left="0"/>
        <w:rPr>
          <w:rFonts w:ascii="Calibri" w:hAnsi="Calibri" w:cs="Calibri"/>
          <w:b/>
          <w:szCs w:val="24"/>
          <w:u w:val="single"/>
          <w:lang w:val="pt-BR"/>
        </w:rPr>
      </w:pPr>
    </w:p>
    <w:p w:rsidR="00085185" w:rsidRDefault="0012521A" w:rsidP="007A2507">
      <w:pPr>
        <w:pStyle w:val="Recuodecorpodetexto"/>
        <w:widowControl/>
        <w:autoSpaceDE w:val="0"/>
        <w:autoSpaceDN w:val="0"/>
        <w:ind w:left="0"/>
        <w:rPr>
          <w:rFonts w:ascii="Calibri" w:hAnsi="Calibri" w:cs="Calibri"/>
          <w:szCs w:val="24"/>
          <w:lang w:val="pt-BR"/>
        </w:rPr>
      </w:pPr>
      <w:r>
        <w:rPr>
          <w:rFonts w:ascii="Calibri" w:hAnsi="Calibri" w:cs="Calibri"/>
          <w:szCs w:val="24"/>
          <w:lang w:val="pt-BR"/>
        </w:rPr>
        <w:t>Trata-se de 75 (setenta e cinco) imóveis externos (Edificações e Terrenos)</w:t>
      </w:r>
      <w:r w:rsidR="00085185">
        <w:rPr>
          <w:rFonts w:ascii="Calibri" w:hAnsi="Calibri" w:cs="Calibri"/>
          <w:szCs w:val="24"/>
          <w:lang w:val="pt-BR"/>
        </w:rPr>
        <w:t xml:space="preserve"> de propriedade da CDRJ,</w:t>
      </w:r>
      <w:r>
        <w:rPr>
          <w:rFonts w:ascii="Calibri" w:hAnsi="Calibri" w:cs="Calibri"/>
          <w:szCs w:val="24"/>
          <w:lang w:val="pt-BR"/>
        </w:rPr>
        <w:t xml:space="preserve"> mantidos para auferir aluguel ou para valorização de capital ou para ambas, registrados pelo valor de aquisição (custo histórico)</w:t>
      </w:r>
      <w:r w:rsidR="00061761">
        <w:rPr>
          <w:rFonts w:ascii="Calibri" w:hAnsi="Calibri" w:cs="Calibri"/>
          <w:szCs w:val="24"/>
          <w:lang w:val="pt-BR"/>
        </w:rPr>
        <w:t xml:space="preserve">. </w:t>
      </w:r>
    </w:p>
    <w:p w:rsidR="00085185" w:rsidRDefault="00085185" w:rsidP="007A2507">
      <w:pPr>
        <w:pStyle w:val="Recuodecorpodetexto"/>
        <w:widowControl/>
        <w:autoSpaceDE w:val="0"/>
        <w:autoSpaceDN w:val="0"/>
        <w:ind w:left="0"/>
        <w:rPr>
          <w:rFonts w:ascii="Calibri" w:hAnsi="Calibri" w:cs="Calibri"/>
          <w:szCs w:val="24"/>
          <w:lang w:val="pt-BR"/>
        </w:rPr>
      </w:pPr>
    </w:p>
    <w:p w:rsidR="007A2507" w:rsidRDefault="00061761" w:rsidP="007A2507">
      <w:pPr>
        <w:pStyle w:val="Recuodecorpodetexto"/>
        <w:widowControl/>
        <w:autoSpaceDE w:val="0"/>
        <w:autoSpaceDN w:val="0"/>
        <w:ind w:left="0"/>
        <w:rPr>
          <w:rFonts w:ascii="Calibri" w:hAnsi="Calibri" w:cs="Calibri"/>
          <w:szCs w:val="24"/>
          <w:lang w:val="pt-BR"/>
        </w:rPr>
      </w:pPr>
      <w:r>
        <w:rPr>
          <w:rFonts w:ascii="Calibri" w:hAnsi="Calibri" w:cs="Calibri"/>
          <w:szCs w:val="24"/>
          <w:lang w:val="pt-BR"/>
        </w:rPr>
        <w:t xml:space="preserve">Segundo laudo de determinação de valor de mercado, realizado pela empresa </w:t>
      </w:r>
      <w:proofErr w:type="spellStart"/>
      <w:r>
        <w:rPr>
          <w:rFonts w:ascii="Calibri" w:hAnsi="Calibri" w:cs="Calibri"/>
          <w:szCs w:val="24"/>
          <w:lang w:val="pt-BR"/>
        </w:rPr>
        <w:t>Convergy</w:t>
      </w:r>
      <w:proofErr w:type="spellEnd"/>
      <w:r>
        <w:rPr>
          <w:rFonts w:ascii="Calibri" w:hAnsi="Calibri" w:cs="Calibri"/>
          <w:szCs w:val="24"/>
          <w:lang w:val="pt-BR"/>
        </w:rPr>
        <w:t xml:space="preserve"> Serviços e Contabilidade Ltda., observados os métodos de análise e de avaliação empregados, com considerações feitas aos bens em estudo quanto às suas características, estado de conservação e manutenção, os imóveis registrados em Propriedade para Investimentos foram avaliados em R$ 547.499 mil.</w:t>
      </w:r>
    </w:p>
    <w:p w:rsidR="00994937" w:rsidRDefault="00994937" w:rsidP="00C16DDB">
      <w:pPr>
        <w:jc w:val="both"/>
        <w:rPr>
          <w:rFonts w:ascii="Calibri" w:hAnsi="Calibri" w:cs="Calibri"/>
          <w:b/>
          <w:color w:val="FF0000"/>
          <w:sz w:val="24"/>
          <w:szCs w:val="24"/>
        </w:rPr>
      </w:pPr>
    </w:p>
    <w:p w:rsidR="00085185" w:rsidRPr="00DB7CEF" w:rsidRDefault="00085185" w:rsidP="00C16DDB">
      <w:pPr>
        <w:jc w:val="both"/>
        <w:rPr>
          <w:rFonts w:ascii="Calibri" w:hAnsi="Calibri" w:cs="Calibri"/>
          <w:b/>
          <w:color w:val="FF0000"/>
          <w:sz w:val="24"/>
          <w:szCs w:val="24"/>
        </w:rPr>
      </w:pPr>
    </w:p>
    <w:p w:rsidR="00C16DDB" w:rsidRPr="00312424" w:rsidRDefault="0043773C" w:rsidP="00C16DDB">
      <w:pPr>
        <w:jc w:val="both"/>
        <w:rPr>
          <w:rFonts w:ascii="Calibri" w:hAnsi="Calibri" w:cs="Calibri"/>
          <w:b/>
          <w:sz w:val="24"/>
          <w:szCs w:val="24"/>
        </w:rPr>
      </w:pPr>
      <w:r>
        <w:rPr>
          <w:rFonts w:ascii="Calibri" w:hAnsi="Calibri" w:cs="Calibri"/>
          <w:b/>
          <w:sz w:val="24"/>
          <w:szCs w:val="24"/>
        </w:rPr>
        <w:t>13</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IMOBILIZADO</w:t>
      </w:r>
    </w:p>
    <w:p w:rsidR="00C16DDB" w:rsidRPr="00312424" w:rsidRDefault="00C16DDB" w:rsidP="00C16DDB">
      <w:pPr>
        <w:jc w:val="both"/>
        <w:rPr>
          <w:rFonts w:ascii="Calibri" w:hAnsi="Calibri" w:cs="Calibri"/>
          <w:b/>
          <w:sz w:val="24"/>
          <w:szCs w:val="24"/>
          <w:u w:val="single"/>
        </w:rPr>
      </w:pPr>
    </w:p>
    <w:p w:rsidR="00C16DDB" w:rsidRPr="00312424" w:rsidRDefault="00C16DDB" w:rsidP="00C16DDB">
      <w:pPr>
        <w:jc w:val="both"/>
        <w:rPr>
          <w:rFonts w:ascii="Calibri" w:hAnsi="Calibri" w:cs="Calibri"/>
          <w:sz w:val="24"/>
          <w:szCs w:val="24"/>
        </w:rPr>
      </w:pPr>
      <w:r w:rsidRPr="00312424">
        <w:rPr>
          <w:rFonts w:ascii="Calibri" w:hAnsi="Calibri" w:cs="Calibri"/>
          <w:sz w:val="24"/>
          <w:szCs w:val="24"/>
        </w:rPr>
        <w:t xml:space="preserve">O </w:t>
      </w:r>
      <w:r w:rsidR="00DA6CEE">
        <w:rPr>
          <w:rFonts w:ascii="Calibri" w:hAnsi="Calibri" w:cs="Calibri"/>
          <w:sz w:val="24"/>
          <w:szCs w:val="24"/>
        </w:rPr>
        <w:t xml:space="preserve">ativo </w:t>
      </w:r>
      <w:r w:rsidRPr="00312424">
        <w:rPr>
          <w:rFonts w:ascii="Calibri" w:hAnsi="Calibri" w:cs="Calibri"/>
          <w:sz w:val="24"/>
          <w:szCs w:val="24"/>
        </w:rPr>
        <w:t>imobilizado</w:t>
      </w:r>
      <w:r w:rsidR="00DA6CEE">
        <w:rPr>
          <w:rFonts w:ascii="Calibri" w:hAnsi="Calibri" w:cs="Calibri"/>
          <w:sz w:val="24"/>
          <w:szCs w:val="24"/>
        </w:rPr>
        <w:t xml:space="preserve"> </w:t>
      </w:r>
      <w:r w:rsidRPr="00312424">
        <w:rPr>
          <w:rFonts w:ascii="Calibri" w:hAnsi="Calibri" w:cs="Calibri"/>
          <w:sz w:val="24"/>
          <w:szCs w:val="24"/>
        </w:rPr>
        <w:t>está assim composto:</w:t>
      </w:r>
    </w:p>
    <w:p w:rsidR="00C16DDB" w:rsidRDefault="00C16DDB" w:rsidP="00C16DDB">
      <w:pPr>
        <w:jc w:val="both"/>
        <w:rPr>
          <w:rFonts w:ascii="Calibri" w:hAnsi="Calibri" w:cs="Calibri"/>
          <w:b/>
          <w:sz w:val="24"/>
          <w:szCs w:val="24"/>
        </w:rPr>
      </w:pPr>
    </w:p>
    <w:tbl>
      <w:tblPr>
        <w:tblW w:w="9900" w:type="dxa"/>
        <w:tblCellMar>
          <w:left w:w="70" w:type="dxa"/>
          <w:right w:w="70" w:type="dxa"/>
        </w:tblCellMar>
        <w:tblLook w:val="04A0" w:firstRow="1" w:lastRow="0" w:firstColumn="1" w:lastColumn="0" w:noHBand="0" w:noVBand="1"/>
      </w:tblPr>
      <w:tblGrid>
        <w:gridCol w:w="2860"/>
        <w:gridCol w:w="1760"/>
        <w:gridCol w:w="1760"/>
        <w:gridCol w:w="1760"/>
        <w:gridCol w:w="1760"/>
      </w:tblGrid>
      <w:tr w:rsidR="002E7F4A" w:rsidRPr="002E7F4A" w:rsidTr="00697525">
        <w:trPr>
          <w:trHeight w:val="284"/>
        </w:trPr>
        <w:tc>
          <w:tcPr>
            <w:tcW w:w="2860" w:type="dxa"/>
            <w:tcBorders>
              <w:top w:val="nil"/>
              <w:left w:val="nil"/>
              <w:bottom w:val="nil"/>
              <w:right w:val="single" w:sz="4" w:space="0" w:color="auto"/>
            </w:tcBorders>
            <w:shd w:val="clear" w:color="auto" w:fill="auto"/>
            <w:noWrap/>
            <w:vAlign w:val="bottom"/>
            <w:hideMark/>
          </w:tcPr>
          <w:p w:rsidR="002E7F4A" w:rsidRPr="002E7F4A" w:rsidRDefault="002E7F4A" w:rsidP="002E7F4A">
            <w:pPr>
              <w:widowControl/>
              <w:rPr>
                <w:rFonts w:ascii="Calibri" w:hAnsi="Calibri" w:cs="Calibri"/>
                <w:snapToGrid/>
                <w:color w:val="000000"/>
                <w:sz w:val="24"/>
                <w:szCs w:val="24"/>
              </w:rPr>
            </w:pP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7F4A" w:rsidRPr="002E7F4A" w:rsidRDefault="002E7F4A" w:rsidP="002E7F4A">
            <w:pPr>
              <w:widowControl/>
              <w:jc w:val="center"/>
              <w:rPr>
                <w:rFonts w:ascii="Calibri" w:hAnsi="Calibri" w:cs="Calibri"/>
                <w:b/>
                <w:bCs/>
                <w:snapToGrid/>
                <w:color w:val="000000"/>
                <w:sz w:val="24"/>
                <w:szCs w:val="24"/>
              </w:rPr>
            </w:pPr>
            <w:r w:rsidRPr="002E7F4A">
              <w:rPr>
                <w:rFonts w:ascii="Calibri" w:hAnsi="Calibri" w:cs="Calibri"/>
                <w:b/>
                <w:bCs/>
                <w:snapToGrid/>
                <w:color w:val="000000"/>
                <w:sz w:val="24"/>
                <w:szCs w:val="24"/>
              </w:rPr>
              <w:t>Custo</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7F4A" w:rsidRPr="002E7F4A" w:rsidRDefault="002E7F4A" w:rsidP="002E7F4A">
            <w:pPr>
              <w:widowControl/>
              <w:jc w:val="center"/>
              <w:rPr>
                <w:rFonts w:ascii="Calibri" w:hAnsi="Calibri" w:cs="Calibri"/>
                <w:b/>
                <w:bCs/>
                <w:snapToGrid/>
                <w:color w:val="000000"/>
                <w:sz w:val="24"/>
                <w:szCs w:val="24"/>
              </w:rPr>
            </w:pPr>
            <w:r w:rsidRPr="002E7F4A">
              <w:rPr>
                <w:rFonts w:ascii="Calibri" w:hAnsi="Calibri" w:cs="Calibri"/>
                <w:b/>
                <w:bCs/>
                <w:snapToGrid/>
                <w:color w:val="000000"/>
                <w:sz w:val="24"/>
                <w:szCs w:val="24"/>
              </w:rPr>
              <w:t>Depreciação Acumulada</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7F4A" w:rsidRPr="002E7F4A" w:rsidRDefault="002E7F4A" w:rsidP="00515C1D">
            <w:pPr>
              <w:widowControl/>
              <w:jc w:val="center"/>
              <w:rPr>
                <w:rFonts w:ascii="Calibri" w:hAnsi="Calibri" w:cs="Calibri"/>
                <w:b/>
                <w:bCs/>
                <w:snapToGrid/>
                <w:color w:val="000000"/>
                <w:sz w:val="24"/>
                <w:szCs w:val="24"/>
              </w:rPr>
            </w:pPr>
            <w:r w:rsidRPr="002E7F4A">
              <w:rPr>
                <w:rFonts w:ascii="Calibri" w:hAnsi="Calibri" w:cs="Calibri"/>
                <w:b/>
                <w:bCs/>
                <w:snapToGrid/>
                <w:color w:val="000000"/>
                <w:sz w:val="24"/>
                <w:szCs w:val="24"/>
              </w:rPr>
              <w:t xml:space="preserve">Líquido </w:t>
            </w:r>
            <w:r w:rsidR="00D0760C">
              <w:rPr>
                <w:rFonts w:ascii="Calibri" w:hAnsi="Calibri" w:cs="Calibri"/>
                <w:b/>
                <w:bCs/>
                <w:snapToGrid/>
                <w:color w:val="000000"/>
                <w:sz w:val="24"/>
                <w:szCs w:val="24"/>
              </w:rPr>
              <w:t>31/12/2019</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7F4A" w:rsidRPr="002E7F4A" w:rsidRDefault="00C068C1" w:rsidP="002E7F4A">
            <w:pPr>
              <w:widowControl/>
              <w:jc w:val="center"/>
              <w:rPr>
                <w:rFonts w:ascii="Calibri" w:hAnsi="Calibri" w:cs="Calibri"/>
                <w:b/>
                <w:bCs/>
                <w:snapToGrid/>
                <w:color w:val="000000"/>
                <w:sz w:val="24"/>
                <w:szCs w:val="24"/>
              </w:rPr>
            </w:pPr>
            <w:r w:rsidRPr="002E7F4A">
              <w:rPr>
                <w:rFonts w:ascii="Calibri" w:hAnsi="Calibri" w:cs="Calibri"/>
                <w:b/>
                <w:bCs/>
                <w:snapToGrid/>
                <w:color w:val="000000"/>
                <w:sz w:val="24"/>
                <w:szCs w:val="24"/>
              </w:rPr>
              <w:t>Líquido 31/12/2018</w:t>
            </w:r>
          </w:p>
        </w:tc>
      </w:tr>
      <w:tr w:rsidR="002E7F4A" w:rsidRPr="002E7F4A" w:rsidTr="00697525">
        <w:trPr>
          <w:trHeight w:val="284"/>
        </w:trPr>
        <w:tc>
          <w:tcPr>
            <w:tcW w:w="2860" w:type="dxa"/>
            <w:tcBorders>
              <w:top w:val="nil"/>
              <w:left w:val="nil"/>
              <w:bottom w:val="single" w:sz="4" w:space="0" w:color="auto"/>
              <w:right w:val="single" w:sz="4" w:space="0" w:color="auto"/>
            </w:tcBorders>
            <w:shd w:val="clear" w:color="auto" w:fill="auto"/>
            <w:noWrap/>
            <w:vAlign w:val="bottom"/>
            <w:hideMark/>
          </w:tcPr>
          <w:p w:rsidR="002E7F4A" w:rsidRPr="002E7F4A" w:rsidRDefault="002E7F4A" w:rsidP="002E7F4A">
            <w:pPr>
              <w:widowControl/>
              <w:rPr>
                <w:rFonts w:ascii="Calibri" w:hAnsi="Calibri" w:cs="Calibri"/>
                <w:snapToGrid/>
                <w:color w:val="000000"/>
                <w:sz w:val="24"/>
                <w:szCs w:val="24"/>
              </w:rPr>
            </w:pPr>
            <w:r w:rsidRPr="002E7F4A">
              <w:rPr>
                <w:rFonts w:ascii="Calibri" w:hAnsi="Calibri" w:cs="Calibri"/>
                <w:snapToGrid/>
                <w:color w:val="000000"/>
                <w:sz w:val="24"/>
                <w:szCs w:val="24"/>
              </w:rPr>
              <w:t> </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2E7F4A" w:rsidRPr="002E7F4A" w:rsidRDefault="002E7F4A" w:rsidP="002E7F4A">
            <w:pPr>
              <w:widowControl/>
              <w:rPr>
                <w:rFonts w:ascii="Calibri" w:hAnsi="Calibri" w:cs="Calibri"/>
                <w:b/>
                <w:bCs/>
                <w:snapToGrid/>
                <w:color w:val="000000"/>
                <w:sz w:val="24"/>
                <w:szCs w:val="24"/>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2E7F4A" w:rsidRPr="002E7F4A" w:rsidRDefault="002E7F4A" w:rsidP="002E7F4A">
            <w:pPr>
              <w:widowControl/>
              <w:rPr>
                <w:rFonts w:ascii="Calibri" w:hAnsi="Calibri" w:cs="Calibri"/>
                <w:b/>
                <w:bCs/>
                <w:snapToGrid/>
                <w:color w:val="000000"/>
                <w:sz w:val="24"/>
                <w:szCs w:val="24"/>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2E7F4A" w:rsidRPr="002E7F4A" w:rsidRDefault="002E7F4A" w:rsidP="002E7F4A">
            <w:pPr>
              <w:widowControl/>
              <w:rPr>
                <w:rFonts w:ascii="Calibri" w:hAnsi="Calibri" w:cs="Calibri"/>
                <w:b/>
                <w:bCs/>
                <w:snapToGrid/>
                <w:color w:val="000000"/>
                <w:sz w:val="24"/>
                <w:szCs w:val="24"/>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2E7F4A" w:rsidRPr="002E7F4A" w:rsidRDefault="002E7F4A" w:rsidP="002E7F4A">
            <w:pPr>
              <w:widowControl/>
              <w:rPr>
                <w:rFonts w:ascii="Calibri" w:hAnsi="Calibri" w:cs="Calibri"/>
                <w:b/>
                <w:bCs/>
                <w:snapToGrid/>
                <w:color w:val="000000"/>
                <w:sz w:val="24"/>
                <w:szCs w:val="24"/>
              </w:rPr>
            </w:pPr>
          </w:p>
        </w:tc>
      </w:tr>
      <w:tr w:rsidR="00C068C1" w:rsidRPr="002E7F4A"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8C1" w:rsidRPr="002E7F4A" w:rsidRDefault="00C068C1" w:rsidP="00C068C1">
            <w:pPr>
              <w:widowControl/>
              <w:rPr>
                <w:rFonts w:ascii="Calibri" w:hAnsi="Calibri" w:cs="Calibri"/>
                <w:snapToGrid/>
                <w:color w:val="000000"/>
                <w:sz w:val="24"/>
                <w:szCs w:val="24"/>
              </w:rPr>
            </w:pPr>
            <w:r w:rsidRPr="002E7F4A">
              <w:rPr>
                <w:rFonts w:ascii="Calibri" w:hAnsi="Calibri" w:cs="Calibri"/>
                <w:snapToGrid/>
                <w:color w:val="000000"/>
                <w:sz w:val="24"/>
                <w:szCs w:val="24"/>
              </w:rPr>
              <w:t>Bens em Operação</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68C1" w:rsidRPr="002E7F4A" w:rsidRDefault="008F3AFE" w:rsidP="00515C1D">
            <w:pPr>
              <w:widowControl/>
              <w:jc w:val="right"/>
              <w:rPr>
                <w:rFonts w:ascii="Calibri" w:hAnsi="Calibri" w:cs="Calibri"/>
                <w:snapToGrid/>
                <w:color w:val="000000"/>
                <w:sz w:val="24"/>
                <w:szCs w:val="24"/>
              </w:rPr>
            </w:pPr>
            <w:r>
              <w:rPr>
                <w:rFonts w:ascii="Calibri" w:hAnsi="Calibri" w:cs="Calibri"/>
                <w:snapToGrid/>
                <w:color w:val="000000"/>
                <w:sz w:val="24"/>
                <w:szCs w:val="24"/>
              </w:rPr>
              <w:t>949.562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68C1" w:rsidRPr="002E7F4A" w:rsidRDefault="00EC32B4" w:rsidP="008F3AFE">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8F3AFE">
              <w:rPr>
                <w:rFonts w:ascii="Calibri" w:hAnsi="Calibri" w:cs="Calibri"/>
                <w:snapToGrid/>
                <w:color w:val="000000"/>
                <w:sz w:val="24"/>
                <w:szCs w:val="24"/>
              </w:rPr>
              <w:t>178</w:t>
            </w:r>
            <w:r>
              <w:rPr>
                <w:rFonts w:ascii="Calibri" w:hAnsi="Calibri" w:cs="Calibri"/>
                <w:snapToGrid/>
                <w:color w:val="000000"/>
                <w:sz w:val="24"/>
                <w:szCs w:val="24"/>
              </w:rPr>
              <w:t>.</w:t>
            </w:r>
            <w:r w:rsidR="008F3AFE">
              <w:rPr>
                <w:rFonts w:ascii="Calibri" w:hAnsi="Calibri" w:cs="Calibri"/>
                <w:snapToGrid/>
                <w:color w:val="000000"/>
                <w:sz w:val="24"/>
                <w:szCs w:val="24"/>
              </w:rPr>
              <w:t>174</w:t>
            </w:r>
            <w:r>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68C1" w:rsidRPr="002E7F4A" w:rsidRDefault="008F3AFE" w:rsidP="003B69AE">
            <w:pPr>
              <w:widowControl/>
              <w:jc w:val="right"/>
              <w:rPr>
                <w:rFonts w:ascii="Calibri" w:hAnsi="Calibri" w:cs="Calibri"/>
                <w:snapToGrid/>
                <w:color w:val="000000"/>
                <w:sz w:val="24"/>
                <w:szCs w:val="24"/>
              </w:rPr>
            </w:pPr>
            <w:r>
              <w:rPr>
                <w:rFonts w:ascii="Calibri" w:hAnsi="Calibri" w:cs="Calibri"/>
                <w:snapToGrid/>
                <w:color w:val="000000"/>
                <w:sz w:val="24"/>
                <w:szCs w:val="24"/>
              </w:rPr>
              <w:t>771.388</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8C1" w:rsidRPr="002E7F4A" w:rsidRDefault="003B69AE" w:rsidP="00C068C1">
            <w:pPr>
              <w:widowControl/>
              <w:jc w:val="right"/>
              <w:rPr>
                <w:rFonts w:ascii="Calibri" w:hAnsi="Calibri" w:cs="Calibri"/>
                <w:snapToGrid/>
                <w:color w:val="000000"/>
                <w:sz w:val="24"/>
                <w:szCs w:val="24"/>
              </w:rPr>
            </w:pPr>
            <w:r w:rsidRPr="002E7F4A">
              <w:rPr>
                <w:rFonts w:ascii="Calibri" w:hAnsi="Calibri" w:cs="Calibri"/>
                <w:snapToGrid/>
                <w:color w:val="000000"/>
                <w:sz w:val="24"/>
                <w:szCs w:val="24"/>
              </w:rPr>
              <w:t>858.629</w:t>
            </w:r>
          </w:p>
        </w:tc>
      </w:tr>
      <w:tr w:rsidR="00C068C1" w:rsidRPr="002E7F4A"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8C1" w:rsidRPr="002E7F4A" w:rsidRDefault="00C068C1" w:rsidP="00C068C1">
            <w:pPr>
              <w:widowControl/>
              <w:rPr>
                <w:rFonts w:ascii="Calibri" w:hAnsi="Calibri" w:cs="Calibri"/>
                <w:snapToGrid/>
                <w:color w:val="000000"/>
                <w:sz w:val="24"/>
                <w:szCs w:val="24"/>
              </w:rPr>
            </w:pPr>
            <w:r w:rsidRPr="002E7F4A">
              <w:rPr>
                <w:rFonts w:ascii="Calibri" w:hAnsi="Calibri" w:cs="Calibri"/>
                <w:snapToGrid/>
                <w:color w:val="000000"/>
                <w:sz w:val="24"/>
                <w:szCs w:val="24"/>
              </w:rPr>
              <w:t>Bens - Administração</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68C1" w:rsidRPr="002E7F4A" w:rsidRDefault="008F3AFE" w:rsidP="00CF239E">
            <w:pPr>
              <w:widowControl/>
              <w:jc w:val="right"/>
              <w:rPr>
                <w:rFonts w:ascii="Calibri" w:hAnsi="Calibri" w:cs="Calibri"/>
                <w:snapToGrid/>
                <w:color w:val="000000"/>
                <w:sz w:val="24"/>
                <w:szCs w:val="24"/>
              </w:rPr>
            </w:pPr>
            <w:r>
              <w:rPr>
                <w:rFonts w:ascii="Calibri" w:hAnsi="Calibri" w:cs="Calibri"/>
                <w:snapToGrid/>
                <w:color w:val="000000"/>
                <w:sz w:val="24"/>
                <w:szCs w:val="24"/>
              </w:rPr>
              <w:t>156.927</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68C1" w:rsidRPr="002E7F4A" w:rsidRDefault="008F3AFE" w:rsidP="003B69AE">
            <w:pPr>
              <w:widowControl/>
              <w:jc w:val="right"/>
              <w:rPr>
                <w:rFonts w:ascii="Calibri" w:hAnsi="Calibri" w:cs="Calibri"/>
                <w:snapToGrid/>
                <w:color w:val="000000"/>
                <w:sz w:val="24"/>
                <w:szCs w:val="24"/>
              </w:rPr>
            </w:pPr>
            <w:r>
              <w:rPr>
                <w:rFonts w:ascii="Calibri" w:hAnsi="Calibri" w:cs="Calibri"/>
                <w:snapToGrid/>
                <w:color w:val="000000"/>
                <w:sz w:val="24"/>
                <w:szCs w:val="24"/>
              </w:rPr>
              <w:t>(51.263</w:t>
            </w:r>
            <w:r w:rsidR="00EC32B4">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68C1" w:rsidRPr="002E7F4A" w:rsidRDefault="008F3AFE" w:rsidP="003B69AE">
            <w:pPr>
              <w:widowControl/>
              <w:jc w:val="right"/>
              <w:rPr>
                <w:rFonts w:ascii="Calibri" w:hAnsi="Calibri" w:cs="Calibri"/>
                <w:snapToGrid/>
                <w:color w:val="000000"/>
                <w:sz w:val="24"/>
                <w:szCs w:val="24"/>
              </w:rPr>
            </w:pPr>
            <w:r>
              <w:rPr>
                <w:rFonts w:ascii="Calibri" w:hAnsi="Calibri" w:cs="Calibri"/>
                <w:snapToGrid/>
                <w:color w:val="000000"/>
                <w:sz w:val="24"/>
                <w:szCs w:val="24"/>
              </w:rPr>
              <w:t>105.664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8C1" w:rsidRPr="002E7F4A" w:rsidRDefault="003B69AE" w:rsidP="003B69AE">
            <w:pPr>
              <w:widowControl/>
              <w:jc w:val="right"/>
              <w:rPr>
                <w:rFonts w:ascii="Calibri" w:hAnsi="Calibri" w:cs="Calibri"/>
                <w:snapToGrid/>
                <w:color w:val="000000"/>
                <w:sz w:val="24"/>
                <w:szCs w:val="24"/>
              </w:rPr>
            </w:pPr>
            <w:r>
              <w:rPr>
                <w:rFonts w:ascii="Calibri" w:hAnsi="Calibri" w:cs="Calibri"/>
                <w:snapToGrid/>
                <w:color w:val="000000"/>
                <w:sz w:val="24"/>
                <w:szCs w:val="24"/>
              </w:rPr>
              <w:t>143</w:t>
            </w:r>
            <w:r w:rsidR="00C068C1" w:rsidRPr="002E7F4A">
              <w:rPr>
                <w:rFonts w:ascii="Calibri" w:hAnsi="Calibri" w:cs="Calibri"/>
                <w:snapToGrid/>
                <w:color w:val="000000"/>
                <w:sz w:val="24"/>
                <w:szCs w:val="24"/>
              </w:rPr>
              <w:t>.</w:t>
            </w:r>
            <w:r>
              <w:rPr>
                <w:rFonts w:ascii="Calibri" w:hAnsi="Calibri" w:cs="Calibri"/>
                <w:snapToGrid/>
                <w:color w:val="000000"/>
                <w:sz w:val="24"/>
                <w:szCs w:val="24"/>
              </w:rPr>
              <w:t>397</w:t>
            </w:r>
          </w:p>
        </w:tc>
      </w:tr>
      <w:tr w:rsidR="00C068C1" w:rsidRPr="002E7F4A"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8C1" w:rsidRPr="002E7F4A" w:rsidRDefault="00C068C1" w:rsidP="00C068C1">
            <w:pPr>
              <w:widowControl/>
              <w:rPr>
                <w:rFonts w:ascii="Calibri" w:hAnsi="Calibri" w:cs="Calibri"/>
                <w:snapToGrid/>
                <w:color w:val="000000"/>
                <w:sz w:val="24"/>
                <w:szCs w:val="24"/>
              </w:rPr>
            </w:pPr>
            <w:r w:rsidRPr="002E7F4A">
              <w:rPr>
                <w:rFonts w:ascii="Calibri" w:hAnsi="Calibri" w:cs="Calibri"/>
                <w:snapToGrid/>
                <w:color w:val="000000"/>
                <w:sz w:val="24"/>
                <w:szCs w:val="24"/>
              </w:rPr>
              <w:t>Imobilizado em Andamento</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68C1" w:rsidRPr="002E7F4A" w:rsidRDefault="008F3AFE" w:rsidP="00CF239E">
            <w:pPr>
              <w:widowControl/>
              <w:jc w:val="right"/>
              <w:rPr>
                <w:rFonts w:ascii="Calibri" w:hAnsi="Calibri" w:cs="Calibri"/>
                <w:snapToGrid/>
                <w:color w:val="000000"/>
                <w:sz w:val="24"/>
                <w:szCs w:val="24"/>
              </w:rPr>
            </w:pPr>
            <w:r>
              <w:rPr>
                <w:rFonts w:ascii="Calibri" w:hAnsi="Calibri" w:cs="Calibri"/>
                <w:snapToGrid/>
                <w:color w:val="000000"/>
                <w:sz w:val="24"/>
                <w:szCs w:val="24"/>
              </w:rPr>
              <w:t>32.963</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8C1" w:rsidRPr="002E7F4A" w:rsidRDefault="00D414A4" w:rsidP="00CF239E">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C068C1" w:rsidRPr="002E7F4A">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68C1" w:rsidRPr="002E7F4A" w:rsidRDefault="008F3AFE" w:rsidP="003B69AE">
            <w:pPr>
              <w:widowControl/>
              <w:jc w:val="right"/>
              <w:rPr>
                <w:rFonts w:ascii="Calibri" w:hAnsi="Calibri" w:cs="Calibri"/>
                <w:snapToGrid/>
                <w:color w:val="000000"/>
                <w:sz w:val="24"/>
                <w:szCs w:val="24"/>
              </w:rPr>
            </w:pPr>
            <w:r>
              <w:rPr>
                <w:rFonts w:ascii="Calibri" w:hAnsi="Calibri" w:cs="Calibri"/>
                <w:snapToGrid/>
                <w:color w:val="000000"/>
                <w:sz w:val="24"/>
                <w:szCs w:val="24"/>
              </w:rPr>
              <w:t>32.923</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8C1" w:rsidRPr="002E7F4A" w:rsidRDefault="00C068C1" w:rsidP="00C068C1">
            <w:pPr>
              <w:widowControl/>
              <w:jc w:val="right"/>
              <w:rPr>
                <w:rFonts w:ascii="Calibri" w:hAnsi="Calibri" w:cs="Calibri"/>
                <w:snapToGrid/>
                <w:color w:val="000000"/>
                <w:sz w:val="24"/>
                <w:szCs w:val="24"/>
              </w:rPr>
            </w:pPr>
            <w:r w:rsidRPr="002E7F4A">
              <w:rPr>
                <w:rFonts w:ascii="Calibri" w:hAnsi="Calibri" w:cs="Calibri"/>
                <w:snapToGrid/>
                <w:color w:val="000000"/>
                <w:sz w:val="24"/>
                <w:szCs w:val="24"/>
              </w:rPr>
              <w:t>51.292</w:t>
            </w:r>
          </w:p>
        </w:tc>
      </w:tr>
      <w:tr w:rsidR="00C068C1" w:rsidRPr="002E7F4A"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8C1" w:rsidRPr="002E7F4A" w:rsidRDefault="00C068C1" w:rsidP="00C068C1">
            <w:pPr>
              <w:widowControl/>
              <w:rPr>
                <w:rFonts w:ascii="Calibri" w:hAnsi="Calibri" w:cs="Calibri"/>
                <w:snapToGrid/>
                <w:color w:val="000000"/>
                <w:sz w:val="24"/>
                <w:szCs w:val="24"/>
              </w:rPr>
            </w:pPr>
            <w:r w:rsidRPr="002E7F4A">
              <w:rPr>
                <w:rFonts w:ascii="Calibri" w:hAnsi="Calibri" w:cs="Calibri"/>
                <w:snapToGrid/>
                <w:color w:val="000000"/>
                <w:sz w:val="24"/>
                <w:szCs w:val="24"/>
              </w:rPr>
              <w:t>Imobilizado a Classificar</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68C1" w:rsidRPr="002E7F4A" w:rsidRDefault="008F3AFE" w:rsidP="00C068C1">
            <w:pPr>
              <w:widowControl/>
              <w:jc w:val="right"/>
              <w:rPr>
                <w:rFonts w:ascii="Calibri" w:hAnsi="Calibri" w:cs="Calibri"/>
                <w:snapToGrid/>
                <w:color w:val="000000"/>
                <w:sz w:val="24"/>
                <w:szCs w:val="24"/>
              </w:rPr>
            </w:pPr>
            <w:r>
              <w:rPr>
                <w:rFonts w:ascii="Calibri" w:hAnsi="Calibri" w:cs="Calibri"/>
                <w:snapToGrid/>
                <w:color w:val="000000"/>
                <w:sz w:val="24"/>
                <w:szCs w:val="24"/>
              </w:rPr>
              <w:t>15.195</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8C1" w:rsidRPr="002E7F4A" w:rsidRDefault="00EC32B4" w:rsidP="003B69AE">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8F3AFE">
              <w:rPr>
                <w:rFonts w:ascii="Calibri" w:hAnsi="Calibri" w:cs="Calibri"/>
                <w:snapToGrid/>
                <w:color w:val="000000"/>
                <w:sz w:val="24"/>
                <w:szCs w:val="24"/>
              </w:rPr>
              <w:t>374</w:t>
            </w:r>
            <w:r>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68C1" w:rsidRPr="002E7F4A" w:rsidRDefault="008F3AFE" w:rsidP="003B69AE">
            <w:pPr>
              <w:widowControl/>
              <w:jc w:val="right"/>
              <w:rPr>
                <w:rFonts w:ascii="Calibri" w:hAnsi="Calibri" w:cs="Calibri"/>
                <w:snapToGrid/>
                <w:color w:val="000000"/>
                <w:sz w:val="24"/>
                <w:szCs w:val="24"/>
              </w:rPr>
            </w:pPr>
            <w:r>
              <w:rPr>
                <w:rFonts w:ascii="Calibri" w:hAnsi="Calibri" w:cs="Calibri"/>
                <w:snapToGrid/>
                <w:color w:val="000000"/>
                <w:sz w:val="24"/>
                <w:szCs w:val="24"/>
              </w:rPr>
              <w:t>14.821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8C1" w:rsidRPr="002E7F4A" w:rsidRDefault="00C068C1" w:rsidP="00C068C1">
            <w:pPr>
              <w:widowControl/>
              <w:jc w:val="right"/>
              <w:rPr>
                <w:rFonts w:ascii="Calibri" w:hAnsi="Calibri" w:cs="Calibri"/>
                <w:snapToGrid/>
                <w:color w:val="000000"/>
                <w:sz w:val="24"/>
                <w:szCs w:val="24"/>
              </w:rPr>
            </w:pPr>
            <w:r w:rsidRPr="002E7F4A">
              <w:rPr>
                <w:rFonts w:ascii="Calibri" w:hAnsi="Calibri" w:cs="Calibri"/>
                <w:snapToGrid/>
                <w:color w:val="000000"/>
                <w:sz w:val="24"/>
                <w:szCs w:val="24"/>
              </w:rPr>
              <w:t>15.571</w:t>
            </w:r>
          </w:p>
        </w:tc>
      </w:tr>
      <w:tr w:rsidR="00C068C1" w:rsidRPr="002E7F4A"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8C1" w:rsidRPr="002E7F4A" w:rsidRDefault="00C068C1" w:rsidP="00C068C1">
            <w:pPr>
              <w:widowControl/>
              <w:rPr>
                <w:rFonts w:ascii="Calibri" w:hAnsi="Calibri" w:cs="Calibri"/>
                <w:snapToGrid/>
                <w:color w:val="000000"/>
                <w:sz w:val="24"/>
                <w:szCs w:val="24"/>
              </w:rPr>
            </w:pPr>
            <w:r w:rsidRPr="002E7F4A">
              <w:rPr>
                <w:rFonts w:ascii="Calibri" w:hAnsi="Calibri" w:cs="Calibri"/>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68C1" w:rsidRPr="002E7F4A" w:rsidRDefault="008F3AFE" w:rsidP="00515C1D">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1.154.647</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8C1" w:rsidRPr="002E7F4A" w:rsidRDefault="00EC32B4" w:rsidP="003419F7">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w:t>
            </w:r>
            <w:r w:rsidR="003419F7">
              <w:rPr>
                <w:rFonts w:ascii="Calibri" w:hAnsi="Calibri" w:cs="Calibri"/>
                <w:b/>
                <w:bCs/>
                <w:snapToGrid/>
                <w:color w:val="000000"/>
                <w:sz w:val="24"/>
                <w:szCs w:val="24"/>
              </w:rPr>
              <w:t>29</w:t>
            </w:r>
            <w:r>
              <w:rPr>
                <w:rFonts w:ascii="Calibri" w:hAnsi="Calibri" w:cs="Calibri"/>
                <w:b/>
                <w:bCs/>
                <w:snapToGrid/>
                <w:color w:val="000000"/>
                <w:sz w:val="24"/>
                <w:szCs w:val="24"/>
              </w:rPr>
              <w:t>.</w:t>
            </w:r>
            <w:r w:rsidR="003419F7">
              <w:rPr>
                <w:rFonts w:ascii="Calibri" w:hAnsi="Calibri" w:cs="Calibri"/>
                <w:b/>
                <w:bCs/>
                <w:snapToGrid/>
                <w:color w:val="000000"/>
                <w:sz w:val="24"/>
                <w:szCs w:val="24"/>
              </w:rPr>
              <w:t>811</w:t>
            </w:r>
            <w:r>
              <w:rPr>
                <w:rFonts w:ascii="Calibri" w:hAnsi="Calibri" w:cs="Calibri"/>
                <w:b/>
                <w:bCs/>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8C1" w:rsidRPr="002E7F4A" w:rsidRDefault="008F3AFE" w:rsidP="003B69AE">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924.836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8C1" w:rsidRPr="002E7F4A" w:rsidRDefault="00C068C1" w:rsidP="00C068C1">
            <w:pPr>
              <w:widowControl/>
              <w:jc w:val="right"/>
              <w:rPr>
                <w:rFonts w:ascii="Calibri" w:hAnsi="Calibri" w:cs="Calibri"/>
                <w:b/>
                <w:bCs/>
                <w:snapToGrid/>
                <w:color w:val="000000"/>
                <w:sz w:val="24"/>
                <w:szCs w:val="24"/>
              </w:rPr>
            </w:pPr>
            <w:r w:rsidRPr="002E7F4A">
              <w:rPr>
                <w:rFonts w:ascii="Calibri" w:hAnsi="Calibri" w:cs="Calibri"/>
                <w:b/>
                <w:bCs/>
                <w:snapToGrid/>
                <w:color w:val="000000"/>
                <w:sz w:val="24"/>
                <w:szCs w:val="24"/>
              </w:rPr>
              <w:t>1.068.889</w:t>
            </w:r>
          </w:p>
        </w:tc>
      </w:tr>
    </w:tbl>
    <w:p w:rsidR="00B455BA" w:rsidRDefault="00B455BA" w:rsidP="00C16DDB">
      <w:pPr>
        <w:jc w:val="both"/>
        <w:rPr>
          <w:rFonts w:ascii="Calibri" w:hAnsi="Calibri" w:cs="Calibri"/>
          <w:b/>
          <w:sz w:val="24"/>
          <w:szCs w:val="24"/>
        </w:rPr>
      </w:pPr>
    </w:p>
    <w:p w:rsidR="00C068C1" w:rsidRDefault="00C068C1" w:rsidP="00C16DDB">
      <w:pPr>
        <w:jc w:val="both"/>
        <w:rPr>
          <w:rFonts w:ascii="Calibri" w:hAnsi="Calibri" w:cs="Calibri"/>
          <w:b/>
          <w:sz w:val="24"/>
          <w:szCs w:val="24"/>
        </w:rPr>
      </w:pPr>
    </w:p>
    <w:p w:rsidR="00C16DDB" w:rsidRPr="00312424" w:rsidRDefault="0043773C" w:rsidP="00C16DDB">
      <w:pPr>
        <w:jc w:val="both"/>
        <w:rPr>
          <w:rFonts w:ascii="Calibri" w:hAnsi="Calibri" w:cs="Calibri"/>
          <w:b/>
          <w:sz w:val="24"/>
          <w:szCs w:val="24"/>
          <w:u w:val="single"/>
        </w:rPr>
      </w:pPr>
      <w:r>
        <w:rPr>
          <w:rFonts w:ascii="Calibri" w:hAnsi="Calibri" w:cs="Calibri"/>
          <w:b/>
          <w:sz w:val="24"/>
          <w:szCs w:val="24"/>
        </w:rPr>
        <w:t>14</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OBRIGAÇÕES TRABALHISTAS E ASSI</w:t>
      </w:r>
      <w:r w:rsidR="000604CA">
        <w:rPr>
          <w:rFonts w:ascii="Calibri" w:hAnsi="Calibri" w:cs="Calibri"/>
          <w:b/>
          <w:sz w:val="24"/>
          <w:szCs w:val="24"/>
          <w:u w:val="single"/>
        </w:rPr>
        <w:t>STENCIAIS</w:t>
      </w:r>
    </w:p>
    <w:p w:rsidR="00C16DDB" w:rsidRPr="00312424" w:rsidRDefault="00C16DDB" w:rsidP="00C16DDB">
      <w:pPr>
        <w:jc w:val="both"/>
        <w:rPr>
          <w:rFonts w:ascii="Calibri" w:hAnsi="Calibri" w:cs="Calibri"/>
          <w:b/>
          <w:sz w:val="24"/>
          <w:szCs w:val="24"/>
          <w:u w:val="single"/>
        </w:rPr>
      </w:pPr>
    </w:p>
    <w:p w:rsidR="000831FD" w:rsidRDefault="00C16DDB" w:rsidP="00C16DDB">
      <w:pPr>
        <w:jc w:val="both"/>
        <w:rPr>
          <w:rFonts w:ascii="Calibri" w:hAnsi="Calibri" w:cs="Calibri"/>
          <w:sz w:val="24"/>
          <w:szCs w:val="24"/>
        </w:rPr>
      </w:pPr>
      <w:r w:rsidRPr="00312424">
        <w:rPr>
          <w:rFonts w:ascii="Calibri" w:hAnsi="Calibri" w:cs="Calibri"/>
          <w:sz w:val="24"/>
          <w:szCs w:val="24"/>
        </w:rPr>
        <w:t xml:space="preserve">O </w:t>
      </w:r>
      <w:r w:rsidR="000604CA">
        <w:rPr>
          <w:rFonts w:ascii="Calibri" w:hAnsi="Calibri" w:cs="Calibri"/>
          <w:sz w:val="24"/>
          <w:szCs w:val="24"/>
        </w:rPr>
        <w:t>g</w:t>
      </w:r>
      <w:r w:rsidRPr="00312424">
        <w:rPr>
          <w:rFonts w:ascii="Calibri" w:hAnsi="Calibri" w:cs="Calibri"/>
          <w:sz w:val="24"/>
          <w:szCs w:val="24"/>
        </w:rPr>
        <w:t>rupo</w:t>
      </w:r>
      <w:r w:rsidR="000831FD">
        <w:rPr>
          <w:rFonts w:ascii="Calibri" w:hAnsi="Calibri" w:cs="Calibri"/>
          <w:sz w:val="24"/>
          <w:szCs w:val="24"/>
        </w:rPr>
        <w:t xml:space="preserve"> contém as remunerações a empregados, diretores, conselheiros, membros do comitê de auditoria, estagiários e jovens aprendizes, com os respectivos encargos; os valores a serem recolhidos a título de pensão alimentícia; e as consignações descontas em folha, tais como contribuição para sindicatos e associações de classe, empréstimos bancários, plano funeral, etc.</w:t>
      </w:r>
    </w:p>
    <w:p w:rsidR="000831FD" w:rsidRDefault="000831FD" w:rsidP="00C16DDB">
      <w:pPr>
        <w:jc w:val="both"/>
        <w:rPr>
          <w:rFonts w:ascii="Calibri" w:hAnsi="Calibri" w:cs="Calibri"/>
          <w:sz w:val="24"/>
          <w:szCs w:val="24"/>
        </w:rPr>
      </w:pPr>
    </w:p>
    <w:p w:rsidR="00C16DDB" w:rsidRDefault="000831FD" w:rsidP="00C16DDB">
      <w:pPr>
        <w:jc w:val="both"/>
        <w:rPr>
          <w:rFonts w:ascii="Calibri" w:hAnsi="Calibri" w:cs="Calibri"/>
          <w:sz w:val="24"/>
          <w:szCs w:val="24"/>
        </w:rPr>
      </w:pPr>
      <w:r>
        <w:rPr>
          <w:rFonts w:ascii="Calibri" w:hAnsi="Calibri" w:cs="Calibri"/>
          <w:sz w:val="24"/>
          <w:szCs w:val="24"/>
        </w:rPr>
        <w:t>A seguir a composição do grupo</w:t>
      </w:r>
      <w:r w:rsidR="000604CA">
        <w:rPr>
          <w:rFonts w:ascii="Calibri" w:hAnsi="Calibri" w:cs="Calibri"/>
          <w:sz w:val="24"/>
          <w:szCs w:val="24"/>
        </w:rPr>
        <w:t>:</w:t>
      </w:r>
    </w:p>
    <w:p w:rsidR="002E7F4A" w:rsidRPr="00312424" w:rsidRDefault="002E7F4A" w:rsidP="00C16DDB">
      <w:pPr>
        <w:jc w:val="both"/>
        <w:rPr>
          <w:rFonts w:ascii="Calibri" w:hAnsi="Calibri" w:cs="Calibri"/>
          <w:sz w:val="24"/>
          <w:szCs w:val="24"/>
        </w:rPr>
      </w:pPr>
    </w:p>
    <w:tbl>
      <w:tblPr>
        <w:tblW w:w="6380" w:type="dxa"/>
        <w:jc w:val="center"/>
        <w:tblCellMar>
          <w:left w:w="70" w:type="dxa"/>
          <w:right w:w="70" w:type="dxa"/>
        </w:tblCellMar>
        <w:tblLook w:val="04A0" w:firstRow="1" w:lastRow="0" w:firstColumn="1" w:lastColumn="0" w:noHBand="0" w:noVBand="1"/>
      </w:tblPr>
      <w:tblGrid>
        <w:gridCol w:w="2860"/>
        <w:gridCol w:w="1760"/>
        <w:gridCol w:w="1760"/>
      </w:tblGrid>
      <w:tr w:rsidR="002E7F4A" w:rsidRPr="002E7F4A" w:rsidTr="00697525">
        <w:trPr>
          <w:trHeight w:val="315"/>
          <w:jc w:val="center"/>
        </w:trPr>
        <w:tc>
          <w:tcPr>
            <w:tcW w:w="2860" w:type="dxa"/>
            <w:tcBorders>
              <w:top w:val="nil"/>
              <w:left w:val="nil"/>
              <w:bottom w:val="single" w:sz="4" w:space="0" w:color="auto"/>
              <w:right w:val="single" w:sz="4" w:space="0" w:color="auto"/>
            </w:tcBorders>
            <w:shd w:val="clear" w:color="auto" w:fill="auto"/>
            <w:noWrap/>
            <w:vAlign w:val="bottom"/>
            <w:hideMark/>
          </w:tcPr>
          <w:p w:rsidR="002E7F4A" w:rsidRPr="002E7F4A" w:rsidRDefault="002E7F4A" w:rsidP="002E7F4A">
            <w:pPr>
              <w:widowControl/>
              <w:rPr>
                <w:rFonts w:ascii="Calibri" w:hAnsi="Calibri" w:cs="Calibri"/>
                <w:snapToGrid/>
                <w:color w:val="000000"/>
                <w:sz w:val="24"/>
                <w:szCs w:val="24"/>
              </w:rPr>
            </w:pPr>
            <w:r w:rsidRPr="002E7F4A">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F4A" w:rsidRPr="002E7F4A" w:rsidRDefault="00D0760C" w:rsidP="003B69AE">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F4A" w:rsidRPr="002E7F4A" w:rsidRDefault="002E7F4A" w:rsidP="000E1F2C">
            <w:pPr>
              <w:widowControl/>
              <w:jc w:val="center"/>
              <w:rPr>
                <w:rFonts w:ascii="Calibri" w:hAnsi="Calibri" w:cs="Calibri"/>
                <w:b/>
                <w:bCs/>
                <w:snapToGrid/>
                <w:color w:val="000000"/>
                <w:sz w:val="24"/>
                <w:szCs w:val="24"/>
              </w:rPr>
            </w:pPr>
            <w:r w:rsidRPr="002E7F4A">
              <w:rPr>
                <w:rFonts w:ascii="Calibri" w:hAnsi="Calibri" w:cs="Calibri"/>
                <w:b/>
                <w:bCs/>
                <w:snapToGrid/>
                <w:color w:val="000000"/>
                <w:sz w:val="24"/>
                <w:szCs w:val="24"/>
              </w:rPr>
              <w:t>31/12/201</w:t>
            </w:r>
            <w:r w:rsidR="000E1F2C">
              <w:rPr>
                <w:rFonts w:ascii="Calibri" w:hAnsi="Calibri" w:cs="Calibri"/>
                <w:b/>
                <w:bCs/>
                <w:snapToGrid/>
                <w:color w:val="000000"/>
                <w:sz w:val="24"/>
                <w:szCs w:val="24"/>
              </w:rPr>
              <w:t>8</w:t>
            </w:r>
          </w:p>
        </w:tc>
      </w:tr>
      <w:tr w:rsidR="000E1F2C" w:rsidRPr="002E7F4A" w:rsidTr="00697525">
        <w:trPr>
          <w:trHeight w:val="315"/>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F2C" w:rsidRPr="002E7F4A" w:rsidRDefault="000E1F2C" w:rsidP="000E1F2C">
            <w:pPr>
              <w:widowControl/>
              <w:rPr>
                <w:rFonts w:ascii="Calibri" w:hAnsi="Calibri" w:cs="Calibri"/>
                <w:snapToGrid/>
                <w:color w:val="000000"/>
                <w:sz w:val="24"/>
                <w:szCs w:val="24"/>
              </w:rPr>
            </w:pPr>
            <w:r w:rsidRPr="002E7F4A">
              <w:rPr>
                <w:rFonts w:ascii="Calibri" w:hAnsi="Calibri" w:cs="Calibri"/>
                <w:snapToGrid/>
                <w:color w:val="000000"/>
                <w:sz w:val="24"/>
                <w:szCs w:val="24"/>
              </w:rPr>
              <w:t>Remunerações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F2C" w:rsidRPr="002E7F4A" w:rsidRDefault="008F3AFE" w:rsidP="008F3AFE">
            <w:pPr>
              <w:widowControl/>
              <w:jc w:val="right"/>
              <w:rPr>
                <w:rFonts w:ascii="Calibri" w:hAnsi="Calibri" w:cs="Calibri"/>
                <w:snapToGrid/>
                <w:color w:val="000000"/>
                <w:sz w:val="24"/>
                <w:szCs w:val="24"/>
              </w:rPr>
            </w:pPr>
            <w:r>
              <w:rPr>
                <w:rFonts w:ascii="Calibri" w:hAnsi="Calibri" w:cs="Calibri"/>
                <w:snapToGrid/>
                <w:color w:val="000000"/>
                <w:sz w:val="24"/>
                <w:szCs w:val="24"/>
              </w:rPr>
              <w:t>9.232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F2C" w:rsidRPr="002E7F4A" w:rsidRDefault="000E1F2C" w:rsidP="000E1F2C">
            <w:pPr>
              <w:widowControl/>
              <w:jc w:val="right"/>
              <w:rPr>
                <w:rFonts w:ascii="Calibri" w:hAnsi="Calibri" w:cs="Calibri"/>
                <w:snapToGrid/>
                <w:color w:val="000000"/>
                <w:sz w:val="24"/>
                <w:szCs w:val="24"/>
              </w:rPr>
            </w:pPr>
            <w:r w:rsidRPr="002E7F4A">
              <w:rPr>
                <w:rFonts w:ascii="Calibri" w:hAnsi="Calibri" w:cs="Calibri"/>
                <w:snapToGrid/>
                <w:color w:val="000000"/>
                <w:sz w:val="24"/>
                <w:szCs w:val="24"/>
              </w:rPr>
              <w:t>10.05</w:t>
            </w:r>
            <w:r>
              <w:rPr>
                <w:rFonts w:ascii="Calibri" w:hAnsi="Calibri" w:cs="Calibri"/>
                <w:snapToGrid/>
                <w:color w:val="000000"/>
                <w:sz w:val="24"/>
                <w:szCs w:val="24"/>
              </w:rPr>
              <w:t>4</w:t>
            </w:r>
          </w:p>
        </w:tc>
      </w:tr>
      <w:tr w:rsidR="000E1F2C" w:rsidRPr="002E7F4A" w:rsidTr="00697525">
        <w:trPr>
          <w:trHeight w:val="315"/>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F2C" w:rsidRPr="002E7F4A" w:rsidRDefault="000E1F2C" w:rsidP="000E1F2C">
            <w:pPr>
              <w:widowControl/>
              <w:rPr>
                <w:rFonts w:ascii="Calibri" w:hAnsi="Calibri" w:cs="Calibri"/>
                <w:snapToGrid/>
                <w:color w:val="000000"/>
                <w:sz w:val="24"/>
                <w:szCs w:val="24"/>
              </w:rPr>
            </w:pPr>
            <w:r w:rsidRPr="002E7F4A">
              <w:rPr>
                <w:rFonts w:ascii="Calibri" w:hAnsi="Calibri" w:cs="Calibri"/>
                <w:snapToGrid/>
                <w:color w:val="000000"/>
                <w:sz w:val="24"/>
                <w:szCs w:val="24"/>
              </w:rPr>
              <w:t>Consignações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F2C" w:rsidRPr="002E7F4A" w:rsidRDefault="008F3AFE" w:rsidP="000E1F2C">
            <w:pPr>
              <w:widowControl/>
              <w:jc w:val="right"/>
              <w:rPr>
                <w:rFonts w:ascii="Calibri" w:hAnsi="Calibri" w:cs="Calibri"/>
                <w:snapToGrid/>
                <w:color w:val="000000"/>
                <w:sz w:val="24"/>
                <w:szCs w:val="24"/>
              </w:rPr>
            </w:pPr>
            <w:r>
              <w:rPr>
                <w:rFonts w:ascii="Calibri" w:hAnsi="Calibri" w:cs="Calibri"/>
                <w:snapToGrid/>
                <w:color w:val="000000"/>
                <w:sz w:val="24"/>
                <w:szCs w:val="24"/>
              </w:rPr>
              <w:t>327</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F2C" w:rsidRPr="002E7F4A" w:rsidRDefault="000E1F2C" w:rsidP="000E1F2C">
            <w:pPr>
              <w:widowControl/>
              <w:jc w:val="right"/>
              <w:rPr>
                <w:rFonts w:ascii="Calibri" w:hAnsi="Calibri" w:cs="Calibri"/>
                <w:snapToGrid/>
                <w:color w:val="000000"/>
                <w:sz w:val="24"/>
                <w:szCs w:val="24"/>
              </w:rPr>
            </w:pPr>
            <w:r w:rsidRPr="002E7F4A">
              <w:rPr>
                <w:rFonts w:ascii="Calibri" w:hAnsi="Calibri" w:cs="Calibri"/>
                <w:snapToGrid/>
                <w:color w:val="000000"/>
                <w:sz w:val="24"/>
                <w:szCs w:val="24"/>
              </w:rPr>
              <w:t>391</w:t>
            </w:r>
          </w:p>
        </w:tc>
      </w:tr>
      <w:tr w:rsidR="000E1F2C" w:rsidRPr="002E7F4A" w:rsidTr="00697525">
        <w:trPr>
          <w:trHeight w:val="315"/>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F2C" w:rsidRPr="002E7F4A" w:rsidRDefault="000E1F2C" w:rsidP="000E1F2C">
            <w:pPr>
              <w:widowControl/>
              <w:rPr>
                <w:rFonts w:ascii="Calibri" w:hAnsi="Calibri" w:cs="Calibri"/>
                <w:snapToGrid/>
                <w:color w:val="000000"/>
                <w:sz w:val="24"/>
                <w:szCs w:val="24"/>
              </w:rPr>
            </w:pPr>
            <w:r w:rsidRPr="002E7F4A">
              <w:rPr>
                <w:rFonts w:ascii="Calibri" w:hAnsi="Calibri" w:cs="Calibri"/>
                <w:snapToGrid/>
                <w:color w:val="000000"/>
                <w:sz w:val="24"/>
                <w:szCs w:val="24"/>
              </w:rPr>
              <w:t>Mesada Judicial</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F2C" w:rsidRPr="002E7F4A" w:rsidRDefault="008F3AFE" w:rsidP="000E1F2C">
            <w:pPr>
              <w:widowControl/>
              <w:jc w:val="right"/>
              <w:rPr>
                <w:rFonts w:ascii="Calibri" w:hAnsi="Calibri" w:cs="Calibri"/>
                <w:snapToGrid/>
                <w:color w:val="000000"/>
                <w:sz w:val="24"/>
                <w:szCs w:val="24"/>
              </w:rPr>
            </w:pPr>
            <w:r>
              <w:rPr>
                <w:rFonts w:ascii="Calibri" w:hAnsi="Calibri" w:cs="Calibri"/>
                <w:snapToGrid/>
                <w:color w:val="000000"/>
                <w:sz w:val="24"/>
                <w:szCs w:val="24"/>
              </w:rPr>
              <w:t>134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F2C" w:rsidRPr="002E7F4A" w:rsidRDefault="000E1F2C" w:rsidP="000E1F2C">
            <w:pPr>
              <w:widowControl/>
              <w:jc w:val="right"/>
              <w:rPr>
                <w:rFonts w:ascii="Calibri" w:hAnsi="Calibri" w:cs="Calibri"/>
                <w:snapToGrid/>
                <w:color w:val="000000"/>
                <w:sz w:val="24"/>
                <w:szCs w:val="24"/>
              </w:rPr>
            </w:pPr>
            <w:r w:rsidRPr="002E7F4A">
              <w:rPr>
                <w:rFonts w:ascii="Calibri" w:hAnsi="Calibri" w:cs="Calibri"/>
                <w:snapToGrid/>
                <w:color w:val="000000"/>
                <w:sz w:val="24"/>
                <w:szCs w:val="24"/>
              </w:rPr>
              <w:t>284</w:t>
            </w:r>
          </w:p>
        </w:tc>
      </w:tr>
      <w:tr w:rsidR="000E1F2C" w:rsidRPr="002E7F4A" w:rsidTr="00697525">
        <w:trPr>
          <w:trHeight w:val="315"/>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F2C" w:rsidRPr="002E7F4A" w:rsidRDefault="000E1F2C" w:rsidP="000E1F2C">
            <w:pPr>
              <w:widowControl/>
              <w:rPr>
                <w:rFonts w:ascii="Calibri" w:hAnsi="Calibri" w:cs="Calibri"/>
                <w:snapToGrid/>
                <w:color w:val="000000"/>
                <w:sz w:val="24"/>
                <w:szCs w:val="24"/>
              </w:rPr>
            </w:pPr>
            <w:r w:rsidRPr="002E7F4A">
              <w:rPr>
                <w:rFonts w:ascii="Calibri" w:hAnsi="Calibri" w:cs="Calibri"/>
                <w:snapToGrid/>
                <w:color w:val="000000"/>
                <w:sz w:val="24"/>
                <w:szCs w:val="24"/>
              </w:rPr>
              <w:t>Provisões e Encargos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F2C" w:rsidRPr="002E7F4A" w:rsidRDefault="008F3AFE" w:rsidP="00CF239E">
            <w:pPr>
              <w:widowControl/>
              <w:jc w:val="right"/>
              <w:rPr>
                <w:rFonts w:ascii="Calibri" w:hAnsi="Calibri" w:cs="Calibri"/>
                <w:snapToGrid/>
                <w:color w:val="000000"/>
                <w:sz w:val="24"/>
                <w:szCs w:val="24"/>
              </w:rPr>
            </w:pPr>
            <w:r>
              <w:rPr>
                <w:rFonts w:ascii="Calibri" w:hAnsi="Calibri" w:cs="Calibri"/>
                <w:snapToGrid/>
                <w:color w:val="000000"/>
                <w:sz w:val="24"/>
                <w:szCs w:val="24"/>
              </w:rPr>
              <w:t>8.312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F2C" w:rsidRPr="002E7F4A" w:rsidRDefault="000E1F2C" w:rsidP="000E1F2C">
            <w:pPr>
              <w:widowControl/>
              <w:jc w:val="right"/>
              <w:rPr>
                <w:rFonts w:ascii="Calibri" w:hAnsi="Calibri" w:cs="Calibri"/>
                <w:snapToGrid/>
                <w:color w:val="000000"/>
                <w:sz w:val="24"/>
                <w:szCs w:val="24"/>
              </w:rPr>
            </w:pPr>
            <w:r w:rsidRPr="002E7F4A">
              <w:rPr>
                <w:rFonts w:ascii="Calibri" w:hAnsi="Calibri" w:cs="Calibri"/>
                <w:snapToGrid/>
                <w:color w:val="000000"/>
                <w:sz w:val="24"/>
                <w:szCs w:val="24"/>
              </w:rPr>
              <w:t>15.987</w:t>
            </w:r>
          </w:p>
        </w:tc>
      </w:tr>
      <w:tr w:rsidR="000E1F2C" w:rsidRPr="002E7F4A" w:rsidTr="00697525">
        <w:trPr>
          <w:trHeight w:val="315"/>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F2C" w:rsidRPr="002E7F4A" w:rsidRDefault="000E1F2C" w:rsidP="000E1F2C">
            <w:pPr>
              <w:widowControl/>
              <w:rPr>
                <w:rFonts w:ascii="Calibri" w:hAnsi="Calibri" w:cs="Calibri"/>
                <w:b/>
                <w:bCs/>
                <w:snapToGrid/>
                <w:color w:val="000000"/>
                <w:sz w:val="24"/>
                <w:szCs w:val="24"/>
              </w:rPr>
            </w:pPr>
            <w:r w:rsidRPr="002E7F4A">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F2C" w:rsidRPr="002E7F4A" w:rsidRDefault="008F3AFE" w:rsidP="00CF239E">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18.005</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F2C" w:rsidRPr="002E7F4A" w:rsidRDefault="000E1F2C" w:rsidP="000E1F2C">
            <w:pPr>
              <w:widowControl/>
              <w:jc w:val="right"/>
              <w:rPr>
                <w:rFonts w:ascii="Calibri" w:hAnsi="Calibri" w:cs="Calibri"/>
                <w:b/>
                <w:bCs/>
                <w:snapToGrid/>
                <w:color w:val="000000"/>
                <w:sz w:val="24"/>
                <w:szCs w:val="24"/>
              </w:rPr>
            </w:pPr>
            <w:r w:rsidRPr="002E7F4A">
              <w:rPr>
                <w:rFonts w:ascii="Calibri" w:hAnsi="Calibri" w:cs="Calibri"/>
                <w:b/>
                <w:bCs/>
                <w:snapToGrid/>
                <w:color w:val="000000"/>
                <w:sz w:val="24"/>
                <w:szCs w:val="24"/>
              </w:rPr>
              <w:t>26.716</w:t>
            </w:r>
          </w:p>
        </w:tc>
      </w:tr>
    </w:tbl>
    <w:p w:rsidR="00C16DDB" w:rsidRPr="00312424" w:rsidRDefault="0043773C" w:rsidP="00C16DDB">
      <w:pPr>
        <w:jc w:val="both"/>
        <w:rPr>
          <w:rFonts w:ascii="Calibri" w:hAnsi="Calibri" w:cs="Calibri"/>
          <w:b/>
          <w:sz w:val="24"/>
          <w:szCs w:val="24"/>
          <w:u w:val="single"/>
        </w:rPr>
      </w:pPr>
      <w:r>
        <w:rPr>
          <w:rFonts w:ascii="Calibri" w:hAnsi="Calibri" w:cs="Calibri"/>
          <w:b/>
          <w:sz w:val="24"/>
          <w:szCs w:val="24"/>
        </w:rPr>
        <w:lastRenderedPageBreak/>
        <w:t>15</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OBRIGAÇÕES TRIBUTÁRIAS</w:t>
      </w:r>
    </w:p>
    <w:p w:rsidR="00C16DDB" w:rsidRPr="00312424" w:rsidRDefault="00C16DDB" w:rsidP="00C16DDB">
      <w:pPr>
        <w:ind w:left="993"/>
        <w:jc w:val="both"/>
        <w:rPr>
          <w:rFonts w:ascii="Calibri" w:hAnsi="Calibri" w:cs="Calibri"/>
          <w:sz w:val="24"/>
          <w:szCs w:val="24"/>
        </w:rPr>
      </w:pPr>
    </w:p>
    <w:p w:rsidR="00DE5674" w:rsidRDefault="00C16DDB" w:rsidP="00C16DDB">
      <w:pPr>
        <w:jc w:val="both"/>
        <w:rPr>
          <w:rFonts w:ascii="Calibri" w:hAnsi="Calibri" w:cs="Calibri"/>
          <w:sz w:val="24"/>
          <w:szCs w:val="24"/>
        </w:rPr>
      </w:pPr>
      <w:r w:rsidRPr="00312424">
        <w:rPr>
          <w:rFonts w:ascii="Calibri" w:hAnsi="Calibri" w:cs="Calibri"/>
          <w:sz w:val="24"/>
          <w:szCs w:val="24"/>
        </w:rPr>
        <w:t xml:space="preserve">As obrigações tributárias, demonstradas por valores conhecidos ou calculáveis, incluídos os encargos e atualizações, quando aplicáveis, incorridos até a data do balanço, </w:t>
      </w:r>
      <w:r w:rsidR="00DE5674">
        <w:rPr>
          <w:rFonts w:ascii="Calibri" w:hAnsi="Calibri" w:cs="Calibri"/>
          <w:sz w:val="24"/>
          <w:szCs w:val="24"/>
        </w:rPr>
        <w:t>têm a seguinte composição:</w:t>
      </w:r>
    </w:p>
    <w:p w:rsidR="00FC07F2" w:rsidRDefault="00FC07F2" w:rsidP="00C16DDB">
      <w:pPr>
        <w:jc w:val="both"/>
        <w:rPr>
          <w:rFonts w:ascii="Calibri" w:hAnsi="Calibri" w:cs="Calibri"/>
          <w:sz w:val="24"/>
          <w:szCs w:val="24"/>
        </w:rPr>
      </w:pPr>
    </w:p>
    <w:tbl>
      <w:tblPr>
        <w:tblW w:w="9900" w:type="dxa"/>
        <w:tblCellMar>
          <w:left w:w="70" w:type="dxa"/>
          <w:right w:w="70" w:type="dxa"/>
        </w:tblCellMar>
        <w:tblLook w:val="04A0" w:firstRow="1" w:lastRow="0" w:firstColumn="1" w:lastColumn="0" w:noHBand="0" w:noVBand="1"/>
      </w:tblPr>
      <w:tblGrid>
        <w:gridCol w:w="2860"/>
        <w:gridCol w:w="1760"/>
        <w:gridCol w:w="1760"/>
        <w:gridCol w:w="1760"/>
        <w:gridCol w:w="1760"/>
      </w:tblGrid>
      <w:tr w:rsidR="001A3B52" w:rsidRPr="001A3B52" w:rsidTr="00697525">
        <w:trPr>
          <w:trHeight w:val="284"/>
        </w:trPr>
        <w:tc>
          <w:tcPr>
            <w:tcW w:w="2860" w:type="dxa"/>
            <w:tcBorders>
              <w:top w:val="nil"/>
              <w:left w:val="nil"/>
              <w:bottom w:val="nil"/>
              <w:right w:val="single" w:sz="4" w:space="0" w:color="auto"/>
            </w:tcBorders>
            <w:shd w:val="clear" w:color="auto" w:fill="auto"/>
            <w:noWrap/>
            <w:vAlign w:val="bottom"/>
            <w:hideMark/>
          </w:tcPr>
          <w:p w:rsidR="001A3B52" w:rsidRPr="001A3B52" w:rsidRDefault="001A3B52" w:rsidP="001A3B52">
            <w:pPr>
              <w:widowControl/>
              <w:rPr>
                <w:rFonts w:ascii="Calibri" w:hAnsi="Calibri" w:cs="Calibri"/>
                <w:snapToGrid/>
                <w:color w:val="000000"/>
                <w:sz w:val="24"/>
                <w:szCs w:val="24"/>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B52" w:rsidRPr="001A3B52" w:rsidRDefault="001A3B52" w:rsidP="001A3B52">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Circulante</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B52" w:rsidRPr="001A3B52" w:rsidRDefault="001A3B52" w:rsidP="001A3B52">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Não Circulante</w:t>
            </w:r>
          </w:p>
        </w:tc>
      </w:tr>
      <w:tr w:rsidR="001A3B52" w:rsidRPr="001A3B52" w:rsidTr="00697525">
        <w:trPr>
          <w:trHeight w:val="284"/>
        </w:trPr>
        <w:tc>
          <w:tcPr>
            <w:tcW w:w="2860" w:type="dxa"/>
            <w:tcBorders>
              <w:top w:val="nil"/>
              <w:left w:val="nil"/>
              <w:bottom w:val="single" w:sz="4" w:space="0" w:color="auto"/>
              <w:right w:val="single" w:sz="4" w:space="0" w:color="auto"/>
            </w:tcBorders>
            <w:shd w:val="clear" w:color="auto" w:fill="auto"/>
            <w:noWrap/>
            <w:vAlign w:val="bottom"/>
            <w:hideMark/>
          </w:tcPr>
          <w:p w:rsidR="001A3B52" w:rsidRPr="001A3B52" w:rsidRDefault="001A3B52" w:rsidP="001A3B52">
            <w:pPr>
              <w:widowControl/>
              <w:rPr>
                <w:rFonts w:ascii="Calibri" w:hAnsi="Calibri" w:cs="Calibri"/>
                <w:snapToGrid/>
                <w:color w:val="000000"/>
                <w:sz w:val="24"/>
                <w:szCs w:val="24"/>
              </w:rPr>
            </w:pPr>
            <w:r w:rsidRPr="001A3B52">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B52" w:rsidRPr="001A3B52" w:rsidRDefault="00D0760C" w:rsidP="003B69AE">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B52" w:rsidRPr="001A3B52" w:rsidRDefault="001A3B52" w:rsidP="000E1F2C">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31/12/201</w:t>
            </w:r>
            <w:r w:rsidR="000E1F2C">
              <w:rPr>
                <w:rFonts w:ascii="Calibri" w:hAnsi="Calibri" w:cs="Calibri"/>
                <w:b/>
                <w:bCs/>
                <w:snapToGrid/>
                <w:color w:val="000000"/>
                <w:sz w:val="24"/>
                <w:szCs w:val="24"/>
              </w:rPr>
              <w:t>8</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B52" w:rsidRPr="001A3B52" w:rsidRDefault="00D0760C" w:rsidP="003B69AE">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B52" w:rsidRPr="001A3B52" w:rsidRDefault="001A3B52" w:rsidP="000E1F2C">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31/12/201</w:t>
            </w:r>
            <w:r w:rsidR="000E1F2C">
              <w:rPr>
                <w:rFonts w:ascii="Calibri" w:hAnsi="Calibri" w:cs="Calibri"/>
                <w:b/>
                <w:bCs/>
                <w:snapToGrid/>
                <w:color w:val="000000"/>
                <w:sz w:val="24"/>
                <w:szCs w:val="24"/>
              </w:rPr>
              <w:t>8</w:t>
            </w:r>
          </w:p>
        </w:tc>
      </w:tr>
      <w:tr w:rsidR="000E1F2C" w:rsidRPr="001A3B52"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F2C" w:rsidRPr="001A3B52" w:rsidRDefault="000E1F2C" w:rsidP="000E1F2C">
            <w:pPr>
              <w:widowControl/>
              <w:rPr>
                <w:rFonts w:ascii="Calibri" w:hAnsi="Calibri" w:cs="Calibri"/>
                <w:snapToGrid/>
                <w:color w:val="000000"/>
                <w:sz w:val="24"/>
                <w:szCs w:val="24"/>
              </w:rPr>
            </w:pPr>
            <w:r w:rsidRPr="001A3B52">
              <w:rPr>
                <w:rFonts w:ascii="Calibri" w:hAnsi="Calibri" w:cs="Calibri"/>
                <w:snapToGrid/>
                <w:color w:val="000000"/>
                <w:sz w:val="24"/>
                <w:szCs w:val="24"/>
              </w:rPr>
              <w:t>IPTU</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F2C" w:rsidRPr="001A3B52" w:rsidRDefault="00450300" w:rsidP="000E1F2C">
            <w:pPr>
              <w:widowControl/>
              <w:jc w:val="right"/>
              <w:rPr>
                <w:rFonts w:ascii="Calibri" w:hAnsi="Calibri" w:cs="Calibri"/>
                <w:snapToGrid/>
                <w:color w:val="000000"/>
                <w:sz w:val="24"/>
                <w:szCs w:val="24"/>
              </w:rPr>
            </w:pPr>
            <w:r>
              <w:rPr>
                <w:rFonts w:ascii="Calibri" w:hAnsi="Calibri" w:cs="Calibri"/>
                <w:snapToGrid/>
                <w:color w:val="000000"/>
                <w:sz w:val="24"/>
                <w:szCs w:val="24"/>
              </w:rPr>
              <w:t>14.611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F2C" w:rsidRPr="001A3B52" w:rsidRDefault="000E1F2C" w:rsidP="000E1F2C">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13.191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F2C" w:rsidRPr="001A3B52" w:rsidRDefault="00D414A4" w:rsidP="00D414A4">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F2C" w:rsidRPr="001A3B52" w:rsidRDefault="00D414A4"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0E1F2C" w:rsidRPr="001A3B52"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F2C" w:rsidRPr="001A3B52" w:rsidRDefault="000E1F2C" w:rsidP="000E1F2C">
            <w:pPr>
              <w:widowControl/>
              <w:rPr>
                <w:rFonts w:ascii="Calibri" w:hAnsi="Calibri" w:cs="Calibri"/>
                <w:snapToGrid/>
                <w:color w:val="000000"/>
                <w:sz w:val="24"/>
                <w:szCs w:val="24"/>
              </w:rPr>
            </w:pPr>
            <w:r w:rsidRPr="001A3B52">
              <w:rPr>
                <w:rFonts w:ascii="Calibri" w:hAnsi="Calibri" w:cs="Calibri"/>
                <w:snapToGrid/>
                <w:color w:val="000000"/>
                <w:sz w:val="24"/>
                <w:szCs w:val="24"/>
              </w:rPr>
              <w:t>ISS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F2C" w:rsidRPr="001A3B52" w:rsidRDefault="00450300" w:rsidP="00EA1591">
            <w:pPr>
              <w:widowControl/>
              <w:jc w:val="right"/>
              <w:rPr>
                <w:rFonts w:ascii="Calibri" w:hAnsi="Calibri" w:cs="Calibri"/>
                <w:snapToGrid/>
                <w:color w:val="000000"/>
                <w:sz w:val="24"/>
                <w:szCs w:val="24"/>
              </w:rPr>
            </w:pPr>
            <w:r>
              <w:rPr>
                <w:rFonts w:ascii="Calibri" w:hAnsi="Calibri" w:cs="Calibri"/>
                <w:snapToGrid/>
                <w:color w:val="000000"/>
                <w:sz w:val="24"/>
                <w:szCs w:val="24"/>
              </w:rPr>
              <w:t>446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F2C" w:rsidRPr="001A3B52" w:rsidRDefault="000E1F2C" w:rsidP="000E1F2C">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3.382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F2C" w:rsidRPr="001A3B52" w:rsidRDefault="00784D4D" w:rsidP="007B7524">
            <w:pPr>
              <w:widowControl/>
              <w:jc w:val="right"/>
              <w:rPr>
                <w:rFonts w:ascii="Calibri" w:hAnsi="Calibri" w:cs="Calibri"/>
                <w:snapToGrid/>
                <w:color w:val="000000"/>
                <w:sz w:val="24"/>
                <w:szCs w:val="24"/>
              </w:rPr>
            </w:pPr>
            <w:r>
              <w:rPr>
                <w:rFonts w:ascii="Calibri" w:hAnsi="Calibri" w:cs="Calibri"/>
                <w:snapToGrid/>
                <w:color w:val="000000"/>
                <w:sz w:val="24"/>
                <w:szCs w:val="24"/>
              </w:rPr>
              <w:t>499.959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F2C" w:rsidRPr="001A3B52" w:rsidRDefault="000E1F2C" w:rsidP="000E1F2C">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469.334</w:t>
            </w:r>
          </w:p>
        </w:tc>
      </w:tr>
      <w:tr w:rsidR="000E1F2C" w:rsidRPr="001A3B52"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F2C" w:rsidRPr="001A3B52" w:rsidRDefault="00784D4D" w:rsidP="000E1F2C">
            <w:pPr>
              <w:widowControl/>
              <w:rPr>
                <w:rFonts w:ascii="Calibri" w:hAnsi="Calibri" w:cs="Calibri"/>
                <w:snapToGrid/>
                <w:color w:val="000000"/>
                <w:sz w:val="24"/>
                <w:szCs w:val="24"/>
              </w:rPr>
            </w:pPr>
            <w:r>
              <w:rPr>
                <w:rFonts w:ascii="Calibri" w:hAnsi="Calibri" w:cs="Calibri"/>
                <w:snapToGrid/>
                <w:color w:val="000000"/>
                <w:sz w:val="24"/>
                <w:szCs w:val="24"/>
              </w:rPr>
              <w:t>Parcelamentos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F2C" w:rsidRPr="001A3B52" w:rsidRDefault="00450300" w:rsidP="00EA1591">
            <w:pPr>
              <w:widowControl/>
              <w:jc w:val="right"/>
              <w:rPr>
                <w:rFonts w:ascii="Calibri" w:hAnsi="Calibri" w:cs="Calibri"/>
                <w:snapToGrid/>
                <w:color w:val="000000"/>
                <w:sz w:val="24"/>
                <w:szCs w:val="24"/>
              </w:rPr>
            </w:pPr>
            <w:r>
              <w:rPr>
                <w:rFonts w:ascii="Calibri" w:hAnsi="Calibri" w:cs="Calibri"/>
                <w:snapToGrid/>
                <w:color w:val="000000"/>
                <w:sz w:val="24"/>
                <w:szCs w:val="24"/>
              </w:rPr>
              <w:t>70.074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F2C" w:rsidRPr="001A3B52" w:rsidRDefault="000E1F2C" w:rsidP="000E1F2C">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37.730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F2C" w:rsidRPr="001A3B52" w:rsidRDefault="00784D4D" w:rsidP="007B7524">
            <w:pPr>
              <w:widowControl/>
              <w:jc w:val="right"/>
              <w:rPr>
                <w:rFonts w:ascii="Calibri" w:hAnsi="Calibri" w:cs="Calibri"/>
                <w:snapToGrid/>
                <w:color w:val="000000"/>
                <w:sz w:val="24"/>
                <w:szCs w:val="24"/>
              </w:rPr>
            </w:pPr>
            <w:r>
              <w:rPr>
                <w:rFonts w:ascii="Calibri" w:hAnsi="Calibri" w:cs="Calibri"/>
                <w:snapToGrid/>
                <w:color w:val="000000"/>
                <w:sz w:val="24"/>
                <w:szCs w:val="24"/>
              </w:rPr>
              <w:t>434.716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F2C" w:rsidRPr="001A3B52" w:rsidRDefault="000E1F2C" w:rsidP="000E1F2C">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455.02</w:t>
            </w:r>
            <w:r>
              <w:rPr>
                <w:rFonts w:ascii="Calibri" w:hAnsi="Calibri" w:cs="Calibri"/>
                <w:snapToGrid/>
                <w:color w:val="000000"/>
                <w:sz w:val="24"/>
                <w:szCs w:val="24"/>
              </w:rPr>
              <w:t>8</w:t>
            </w:r>
          </w:p>
        </w:tc>
      </w:tr>
      <w:tr w:rsidR="000E1F2C" w:rsidRPr="001A3B52"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F2C" w:rsidRPr="001A3B52" w:rsidRDefault="000E1F2C" w:rsidP="000E1F2C">
            <w:pPr>
              <w:widowControl/>
              <w:rPr>
                <w:rFonts w:ascii="Calibri" w:hAnsi="Calibri" w:cs="Calibri"/>
                <w:snapToGrid/>
                <w:color w:val="000000"/>
                <w:sz w:val="24"/>
                <w:szCs w:val="24"/>
              </w:rPr>
            </w:pPr>
            <w:r w:rsidRPr="001A3B52">
              <w:rPr>
                <w:rFonts w:ascii="Calibri" w:hAnsi="Calibri" w:cs="Calibri"/>
                <w:snapToGrid/>
                <w:color w:val="000000"/>
                <w:sz w:val="24"/>
                <w:szCs w:val="24"/>
              </w:rPr>
              <w:t>PASEP/COFINS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F2C" w:rsidRPr="001A3B52" w:rsidRDefault="00450300" w:rsidP="000E1F2C">
            <w:pPr>
              <w:widowControl/>
              <w:jc w:val="right"/>
              <w:rPr>
                <w:rFonts w:ascii="Calibri" w:hAnsi="Calibri" w:cs="Calibri"/>
                <w:snapToGrid/>
                <w:color w:val="000000"/>
                <w:sz w:val="24"/>
                <w:szCs w:val="24"/>
              </w:rPr>
            </w:pPr>
            <w:r>
              <w:rPr>
                <w:rFonts w:ascii="Calibri" w:hAnsi="Calibri" w:cs="Calibri"/>
                <w:snapToGrid/>
                <w:color w:val="000000"/>
                <w:sz w:val="24"/>
                <w:szCs w:val="24"/>
              </w:rPr>
              <w:t>10.365</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F2C" w:rsidRPr="001A3B52" w:rsidRDefault="000E1F2C" w:rsidP="000E1F2C">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27.709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F2C" w:rsidRPr="001A3B52" w:rsidRDefault="000E1F2C" w:rsidP="00D414A4">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sidR="00D414A4">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F2C" w:rsidRPr="001A3B52" w:rsidRDefault="000E1F2C" w:rsidP="00D414A4">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sidR="00D414A4">
              <w:rPr>
                <w:rFonts w:ascii="Calibri" w:hAnsi="Calibri" w:cs="Calibri"/>
                <w:snapToGrid/>
                <w:color w:val="000000"/>
                <w:sz w:val="24"/>
                <w:szCs w:val="24"/>
              </w:rPr>
              <w:t>-</w:t>
            </w:r>
          </w:p>
        </w:tc>
      </w:tr>
      <w:tr w:rsidR="00D414A4" w:rsidRPr="001A3B52" w:rsidTr="00B9551E">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4A4" w:rsidRPr="001A3B52" w:rsidRDefault="00D414A4" w:rsidP="00D414A4">
            <w:pPr>
              <w:widowControl/>
              <w:rPr>
                <w:rFonts w:ascii="Calibri" w:hAnsi="Calibri" w:cs="Calibri"/>
                <w:snapToGrid/>
                <w:color w:val="000000"/>
                <w:sz w:val="24"/>
                <w:szCs w:val="24"/>
              </w:rPr>
            </w:pPr>
            <w:r w:rsidRPr="001A3B52">
              <w:rPr>
                <w:rFonts w:ascii="Calibri" w:hAnsi="Calibri" w:cs="Calibri"/>
                <w:snapToGrid/>
                <w:color w:val="000000"/>
                <w:sz w:val="24"/>
                <w:szCs w:val="24"/>
              </w:rPr>
              <w:t>IR e CSLL</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14A4" w:rsidRPr="001A3B52" w:rsidRDefault="00D414A4" w:rsidP="00D414A4">
            <w:pPr>
              <w:widowControl/>
              <w:jc w:val="right"/>
              <w:rPr>
                <w:rFonts w:ascii="Calibri" w:hAnsi="Calibri" w:cs="Calibri"/>
                <w:snapToGrid/>
                <w:color w:val="000000"/>
                <w:sz w:val="24"/>
                <w:szCs w:val="24"/>
              </w:rPr>
            </w:pPr>
            <w:r>
              <w:rPr>
                <w:rFonts w:ascii="Calibri" w:hAnsi="Calibri" w:cs="Calibri"/>
                <w:snapToGrid/>
                <w:color w:val="000000"/>
                <w:sz w:val="24"/>
                <w:szCs w:val="24"/>
              </w:rPr>
              <w:t>5.318</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4A4" w:rsidRPr="001A3B52" w:rsidRDefault="00D414A4" w:rsidP="00D414A4">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7.690</w:t>
            </w:r>
          </w:p>
        </w:tc>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D414A4" w:rsidRDefault="00D414A4" w:rsidP="00D414A4">
            <w:pPr>
              <w:jc w:val="right"/>
            </w:pPr>
            <w:r w:rsidRPr="002C1F36">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D414A4" w:rsidRDefault="00D414A4" w:rsidP="00D414A4">
            <w:pPr>
              <w:jc w:val="right"/>
            </w:pPr>
            <w:r w:rsidRPr="002C1F36">
              <w:rPr>
                <w:rFonts w:ascii="Calibri" w:hAnsi="Calibri" w:cs="Calibri"/>
                <w:snapToGrid/>
                <w:color w:val="000000"/>
                <w:sz w:val="24"/>
                <w:szCs w:val="24"/>
              </w:rPr>
              <w:t>-</w:t>
            </w:r>
          </w:p>
        </w:tc>
      </w:tr>
      <w:tr w:rsidR="00D414A4" w:rsidRPr="001A3B52" w:rsidTr="00B9551E">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4A4" w:rsidRPr="001A3B52" w:rsidRDefault="00D414A4" w:rsidP="00D414A4">
            <w:pPr>
              <w:widowControl/>
              <w:rPr>
                <w:rFonts w:ascii="Calibri" w:hAnsi="Calibri" w:cs="Calibri"/>
                <w:snapToGrid/>
                <w:color w:val="000000"/>
                <w:sz w:val="24"/>
                <w:szCs w:val="24"/>
              </w:rPr>
            </w:pPr>
            <w:r w:rsidRPr="001A3B52">
              <w:rPr>
                <w:rFonts w:ascii="Calibri" w:hAnsi="Calibri" w:cs="Calibri"/>
                <w:snapToGrid/>
                <w:color w:val="000000"/>
                <w:sz w:val="24"/>
                <w:szCs w:val="24"/>
              </w:rPr>
              <w:t>INSS/FGTS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14A4" w:rsidRPr="001A3B52" w:rsidRDefault="00D414A4" w:rsidP="00D414A4">
            <w:pPr>
              <w:widowControl/>
              <w:jc w:val="right"/>
              <w:rPr>
                <w:rFonts w:ascii="Calibri" w:hAnsi="Calibri" w:cs="Calibri"/>
                <w:snapToGrid/>
                <w:color w:val="000000"/>
                <w:sz w:val="24"/>
                <w:szCs w:val="24"/>
              </w:rPr>
            </w:pPr>
            <w:r>
              <w:rPr>
                <w:rFonts w:ascii="Calibri" w:hAnsi="Calibri" w:cs="Calibri"/>
                <w:snapToGrid/>
                <w:color w:val="000000"/>
                <w:sz w:val="24"/>
                <w:szCs w:val="24"/>
              </w:rPr>
              <w:t>14.901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4A4" w:rsidRPr="001A3B52" w:rsidRDefault="00D414A4" w:rsidP="00D414A4">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5.099</w:t>
            </w:r>
          </w:p>
        </w:tc>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D414A4" w:rsidRDefault="00D414A4" w:rsidP="00D414A4">
            <w:pPr>
              <w:jc w:val="right"/>
            </w:pPr>
            <w:r w:rsidRPr="002C1F36">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D414A4" w:rsidRDefault="00D414A4" w:rsidP="00D414A4">
            <w:pPr>
              <w:jc w:val="right"/>
            </w:pPr>
            <w:r w:rsidRPr="002C1F36">
              <w:rPr>
                <w:rFonts w:ascii="Calibri" w:hAnsi="Calibri" w:cs="Calibri"/>
                <w:snapToGrid/>
                <w:color w:val="000000"/>
                <w:sz w:val="24"/>
                <w:szCs w:val="24"/>
              </w:rPr>
              <w:t>-</w:t>
            </w:r>
          </w:p>
        </w:tc>
      </w:tr>
      <w:tr w:rsidR="00D414A4" w:rsidRPr="001A3B52" w:rsidTr="00B9551E">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4A4" w:rsidRPr="001A3B52" w:rsidRDefault="00D414A4" w:rsidP="00D414A4">
            <w:pPr>
              <w:widowControl/>
              <w:rPr>
                <w:rFonts w:ascii="Calibri" w:hAnsi="Calibri" w:cs="Calibri"/>
                <w:snapToGrid/>
                <w:color w:val="000000"/>
                <w:sz w:val="24"/>
                <w:szCs w:val="24"/>
              </w:rPr>
            </w:pPr>
            <w:r w:rsidRPr="001A3B52">
              <w:rPr>
                <w:rFonts w:ascii="Calibri" w:hAnsi="Calibri" w:cs="Calibri"/>
                <w:snapToGrid/>
                <w:color w:val="000000"/>
                <w:sz w:val="24"/>
                <w:szCs w:val="24"/>
              </w:rPr>
              <w:t>ATP</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14A4" w:rsidRPr="001A3B52" w:rsidRDefault="00D414A4" w:rsidP="00D414A4">
            <w:pPr>
              <w:widowControl/>
              <w:jc w:val="right"/>
              <w:rPr>
                <w:rFonts w:ascii="Calibri" w:hAnsi="Calibri" w:cs="Calibri"/>
                <w:snapToGrid/>
                <w:color w:val="000000"/>
                <w:sz w:val="24"/>
                <w:szCs w:val="24"/>
              </w:rPr>
            </w:pPr>
            <w:r>
              <w:rPr>
                <w:rFonts w:ascii="Calibri" w:hAnsi="Calibri" w:cs="Calibri"/>
                <w:snapToGrid/>
                <w:color w:val="000000"/>
                <w:sz w:val="24"/>
                <w:szCs w:val="24"/>
              </w:rPr>
              <w:t>6.820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4A4" w:rsidRPr="001A3B52" w:rsidRDefault="00D414A4" w:rsidP="00D414A4">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6.820</w:t>
            </w:r>
          </w:p>
        </w:tc>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D414A4" w:rsidRDefault="00D414A4" w:rsidP="00D414A4">
            <w:pPr>
              <w:jc w:val="right"/>
            </w:pPr>
            <w:r w:rsidRPr="002C1F36">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D414A4" w:rsidRDefault="00D414A4" w:rsidP="00D414A4">
            <w:pPr>
              <w:jc w:val="right"/>
            </w:pPr>
            <w:r w:rsidRPr="002C1F36">
              <w:rPr>
                <w:rFonts w:ascii="Calibri" w:hAnsi="Calibri" w:cs="Calibri"/>
                <w:snapToGrid/>
                <w:color w:val="000000"/>
                <w:sz w:val="24"/>
                <w:szCs w:val="24"/>
              </w:rPr>
              <w:t>-</w:t>
            </w:r>
          </w:p>
        </w:tc>
      </w:tr>
      <w:tr w:rsidR="00D414A4" w:rsidRPr="001A3B52" w:rsidTr="00B9551E">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4A4" w:rsidRPr="001A3B52" w:rsidRDefault="00D414A4" w:rsidP="00D414A4">
            <w:pPr>
              <w:widowControl/>
              <w:rPr>
                <w:rFonts w:ascii="Calibri" w:hAnsi="Calibri" w:cs="Calibri"/>
                <w:snapToGrid/>
                <w:color w:val="000000"/>
                <w:sz w:val="24"/>
                <w:szCs w:val="24"/>
              </w:rPr>
            </w:pPr>
            <w:r w:rsidRPr="001A3B52">
              <w:rPr>
                <w:rFonts w:ascii="Calibri" w:hAnsi="Calibri" w:cs="Calibri"/>
                <w:snapToGrid/>
                <w:color w:val="000000"/>
                <w:sz w:val="24"/>
                <w:szCs w:val="24"/>
              </w:rPr>
              <w:t>Taxa de Ocupação</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14A4" w:rsidRPr="001A3B52" w:rsidRDefault="00D414A4" w:rsidP="00D414A4">
            <w:pPr>
              <w:widowControl/>
              <w:jc w:val="right"/>
              <w:rPr>
                <w:rFonts w:ascii="Calibri" w:hAnsi="Calibri" w:cs="Calibri"/>
                <w:snapToGrid/>
                <w:color w:val="000000"/>
                <w:sz w:val="24"/>
                <w:szCs w:val="24"/>
              </w:rPr>
            </w:pPr>
            <w:r>
              <w:rPr>
                <w:rFonts w:ascii="Calibri" w:hAnsi="Calibri" w:cs="Calibri"/>
                <w:snapToGrid/>
                <w:color w:val="000000"/>
                <w:sz w:val="24"/>
                <w:szCs w:val="24"/>
              </w:rPr>
              <w:t>11.322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4A4" w:rsidRPr="001A3B52" w:rsidRDefault="00D414A4" w:rsidP="00D414A4">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11.322</w:t>
            </w:r>
          </w:p>
        </w:tc>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D414A4" w:rsidRDefault="00D414A4" w:rsidP="00D414A4">
            <w:pPr>
              <w:jc w:val="right"/>
            </w:pPr>
            <w:r w:rsidRPr="002C1F36">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D414A4" w:rsidRDefault="00D414A4" w:rsidP="00D414A4">
            <w:pPr>
              <w:jc w:val="right"/>
            </w:pPr>
            <w:r w:rsidRPr="002C1F36">
              <w:rPr>
                <w:rFonts w:ascii="Calibri" w:hAnsi="Calibri" w:cs="Calibri"/>
                <w:snapToGrid/>
                <w:color w:val="000000"/>
                <w:sz w:val="24"/>
                <w:szCs w:val="24"/>
              </w:rPr>
              <w:t>-</w:t>
            </w:r>
          </w:p>
        </w:tc>
      </w:tr>
      <w:tr w:rsidR="00D414A4" w:rsidRPr="001A3B52" w:rsidTr="00B9551E">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4A4" w:rsidRPr="001A3B52" w:rsidRDefault="00D414A4" w:rsidP="00D414A4">
            <w:pPr>
              <w:widowControl/>
              <w:rPr>
                <w:rFonts w:ascii="Calibri" w:hAnsi="Calibri" w:cs="Calibri"/>
                <w:snapToGrid/>
                <w:color w:val="000000"/>
                <w:sz w:val="24"/>
                <w:szCs w:val="24"/>
              </w:rPr>
            </w:pPr>
            <w:r w:rsidRPr="001A3B52">
              <w:rPr>
                <w:rFonts w:ascii="Calibri" w:hAnsi="Calibri" w:cs="Calibri"/>
                <w:snapToGrid/>
                <w:color w:val="000000"/>
                <w:sz w:val="24"/>
                <w:szCs w:val="24"/>
              </w:rPr>
              <w:t>Outros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14A4" w:rsidRPr="001A3B52" w:rsidRDefault="00D414A4" w:rsidP="00D414A4">
            <w:pPr>
              <w:widowControl/>
              <w:jc w:val="right"/>
              <w:rPr>
                <w:rFonts w:ascii="Calibri" w:hAnsi="Calibri" w:cs="Calibri"/>
                <w:snapToGrid/>
                <w:color w:val="000000"/>
                <w:sz w:val="24"/>
                <w:szCs w:val="24"/>
              </w:rPr>
            </w:pPr>
            <w:r>
              <w:rPr>
                <w:rFonts w:ascii="Calibri" w:hAnsi="Calibri" w:cs="Calibri"/>
                <w:snapToGrid/>
                <w:color w:val="000000"/>
                <w:sz w:val="24"/>
                <w:szCs w:val="24"/>
              </w:rPr>
              <w:t>1.137</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4A4" w:rsidRPr="001A3B52" w:rsidRDefault="00D414A4" w:rsidP="00D414A4">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734</w:t>
            </w:r>
          </w:p>
        </w:tc>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D414A4" w:rsidRDefault="00D414A4" w:rsidP="00D414A4">
            <w:pPr>
              <w:jc w:val="right"/>
            </w:pPr>
            <w:r w:rsidRPr="002C1F36">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D414A4" w:rsidRDefault="00D414A4" w:rsidP="00D414A4">
            <w:pPr>
              <w:jc w:val="right"/>
            </w:pPr>
            <w:r w:rsidRPr="002C1F36">
              <w:rPr>
                <w:rFonts w:ascii="Calibri" w:hAnsi="Calibri" w:cs="Calibri"/>
                <w:snapToGrid/>
                <w:color w:val="000000"/>
                <w:sz w:val="24"/>
                <w:szCs w:val="24"/>
              </w:rPr>
              <w:t>-</w:t>
            </w:r>
          </w:p>
        </w:tc>
      </w:tr>
      <w:tr w:rsidR="000E1F2C" w:rsidRPr="001A3B52"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F2C" w:rsidRPr="001A3B52" w:rsidRDefault="000E1F2C" w:rsidP="000E1F2C">
            <w:pPr>
              <w:widowControl/>
              <w:rPr>
                <w:rFonts w:ascii="Calibri" w:hAnsi="Calibri" w:cs="Calibri"/>
                <w:b/>
                <w:bCs/>
                <w:snapToGrid/>
                <w:color w:val="000000"/>
                <w:sz w:val="24"/>
                <w:szCs w:val="24"/>
              </w:rPr>
            </w:pPr>
            <w:r w:rsidRPr="001A3B52">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F2C" w:rsidRPr="001A3B52" w:rsidRDefault="00450300" w:rsidP="00EA1591">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134.994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F2C" w:rsidRPr="001A3B52" w:rsidRDefault="000E1F2C" w:rsidP="000E1F2C">
            <w:pPr>
              <w:widowControl/>
              <w:jc w:val="right"/>
              <w:rPr>
                <w:rFonts w:ascii="Calibri" w:hAnsi="Calibri" w:cs="Calibri"/>
                <w:b/>
                <w:bCs/>
                <w:snapToGrid/>
                <w:color w:val="000000"/>
                <w:sz w:val="24"/>
                <w:szCs w:val="24"/>
              </w:rPr>
            </w:pPr>
            <w:r w:rsidRPr="001A3B52">
              <w:rPr>
                <w:rFonts w:ascii="Calibri" w:hAnsi="Calibri" w:cs="Calibri"/>
                <w:b/>
                <w:bCs/>
                <w:snapToGrid/>
                <w:color w:val="000000"/>
                <w:sz w:val="24"/>
                <w:szCs w:val="24"/>
              </w:rPr>
              <w:t>113.677</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F2C" w:rsidRPr="001A3B52" w:rsidRDefault="007B7524" w:rsidP="00450300">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93</w:t>
            </w:r>
            <w:r w:rsidR="00450300">
              <w:rPr>
                <w:rFonts w:ascii="Calibri" w:hAnsi="Calibri" w:cs="Calibri"/>
                <w:b/>
                <w:bCs/>
                <w:snapToGrid/>
                <w:color w:val="000000"/>
                <w:sz w:val="24"/>
                <w:szCs w:val="24"/>
              </w:rPr>
              <w:t>4</w:t>
            </w:r>
            <w:r>
              <w:rPr>
                <w:rFonts w:ascii="Calibri" w:hAnsi="Calibri" w:cs="Calibri"/>
                <w:b/>
                <w:bCs/>
                <w:snapToGrid/>
                <w:color w:val="000000"/>
                <w:sz w:val="24"/>
                <w:szCs w:val="24"/>
              </w:rPr>
              <w:t>.</w:t>
            </w:r>
            <w:r w:rsidR="00450300">
              <w:rPr>
                <w:rFonts w:ascii="Calibri" w:hAnsi="Calibri" w:cs="Calibri"/>
                <w:b/>
                <w:bCs/>
                <w:snapToGrid/>
                <w:color w:val="000000"/>
                <w:sz w:val="24"/>
                <w:szCs w:val="24"/>
              </w:rPr>
              <w:t>675</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F2C" w:rsidRPr="001A3B52" w:rsidRDefault="000E1F2C" w:rsidP="000E1F2C">
            <w:pPr>
              <w:widowControl/>
              <w:jc w:val="right"/>
              <w:rPr>
                <w:rFonts w:ascii="Calibri" w:hAnsi="Calibri" w:cs="Calibri"/>
                <w:b/>
                <w:bCs/>
                <w:snapToGrid/>
                <w:color w:val="000000"/>
                <w:sz w:val="24"/>
                <w:szCs w:val="24"/>
              </w:rPr>
            </w:pPr>
            <w:r w:rsidRPr="001A3B52">
              <w:rPr>
                <w:rFonts w:ascii="Calibri" w:hAnsi="Calibri" w:cs="Calibri"/>
                <w:b/>
                <w:bCs/>
                <w:snapToGrid/>
                <w:color w:val="000000"/>
                <w:sz w:val="24"/>
                <w:szCs w:val="24"/>
              </w:rPr>
              <w:t>924.362</w:t>
            </w:r>
          </w:p>
        </w:tc>
      </w:tr>
    </w:tbl>
    <w:p w:rsidR="001A44D1" w:rsidRDefault="00784D4D" w:rsidP="00C16DDB">
      <w:pPr>
        <w:jc w:val="both"/>
        <w:rPr>
          <w:rFonts w:ascii="Calibri" w:hAnsi="Calibri" w:cs="Calibri"/>
          <w:sz w:val="24"/>
          <w:szCs w:val="24"/>
        </w:rPr>
      </w:pPr>
      <w:r>
        <w:rPr>
          <w:rFonts w:ascii="Calibri" w:hAnsi="Calibri" w:cs="Calibri"/>
          <w:sz w:val="24"/>
          <w:szCs w:val="24"/>
        </w:rPr>
        <w:t xml:space="preserve"> </w:t>
      </w:r>
    </w:p>
    <w:p w:rsidR="006D1F1A" w:rsidRDefault="008F6488" w:rsidP="00C16DDB">
      <w:pPr>
        <w:jc w:val="both"/>
        <w:rPr>
          <w:rFonts w:ascii="Calibri" w:hAnsi="Calibri" w:cs="Calibri"/>
          <w:sz w:val="24"/>
          <w:szCs w:val="24"/>
        </w:rPr>
      </w:pPr>
      <w:r>
        <w:rPr>
          <w:rFonts w:ascii="Calibri" w:hAnsi="Calibri" w:cs="Calibri"/>
          <w:sz w:val="24"/>
          <w:szCs w:val="24"/>
        </w:rPr>
        <w:t xml:space="preserve">O saldo de </w:t>
      </w:r>
      <w:r w:rsidRPr="008F6488">
        <w:rPr>
          <w:rFonts w:ascii="Calibri" w:hAnsi="Calibri" w:cs="Calibri"/>
          <w:b/>
          <w:sz w:val="24"/>
          <w:szCs w:val="24"/>
        </w:rPr>
        <w:t>IPTU</w:t>
      </w:r>
      <w:r>
        <w:rPr>
          <w:rFonts w:ascii="Calibri" w:hAnsi="Calibri" w:cs="Calibri"/>
          <w:sz w:val="24"/>
          <w:szCs w:val="24"/>
        </w:rPr>
        <w:t xml:space="preserve"> </w:t>
      </w:r>
      <w:r w:rsidR="006D1F1A">
        <w:rPr>
          <w:rFonts w:ascii="Calibri" w:hAnsi="Calibri" w:cs="Calibri"/>
          <w:sz w:val="24"/>
          <w:szCs w:val="24"/>
        </w:rPr>
        <w:t xml:space="preserve">a recolher é </w:t>
      </w:r>
      <w:r>
        <w:rPr>
          <w:rFonts w:ascii="Calibri" w:hAnsi="Calibri" w:cs="Calibri"/>
          <w:sz w:val="24"/>
          <w:szCs w:val="24"/>
        </w:rPr>
        <w:t>refere</w:t>
      </w:r>
      <w:r w:rsidR="006D1F1A">
        <w:rPr>
          <w:rFonts w:ascii="Calibri" w:hAnsi="Calibri" w:cs="Calibri"/>
          <w:sz w:val="24"/>
          <w:szCs w:val="24"/>
        </w:rPr>
        <w:t>nte</w:t>
      </w:r>
      <w:r>
        <w:rPr>
          <w:rFonts w:ascii="Calibri" w:hAnsi="Calibri" w:cs="Calibri"/>
          <w:sz w:val="24"/>
          <w:szCs w:val="24"/>
        </w:rPr>
        <w:t xml:space="preserve"> </w:t>
      </w:r>
      <w:r w:rsidR="006D1F1A">
        <w:rPr>
          <w:rFonts w:ascii="Calibri" w:hAnsi="Calibri" w:cs="Calibri"/>
          <w:sz w:val="24"/>
          <w:szCs w:val="24"/>
        </w:rPr>
        <w:t>a dois acordos de pagamento com o Município do Rio de Janeiro, de débitos inscritos em Dívida Ativa em 2009, inscrições 1810258-2 e 3017358-7, os quais a CDRJ não recolhe desde janeiro de 2013, além dos impostos relativos aos exercícios de 2016 e 2017 dos Municípios do Rio de Janeiro, Itaguaí, Niterói e Angra dos Reis.</w:t>
      </w:r>
    </w:p>
    <w:p w:rsidR="006D1F1A" w:rsidRDefault="006D1F1A" w:rsidP="00C16DDB">
      <w:pPr>
        <w:jc w:val="both"/>
        <w:rPr>
          <w:rFonts w:ascii="Calibri" w:hAnsi="Calibri" w:cs="Calibri"/>
          <w:sz w:val="24"/>
          <w:szCs w:val="24"/>
        </w:rPr>
      </w:pPr>
    </w:p>
    <w:p w:rsidR="002D5068" w:rsidRDefault="008F6488" w:rsidP="00C16DDB">
      <w:pPr>
        <w:jc w:val="both"/>
        <w:rPr>
          <w:rFonts w:ascii="Calibri" w:hAnsi="Calibri" w:cs="Calibri"/>
          <w:sz w:val="24"/>
          <w:szCs w:val="24"/>
        </w:rPr>
      </w:pPr>
      <w:r>
        <w:rPr>
          <w:rFonts w:ascii="Calibri" w:hAnsi="Calibri" w:cs="Calibri"/>
          <w:sz w:val="24"/>
          <w:szCs w:val="24"/>
        </w:rPr>
        <w:t xml:space="preserve">O </w:t>
      </w:r>
      <w:r w:rsidRPr="001C0FBF">
        <w:rPr>
          <w:rFonts w:ascii="Calibri" w:hAnsi="Calibri" w:cs="Calibri"/>
          <w:b/>
          <w:sz w:val="24"/>
          <w:szCs w:val="24"/>
        </w:rPr>
        <w:t>ISS</w:t>
      </w:r>
      <w:r>
        <w:rPr>
          <w:rFonts w:ascii="Calibri" w:hAnsi="Calibri" w:cs="Calibri"/>
          <w:sz w:val="24"/>
          <w:szCs w:val="24"/>
        </w:rPr>
        <w:t xml:space="preserve"> </w:t>
      </w:r>
      <w:r w:rsidR="008967A6">
        <w:rPr>
          <w:rFonts w:ascii="Calibri" w:hAnsi="Calibri" w:cs="Calibri"/>
          <w:sz w:val="24"/>
          <w:szCs w:val="24"/>
        </w:rPr>
        <w:t>de curto prazo refere-se ao recolhimento mensal</w:t>
      </w:r>
      <w:r w:rsidR="006350A8">
        <w:rPr>
          <w:rFonts w:ascii="Calibri" w:hAnsi="Calibri" w:cs="Calibri"/>
          <w:sz w:val="24"/>
          <w:szCs w:val="24"/>
        </w:rPr>
        <w:t xml:space="preserve"> habitual,</w:t>
      </w:r>
      <w:r w:rsidR="00ED5AC8">
        <w:rPr>
          <w:rFonts w:ascii="Calibri" w:hAnsi="Calibri" w:cs="Calibri"/>
          <w:sz w:val="24"/>
          <w:szCs w:val="24"/>
        </w:rPr>
        <w:t xml:space="preserve"> </w:t>
      </w:r>
      <w:r w:rsidR="008967A6">
        <w:rPr>
          <w:rFonts w:ascii="Calibri" w:hAnsi="Calibri" w:cs="Calibri"/>
          <w:sz w:val="24"/>
          <w:szCs w:val="24"/>
        </w:rPr>
        <w:t xml:space="preserve">além de valores de exercícios anteriores, em cobrança amigável. Os valores </w:t>
      </w:r>
      <w:r w:rsidR="006350A8">
        <w:rPr>
          <w:rFonts w:ascii="Calibri" w:hAnsi="Calibri" w:cs="Calibri"/>
          <w:sz w:val="24"/>
          <w:szCs w:val="24"/>
        </w:rPr>
        <w:t>do</w:t>
      </w:r>
      <w:r w:rsidR="008967A6">
        <w:rPr>
          <w:rFonts w:ascii="Calibri" w:hAnsi="Calibri" w:cs="Calibri"/>
          <w:sz w:val="24"/>
          <w:szCs w:val="24"/>
        </w:rPr>
        <w:t xml:space="preserve"> longo prazo, vencidos e não pagos desde julho de 1989, estão sendo cobrados </w:t>
      </w:r>
      <w:r>
        <w:rPr>
          <w:rFonts w:ascii="Calibri" w:hAnsi="Calibri" w:cs="Calibri"/>
          <w:sz w:val="24"/>
          <w:szCs w:val="24"/>
        </w:rPr>
        <w:t>pelo Município do Rio de J</w:t>
      </w:r>
      <w:r w:rsidR="00861B8E">
        <w:rPr>
          <w:rFonts w:ascii="Calibri" w:hAnsi="Calibri" w:cs="Calibri"/>
          <w:sz w:val="24"/>
          <w:szCs w:val="24"/>
        </w:rPr>
        <w:t>aneiro por meio de seis processos judiciais, em fase de execução, que tramitam na 12ª Vara da Fazenda Pública da Comarca da Capital.</w:t>
      </w:r>
    </w:p>
    <w:p w:rsidR="001C0FBF" w:rsidRDefault="002D5068" w:rsidP="00C16DDB">
      <w:pPr>
        <w:jc w:val="both"/>
        <w:rPr>
          <w:rFonts w:ascii="Calibri" w:hAnsi="Calibri" w:cs="Calibri"/>
          <w:sz w:val="24"/>
          <w:szCs w:val="24"/>
        </w:rPr>
      </w:pPr>
      <w:r>
        <w:rPr>
          <w:rFonts w:ascii="Calibri" w:hAnsi="Calibri" w:cs="Calibri"/>
          <w:sz w:val="24"/>
          <w:szCs w:val="24"/>
        </w:rPr>
        <w:t xml:space="preserve"> </w:t>
      </w:r>
    </w:p>
    <w:p w:rsidR="0011024F" w:rsidRDefault="001C0FBF" w:rsidP="00C16DDB">
      <w:pPr>
        <w:jc w:val="both"/>
        <w:rPr>
          <w:rFonts w:ascii="Calibri" w:hAnsi="Calibri" w:cs="Calibri"/>
          <w:sz w:val="24"/>
          <w:szCs w:val="24"/>
        </w:rPr>
      </w:pPr>
      <w:r>
        <w:rPr>
          <w:rFonts w:ascii="Calibri" w:hAnsi="Calibri" w:cs="Calibri"/>
          <w:sz w:val="24"/>
          <w:szCs w:val="24"/>
        </w:rPr>
        <w:t xml:space="preserve">Os </w:t>
      </w:r>
      <w:r w:rsidRPr="001C0FBF">
        <w:rPr>
          <w:rFonts w:ascii="Calibri" w:hAnsi="Calibri" w:cs="Calibri"/>
          <w:b/>
          <w:sz w:val="24"/>
          <w:szCs w:val="24"/>
        </w:rPr>
        <w:t xml:space="preserve">Parcelamentos </w:t>
      </w:r>
      <w:r w:rsidR="0011024F">
        <w:rPr>
          <w:rFonts w:ascii="Calibri" w:hAnsi="Calibri" w:cs="Calibri"/>
          <w:sz w:val="24"/>
          <w:szCs w:val="24"/>
        </w:rPr>
        <w:t>compreendem quatro modalidade</w:t>
      </w:r>
      <w:r>
        <w:rPr>
          <w:rFonts w:ascii="Calibri" w:hAnsi="Calibri" w:cs="Calibri"/>
          <w:sz w:val="24"/>
          <w:szCs w:val="24"/>
        </w:rPr>
        <w:t>s</w:t>
      </w:r>
      <w:r w:rsidR="0011024F">
        <w:rPr>
          <w:rFonts w:ascii="Calibri" w:hAnsi="Calibri" w:cs="Calibri"/>
          <w:sz w:val="24"/>
          <w:szCs w:val="24"/>
        </w:rPr>
        <w:t xml:space="preserve"> do</w:t>
      </w:r>
      <w:r>
        <w:rPr>
          <w:rFonts w:ascii="Calibri" w:hAnsi="Calibri" w:cs="Calibri"/>
          <w:sz w:val="24"/>
          <w:szCs w:val="24"/>
        </w:rPr>
        <w:t xml:space="preserve"> Programa Especial de Regularização Tributária – PERT</w:t>
      </w:r>
      <w:r w:rsidR="0011024F">
        <w:rPr>
          <w:rFonts w:ascii="Calibri" w:hAnsi="Calibri" w:cs="Calibri"/>
          <w:sz w:val="24"/>
          <w:szCs w:val="24"/>
        </w:rPr>
        <w:t xml:space="preserve">, cuja adesão ocorreu em 14 de novembro de 2017, </w:t>
      </w:r>
      <w:r w:rsidR="00ED4421">
        <w:rPr>
          <w:rFonts w:ascii="Calibri" w:hAnsi="Calibri" w:cs="Calibri"/>
          <w:sz w:val="24"/>
          <w:szCs w:val="24"/>
        </w:rPr>
        <w:t>dois</w:t>
      </w:r>
      <w:r w:rsidR="0011024F">
        <w:rPr>
          <w:rFonts w:ascii="Calibri" w:hAnsi="Calibri" w:cs="Calibri"/>
          <w:sz w:val="24"/>
          <w:szCs w:val="24"/>
        </w:rPr>
        <w:t xml:space="preserve"> </w:t>
      </w:r>
      <w:r w:rsidR="00ED4421">
        <w:rPr>
          <w:rFonts w:ascii="Calibri" w:hAnsi="Calibri" w:cs="Calibri"/>
          <w:sz w:val="24"/>
          <w:szCs w:val="24"/>
        </w:rPr>
        <w:t>p</w:t>
      </w:r>
      <w:r w:rsidR="0011024F">
        <w:rPr>
          <w:rFonts w:ascii="Calibri" w:hAnsi="Calibri" w:cs="Calibri"/>
          <w:sz w:val="24"/>
          <w:szCs w:val="24"/>
        </w:rPr>
        <w:t xml:space="preserve">arcelamentos </w:t>
      </w:r>
      <w:r w:rsidR="00ED4421">
        <w:rPr>
          <w:rFonts w:ascii="Calibri" w:hAnsi="Calibri" w:cs="Calibri"/>
          <w:sz w:val="24"/>
          <w:szCs w:val="24"/>
        </w:rPr>
        <w:t>o</w:t>
      </w:r>
      <w:r w:rsidR="0011024F">
        <w:rPr>
          <w:rFonts w:ascii="Calibri" w:hAnsi="Calibri" w:cs="Calibri"/>
          <w:sz w:val="24"/>
          <w:szCs w:val="24"/>
        </w:rPr>
        <w:t xml:space="preserve">rdinários </w:t>
      </w:r>
      <w:r w:rsidR="00ED4421">
        <w:rPr>
          <w:rFonts w:ascii="Calibri" w:hAnsi="Calibri" w:cs="Calibri"/>
          <w:sz w:val="24"/>
          <w:szCs w:val="24"/>
        </w:rPr>
        <w:t xml:space="preserve">– </w:t>
      </w:r>
      <w:r w:rsidR="0011024F">
        <w:rPr>
          <w:rFonts w:ascii="Calibri" w:hAnsi="Calibri" w:cs="Calibri"/>
          <w:sz w:val="24"/>
          <w:szCs w:val="24"/>
        </w:rPr>
        <w:t>Previdenciário</w:t>
      </w:r>
      <w:r w:rsidR="00ED4421">
        <w:rPr>
          <w:rFonts w:ascii="Calibri" w:hAnsi="Calibri" w:cs="Calibri"/>
          <w:sz w:val="24"/>
          <w:szCs w:val="24"/>
        </w:rPr>
        <w:t xml:space="preserve"> e</w:t>
      </w:r>
      <w:r w:rsidR="0011024F">
        <w:rPr>
          <w:rFonts w:ascii="Calibri" w:hAnsi="Calibri" w:cs="Calibri"/>
          <w:sz w:val="24"/>
          <w:szCs w:val="24"/>
        </w:rPr>
        <w:t xml:space="preserve"> PIS/COFINS, aderidos em 28 de maio de 2018 e 13 de julho de 2018, respectivamente, </w:t>
      </w:r>
      <w:r w:rsidR="00E71252">
        <w:rPr>
          <w:rFonts w:ascii="Calibri" w:hAnsi="Calibri" w:cs="Calibri"/>
          <w:sz w:val="24"/>
          <w:szCs w:val="24"/>
        </w:rPr>
        <w:t xml:space="preserve">um acordo com a PGFN – Negócio Jurídico Processual – assinado em 29 de maio de 2019, </w:t>
      </w:r>
      <w:r w:rsidR="0011024F">
        <w:rPr>
          <w:rFonts w:ascii="Calibri" w:hAnsi="Calibri" w:cs="Calibri"/>
          <w:sz w:val="24"/>
          <w:szCs w:val="24"/>
        </w:rPr>
        <w:t>dois p</w:t>
      </w:r>
      <w:r w:rsidR="00ED4421">
        <w:rPr>
          <w:rFonts w:ascii="Calibri" w:hAnsi="Calibri" w:cs="Calibri"/>
          <w:sz w:val="24"/>
          <w:szCs w:val="24"/>
        </w:rPr>
        <w:t>rocessos de pagamento mensal</w:t>
      </w:r>
      <w:r w:rsidR="00784D4D">
        <w:rPr>
          <w:rFonts w:ascii="Calibri" w:hAnsi="Calibri" w:cs="Calibri"/>
          <w:sz w:val="24"/>
          <w:szCs w:val="24"/>
        </w:rPr>
        <w:t xml:space="preserve"> de multas aplicadas pela ANTAQ e um acordo com o Município do Rio de Janeiro, relativo a IPTU.</w:t>
      </w:r>
    </w:p>
    <w:p w:rsidR="0011024F" w:rsidRDefault="0011024F" w:rsidP="00C16DDB">
      <w:pPr>
        <w:jc w:val="both"/>
        <w:rPr>
          <w:rFonts w:ascii="Calibri" w:hAnsi="Calibri" w:cs="Calibri"/>
          <w:sz w:val="24"/>
          <w:szCs w:val="24"/>
        </w:rPr>
      </w:pPr>
    </w:p>
    <w:p w:rsidR="0033356E" w:rsidRDefault="0033356E" w:rsidP="00C16DDB">
      <w:pPr>
        <w:jc w:val="both"/>
        <w:rPr>
          <w:rFonts w:ascii="Calibri" w:hAnsi="Calibri" w:cs="Calibri"/>
          <w:sz w:val="24"/>
          <w:szCs w:val="24"/>
        </w:rPr>
      </w:pPr>
      <w:r>
        <w:rPr>
          <w:rFonts w:ascii="Calibri" w:hAnsi="Calibri" w:cs="Calibri"/>
          <w:sz w:val="24"/>
          <w:szCs w:val="24"/>
        </w:rPr>
        <w:t xml:space="preserve">O </w:t>
      </w:r>
      <w:r w:rsidRPr="0033356E">
        <w:rPr>
          <w:rFonts w:ascii="Calibri" w:hAnsi="Calibri" w:cs="Calibri"/>
          <w:b/>
          <w:sz w:val="24"/>
          <w:szCs w:val="24"/>
        </w:rPr>
        <w:t>ATP</w:t>
      </w:r>
      <w:r>
        <w:rPr>
          <w:rFonts w:ascii="Calibri" w:hAnsi="Calibri" w:cs="Calibri"/>
          <w:sz w:val="24"/>
          <w:szCs w:val="24"/>
        </w:rPr>
        <w:t xml:space="preserve"> – Adicional de Tarifa Portuária</w:t>
      </w:r>
      <w:r w:rsidR="00AB389A">
        <w:rPr>
          <w:rFonts w:ascii="Calibri" w:hAnsi="Calibri" w:cs="Calibri"/>
          <w:sz w:val="24"/>
          <w:szCs w:val="24"/>
        </w:rPr>
        <w:t xml:space="preserve">, instituído pela Lei nº 7.700, de 21 de dezembro de 1988, tratava-se de cobrança de taxa cuja base de cálculo eram as operações </w:t>
      </w:r>
      <w:r w:rsidR="00DF66B7">
        <w:rPr>
          <w:rFonts w:ascii="Calibri" w:hAnsi="Calibri" w:cs="Calibri"/>
          <w:sz w:val="24"/>
          <w:szCs w:val="24"/>
        </w:rPr>
        <w:t>de importação e exportação</w:t>
      </w:r>
      <w:r w:rsidR="00AB389A">
        <w:rPr>
          <w:rFonts w:ascii="Calibri" w:hAnsi="Calibri" w:cs="Calibri"/>
          <w:sz w:val="24"/>
          <w:szCs w:val="24"/>
        </w:rPr>
        <w:t>, objeto do comércio na navegação de longo curso. A Lei nº 9.309, de 2 de outubro de 1996 revogou a supracitada Lei e, consequentemente, extinguiu a cobrança do adicional. O saldo permaneceu registrado contabilmente até 26/02/1999, quando a União efetuou transferência do valor aproximado de R$ 16,8 milhões para baixa parcial do passivo, tendo o aumento do Capital Social como contrapartida.</w:t>
      </w:r>
    </w:p>
    <w:p w:rsidR="000831FD" w:rsidRDefault="000831FD" w:rsidP="00C16DDB">
      <w:pPr>
        <w:jc w:val="both"/>
        <w:rPr>
          <w:rFonts w:ascii="Calibri" w:hAnsi="Calibri" w:cs="Calibri"/>
          <w:b/>
          <w:sz w:val="24"/>
          <w:szCs w:val="24"/>
        </w:rPr>
      </w:pPr>
    </w:p>
    <w:p w:rsidR="006350A8" w:rsidRDefault="006350A8" w:rsidP="00C16DDB">
      <w:pPr>
        <w:jc w:val="both"/>
        <w:rPr>
          <w:rFonts w:ascii="Calibri" w:hAnsi="Calibri" w:cs="Calibri"/>
          <w:b/>
          <w:sz w:val="24"/>
          <w:szCs w:val="24"/>
        </w:rPr>
      </w:pPr>
    </w:p>
    <w:p w:rsidR="001C4695" w:rsidRDefault="001C4695" w:rsidP="00C16DDB">
      <w:pPr>
        <w:jc w:val="both"/>
        <w:rPr>
          <w:rFonts w:ascii="Calibri" w:hAnsi="Calibri" w:cs="Calibri"/>
          <w:b/>
          <w:sz w:val="24"/>
          <w:szCs w:val="24"/>
        </w:rPr>
      </w:pPr>
    </w:p>
    <w:p w:rsidR="001C4695" w:rsidRDefault="001C4695" w:rsidP="00C16DDB">
      <w:pPr>
        <w:jc w:val="both"/>
        <w:rPr>
          <w:rFonts w:ascii="Calibri" w:hAnsi="Calibri" w:cs="Calibri"/>
          <w:b/>
          <w:sz w:val="24"/>
          <w:szCs w:val="24"/>
        </w:rPr>
      </w:pPr>
    </w:p>
    <w:p w:rsidR="001C4695" w:rsidRPr="00312424" w:rsidRDefault="001C4695" w:rsidP="00C16DDB">
      <w:pPr>
        <w:jc w:val="both"/>
        <w:rPr>
          <w:rFonts w:ascii="Calibri" w:hAnsi="Calibri" w:cs="Calibri"/>
          <w:b/>
          <w:sz w:val="24"/>
          <w:szCs w:val="24"/>
        </w:rPr>
      </w:pPr>
    </w:p>
    <w:p w:rsidR="00C16DDB" w:rsidRPr="00312424" w:rsidRDefault="005C4B73" w:rsidP="00C16DDB">
      <w:pPr>
        <w:jc w:val="both"/>
        <w:rPr>
          <w:rFonts w:ascii="Calibri" w:hAnsi="Calibri" w:cs="Calibri"/>
          <w:b/>
          <w:sz w:val="24"/>
          <w:szCs w:val="24"/>
          <w:u w:val="single"/>
        </w:rPr>
      </w:pPr>
      <w:r>
        <w:rPr>
          <w:rFonts w:ascii="Calibri" w:hAnsi="Calibri" w:cs="Calibri"/>
          <w:b/>
          <w:sz w:val="24"/>
          <w:szCs w:val="24"/>
        </w:rPr>
        <w:lastRenderedPageBreak/>
        <w:t>1</w:t>
      </w:r>
      <w:r w:rsidR="0043773C">
        <w:rPr>
          <w:rFonts w:ascii="Calibri" w:hAnsi="Calibri" w:cs="Calibri"/>
          <w:b/>
          <w:sz w:val="24"/>
          <w:szCs w:val="24"/>
        </w:rPr>
        <w:t>6</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OBRIGAÇÕES CONTRATUAIS</w:t>
      </w:r>
    </w:p>
    <w:p w:rsidR="00C16DDB" w:rsidRPr="00312424" w:rsidRDefault="00C16DDB" w:rsidP="00C16DDB">
      <w:pPr>
        <w:jc w:val="both"/>
        <w:rPr>
          <w:rFonts w:ascii="Calibri" w:hAnsi="Calibri" w:cs="Calibri"/>
          <w:b/>
          <w:sz w:val="24"/>
          <w:szCs w:val="24"/>
          <w:u w:val="single"/>
        </w:rPr>
      </w:pPr>
    </w:p>
    <w:p w:rsidR="00C16DDB" w:rsidRDefault="00C16DDB" w:rsidP="00C16DDB">
      <w:pPr>
        <w:jc w:val="both"/>
        <w:rPr>
          <w:rFonts w:ascii="Calibri" w:hAnsi="Calibri" w:cs="Calibri"/>
          <w:sz w:val="24"/>
          <w:szCs w:val="24"/>
        </w:rPr>
      </w:pPr>
      <w:r w:rsidRPr="00312424">
        <w:rPr>
          <w:rFonts w:ascii="Calibri" w:hAnsi="Calibri" w:cs="Calibri"/>
          <w:sz w:val="24"/>
          <w:szCs w:val="24"/>
        </w:rPr>
        <w:t>As obrigações contratuais</w:t>
      </w:r>
      <w:r w:rsidR="00972FE6">
        <w:rPr>
          <w:rFonts w:ascii="Calibri" w:hAnsi="Calibri" w:cs="Calibri"/>
          <w:sz w:val="24"/>
          <w:szCs w:val="24"/>
        </w:rPr>
        <w:t>,</w:t>
      </w:r>
      <w:r w:rsidRPr="00312424">
        <w:rPr>
          <w:rFonts w:ascii="Calibri" w:hAnsi="Calibri" w:cs="Calibri"/>
          <w:sz w:val="24"/>
          <w:szCs w:val="24"/>
        </w:rPr>
        <w:t xml:space="preserve"> incluídos os encargos e atualizações, quando aplicáveis, </w:t>
      </w:r>
      <w:r w:rsidR="00BF4639">
        <w:rPr>
          <w:rFonts w:ascii="Calibri" w:hAnsi="Calibri" w:cs="Calibri"/>
          <w:sz w:val="24"/>
          <w:szCs w:val="24"/>
        </w:rPr>
        <w:t xml:space="preserve">incorridos até a data do balanço, </w:t>
      </w:r>
      <w:r w:rsidR="005C4B73">
        <w:rPr>
          <w:rFonts w:ascii="Calibri" w:hAnsi="Calibri" w:cs="Calibri"/>
          <w:sz w:val="24"/>
          <w:szCs w:val="24"/>
        </w:rPr>
        <w:t>possuem a seguinte composição:</w:t>
      </w:r>
    </w:p>
    <w:p w:rsidR="005C4B73" w:rsidRDefault="005C4B73" w:rsidP="00C16DDB">
      <w:pPr>
        <w:jc w:val="both"/>
        <w:rPr>
          <w:rFonts w:ascii="Calibri" w:hAnsi="Calibri" w:cs="Calibri"/>
          <w:sz w:val="24"/>
          <w:szCs w:val="24"/>
        </w:rPr>
      </w:pPr>
    </w:p>
    <w:tbl>
      <w:tblPr>
        <w:tblW w:w="9900" w:type="dxa"/>
        <w:tblCellMar>
          <w:left w:w="70" w:type="dxa"/>
          <w:right w:w="70" w:type="dxa"/>
        </w:tblCellMar>
        <w:tblLook w:val="04A0" w:firstRow="1" w:lastRow="0" w:firstColumn="1" w:lastColumn="0" w:noHBand="0" w:noVBand="1"/>
      </w:tblPr>
      <w:tblGrid>
        <w:gridCol w:w="2860"/>
        <w:gridCol w:w="1760"/>
        <w:gridCol w:w="1760"/>
        <w:gridCol w:w="1760"/>
        <w:gridCol w:w="1760"/>
      </w:tblGrid>
      <w:tr w:rsidR="001A3B52" w:rsidRPr="001A3B52" w:rsidTr="00697525">
        <w:trPr>
          <w:trHeight w:val="284"/>
        </w:trPr>
        <w:tc>
          <w:tcPr>
            <w:tcW w:w="2860" w:type="dxa"/>
            <w:tcBorders>
              <w:top w:val="nil"/>
              <w:left w:val="nil"/>
              <w:bottom w:val="nil"/>
              <w:right w:val="single" w:sz="4" w:space="0" w:color="auto"/>
            </w:tcBorders>
            <w:shd w:val="clear" w:color="auto" w:fill="auto"/>
            <w:noWrap/>
            <w:vAlign w:val="bottom"/>
            <w:hideMark/>
          </w:tcPr>
          <w:p w:rsidR="001A3B52" w:rsidRPr="001A3B52" w:rsidRDefault="001A3B52" w:rsidP="001A3B52">
            <w:pPr>
              <w:widowControl/>
              <w:rPr>
                <w:rFonts w:ascii="Calibri" w:hAnsi="Calibri" w:cs="Calibri"/>
                <w:snapToGrid/>
                <w:color w:val="000000"/>
                <w:sz w:val="24"/>
                <w:szCs w:val="24"/>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B52" w:rsidRPr="001A3B52" w:rsidRDefault="001A3B52" w:rsidP="001A3B52">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Circulante</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B52" w:rsidRPr="001A3B52" w:rsidRDefault="001A3B52" w:rsidP="001A3B52">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Não Circulante</w:t>
            </w:r>
          </w:p>
        </w:tc>
      </w:tr>
      <w:tr w:rsidR="001A3B52" w:rsidRPr="001A3B52" w:rsidTr="00697525">
        <w:trPr>
          <w:trHeight w:val="284"/>
        </w:trPr>
        <w:tc>
          <w:tcPr>
            <w:tcW w:w="2860" w:type="dxa"/>
            <w:tcBorders>
              <w:top w:val="nil"/>
              <w:left w:val="nil"/>
              <w:bottom w:val="single" w:sz="4" w:space="0" w:color="auto"/>
              <w:right w:val="single" w:sz="4" w:space="0" w:color="auto"/>
            </w:tcBorders>
            <w:shd w:val="clear" w:color="auto" w:fill="auto"/>
            <w:noWrap/>
            <w:vAlign w:val="bottom"/>
            <w:hideMark/>
          </w:tcPr>
          <w:p w:rsidR="001A3B52" w:rsidRPr="001A3B52" w:rsidRDefault="001A3B52" w:rsidP="001A3B52">
            <w:pPr>
              <w:widowControl/>
              <w:rPr>
                <w:rFonts w:ascii="Calibri" w:hAnsi="Calibri" w:cs="Calibri"/>
                <w:snapToGrid/>
                <w:color w:val="000000"/>
                <w:sz w:val="24"/>
                <w:szCs w:val="24"/>
              </w:rPr>
            </w:pPr>
            <w:r w:rsidRPr="001A3B52">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B52" w:rsidRPr="001A3B52" w:rsidRDefault="00D0760C" w:rsidP="00DC5B3A">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B52" w:rsidRPr="001A3B52" w:rsidRDefault="001A3B52" w:rsidP="00ED5AC8">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31/12/201</w:t>
            </w:r>
            <w:r w:rsidR="00ED5AC8">
              <w:rPr>
                <w:rFonts w:ascii="Calibri" w:hAnsi="Calibri" w:cs="Calibri"/>
                <w:b/>
                <w:bCs/>
                <w:snapToGrid/>
                <w:color w:val="000000"/>
                <w:sz w:val="24"/>
                <w:szCs w:val="24"/>
              </w:rPr>
              <w:t>8</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B52" w:rsidRPr="001A3B52" w:rsidRDefault="00D0760C" w:rsidP="00DC5B3A">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B52" w:rsidRPr="001A3B52" w:rsidRDefault="001A3B52" w:rsidP="00ED5AC8">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31/12/201</w:t>
            </w:r>
            <w:r w:rsidR="00ED5AC8">
              <w:rPr>
                <w:rFonts w:ascii="Calibri" w:hAnsi="Calibri" w:cs="Calibri"/>
                <w:b/>
                <w:bCs/>
                <w:snapToGrid/>
                <w:color w:val="000000"/>
                <w:sz w:val="24"/>
                <w:szCs w:val="24"/>
              </w:rPr>
              <w:t>8</w:t>
            </w:r>
          </w:p>
        </w:tc>
      </w:tr>
      <w:tr w:rsidR="00ED5AC8" w:rsidRPr="001A3B52"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AC8" w:rsidRPr="001A3B52" w:rsidRDefault="00972FE6" w:rsidP="00ED5AC8">
            <w:pPr>
              <w:widowControl/>
              <w:rPr>
                <w:rFonts w:ascii="Calibri" w:hAnsi="Calibri" w:cs="Calibri"/>
                <w:snapToGrid/>
                <w:color w:val="000000"/>
                <w:sz w:val="24"/>
                <w:szCs w:val="24"/>
              </w:rPr>
            </w:pPr>
            <w:r>
              <w:rPr>
                <w:rFonts w:ascii="Calibri" w:hAnsi="Calibri" w:cs="Calibri"/>
                <w:snapToGrid/>
                <w:color w:val="000000"/>
                <w:sz w:val="24"/>
                <w:szCs w:val="24"/>
              </w:rPr>
              <w:t>Adiantamento de Cliente</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AC8" w:rsidRPr="001A3B52" w:rsidRDefault="00712984" w:rsidP="00ED5AC8">
            <w:pPr>
              <w:widowControl/>
              <w:jc w:val="right"/>
              <w:rPr>
                <w:rFonts w:ascii="Calibri" w:hAnsi="Calibri" w:cs="Calibri"/>
                <w:snapToGrid/>
                <w:color w:val="000000"/>
                <w:sz w:val="24"/>
                <w:szCs w:val="24"/>
              </w:rPr>
            </w:pPr>
            <w:r>
              <w:rPr>
                <w:rFonts w:ascii="Calibri" w:hAnsi="Calibri" w:cs="Calibri"/>
                <w:snapToGrid/>
                <w:color w:val="000000"/>
                <w:sz w:val="24"/>
                <w:szCs w:val="24"/>
              </w:rPr>
              <w:t>2.979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AC8" w:rsidRPr="001A3B52" w:rsidRDefault="00ED5AC8" w:rsidP="00ED5AC8">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6.481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AC8" w:rsidRPr="001A3B52" w:rsidRDefault="00D414A4"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AC8" w:rsidRPr="001A3B52" w:rsidRDefault="00D414A4"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ED5AC8" w:rsidRPr="001A3B52"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AC8" w:rsidRPr="001A3B52" w:rsidRDefault="00ED5AC8" w:rsidP="00ED5AC8">
            <w:pPr>
              <w:widowControl/>
              <w:rPr>
                <w:rFonts w:ascii="Calibri" w:hAnsi="Calibri" w:cs="Calibri"/>
                <w:snapToGrid/>
                <w:color w:val="000000"/>
                <w:sz w:val="24"/>
                <w:szCs w:val="24"/>
              </w:rPr>
            </w:pPr>
            <w:r w:rsidRPr="001A3B52">
              <w:rPr>
                <w:rFonts w:ascii="Calibri" w:hAnsi="Calibri" w:cs="Calibri"/>
                <w:snapToGrid/>
                <w:color w:val="000000"/>
                <w:sz w:val="24"/>
                <w:szCs w:val="24"/>
              </w:rPr>
              <w:t>Expansão Terminal 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AC8" w:rsidRPr="001A3B52" w:rsidRDefault="00712984" w:rsidP="00E71252">
            <w:pPr>
              <w:widowControl/>
              <w:jc w:val="right"/>
              <w:rPr>
                <w:rFonts w:ascii="Calibri" w:hAnsi="Calibri" w:cs="Calibri"/>
                <w:snapToGrid/>
                <w:color w:val="000000"/>
                <w:sz w:val="24"/>
                <w:szCs w:val="24"/>
              </w:rPr>
            </w:pPr>
            <w:r>
              <w:rPr>
                <w:rFonts w:ascii="Calibri" w:hAnsi="Calibri" w:cs="Calibri"/>
                <w:snapToGrid/>
                <w:color w:val="000000"/>
                <w:sz w:val="24"/>
                <w:szCs w:val="24"/>
              </w:rPr>
              <w:t>14.994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AC8" w:rsidRPr="001A3B52" w:rsidRDefault="00ED5AC8" w:rsidP="00ED5AC8">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21.081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AC8" w:rsidRPr="001A3B52" w:rsidRDefault="00712984" w:rsidP="00972FE6">
            <w:pPr>
              <w:widowControl/>
              <w:jc w:val="right"/>
              <w:rPr>
                <w:rFonts w:ascii="Calibri" w:hAnsi="Calibri" w:cs="Calibri"/>
                <w:snapToGrid/>
                <w:color w:val="000000"/>
                <w:sz w:val="24"/>
                <w:szCs w:val="24"/>
              </w:rPr>
            </w:pPr>
            <w:r>
              <w:rPr>
                <w:rFonts w:ascii="Calibri" w:hAnsi="Calibri" w:cs="Calibri"/>
                <w:snapToGrid/>
                <w:color w:val="000000"/>
                <w:sz w:val="24"/>
                <w:szCs w:val="24"/>
              </w:rPr>
              <w:t>34.850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AC8" w:rsidRPr="001A3B52" w:rsidRDefault="00ED5AC8" w:rsidP="00ED5AC8">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48.872</w:t>
            </w:r>
          </w:p>
        </w:tc>
      </w:tr>
      <w:tr w:rsidR="00ED5AC8" w:rsidRPr="001A3B52"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AC8" w:rsidRPr="001A3B52" w:rsidRDefault="00ED5AC8" w:rsidP="00ED5AC8">
            <w:pPr>
              <w:widowControl/>
              <w:rPr>
                <w:rFonts w:ascii="Calibri" w:hAnsi="Calibri" w:cs="Calibri"/>
                <w:snapToGrid/>
                <w:color w:val="000000"/>
                <w:sz w:val="24"/>
                <w:szCs w:val="24"/>
              </w:rPr>
            </w:pPr>
            <w:r w:rsidRPr="001A3B52">
              <w:rPr>
                <w:rFonts w:ascii="Calibri" w:hAnsi="Calibri" w:cs="Calibri"/>
                <w:snapToGrid/>
                <w:color w:val="000000"/>
                <w:sz w:val="24"/>
                <w:szCs w:val="24"/>
              </w:rPr>
              <w:t>Cessão de Crédito</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AC8" w:rsidRPr="001A3B52" w:rsidRDefault="00712984" w:rsidP="00E71252">
            <w:pPr>
              <w:widowControl/>
              <w:jc w:val="right"/>
              <w:rPr>
                <w:rFonts w:ascii="Calibri" w:hAnsi="Calibri" w:cs="Calibri"/>
                <w:snapToGrid/>
                <w:color w:val="000000"/>
                <w:sz w:val="24"/>
                <w:szCs w:val="24"/>
              </w:rPr>
            </w:pPr>
            <w:r>
              <w:rPr>
                <w:rFonts w:ascii="Calibri" w:hAnsi="Calibri" w:cs="Calibri"/>
                <w:snapToGrid/>
                <w:color w:val="000000"/>
                <w:sz w:val="24"/>
                <w:szCs w:val="24"/>
              </w:rPr>
              <w:t>193.226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AC8" w:rsidRPr="001A3B52" w:rsidRDefault="00ED5AC8" w:rsidP="00ED5AC8">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149.898</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AC8" w:rsidRPr="001A3B52" w:rsidRDefault="00D414A4"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AC8" w:rsidRPr="001A3B52" w:rsidRDefault="00D414A4"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ED5AC8" w:rsidRPr="001A3B52"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AC8" w:rsidRPr="001A3B52" w:rsidRDefault="00ED5AC8" w:rsidP="00ED5AC8">
            <w:pPr>
              <w:widowControl/>
              <w:rPr>
                <w:rFonts w:ascii="Calibri" w:hAnsi="Calibri" w:cs="Calibri"/>
                <w:snapToGrid/>
                <w:color w:val="000000"/>
                <w:sz w:val="24"/>
                <w:szCs w:val="24"/>
              </w:rPr>
            </w:pPr>
            <w:r w:rsidRPr="001A3B52">
              <w:rPr>
                <w:rFonts w:ascii="Calibri" w:hAnsi="Calibri" w:cs="Calibri"/>
                <w:snapToGrid/>
                <w:color w:val="000000"/>
                <w:sz w:val="24"/>
                <w:szCs w:val="24"/>
              </w:rPr>
              <w:t>Outros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AC8" w:rsidRPr="001A3B52" w:rsidRDefault="00712984" w:rsidP="002D15AF">
            <w:pPr>
              <w:widowControl/>
              <w:jc w:val="right"/>
              <w:rPr>
                <w:rFonts w:ascii="Calibri" w:hAnsi="Calibri" w:cs="Calibri"/>
                <w:snapToGrid/>
                <w:color w:val="000000"/>
                <w:sz w:val="24"/>
                <w:szCs w:val="24"/>
              </w:rPr>
            </w:pPr>
            <w:r>
              <w:rPr>
                <w:rFonts w:ascii="Calibri" w:hAnsi="Calibri" w:cs="Calibri"/>
                <w:snapToGrid/>
                <w:color w:val="000000"/>
                <w:sz w:val="24"/>
                <w:szCs w:val="24"/>
              </w:rPr>
              <w:t>2.828</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AC8" w:rsidRPr="001A3B52" w:rsidRDefault="00ED5AC8" w:rsidP="00ED5AC8">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2.766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AC8" w:rsidRPr="001A3B52" w:rsidRDefault="00D414A4"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AC8" w:rsidRPr="001A3B52" w:rsidRDefault="00D414A4"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ED5AC8" w:rsidRPr="001A3B52"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AC8" w:rsidRPr="001A3B52" w:rsidRDefault="00ED5AC8" w:rsidP="00ED5AC8">
            <w:pPr>
              <w:widowControl/>
              <w:rPr>
                <w:rFonts w:ascii="Calibri" w:hAnsi="Calibri" w:cs="Calibri"/>
                <w:b/>
                <w:bCs/>
                <w:snapToGrid/>
                <w:color w:val="000000"/>
                <w:sz w:val="24"/>
                <w:szCs w:val="24"/>
              </w:rPr>
            </w:pPr>
            <w:r w:rsidRPr="001A3B52">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AC8" w:rsidRPr="001A3B52" w:rsidRDefault="00712984" w:rsidP="002D15AF">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214.027</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AC8" w:rsidRPr="001A3B52" w:rsidRDefault="00ED5AC8" w:rsidP="00ED5AC8">
            <w:pPr>
              <w:widowControl/>
              <w:jc w:val="right"/>
              <w:rPr>
                <w:rFonts w:ascii="Calibri" w:hAnsi="Calibri" w:cs="Calibri"/>
                <w:b/>
                <w:bCs/>
                <w:snapToGrid/>
                <w:color w:val="000000"/>
                <w:sz w:val="24"/>
                <w:szCs w:val="24"/>
              </w:rPr>
            </w:pPr>
            <w:r w:rsidRPr="001A3B52">
              <w:rPr>
                <w:rFonts w:ascii="Calibri" w:hAnsi="Calibri" w:cs="Calibri"/>
                <w:b/>
                <w:bCs/>
                <w:snapToGrid/>
                <w:color w:val="000000"/>
                <w:sz w:val="24"/>
                <w:szCs w:val="24"/>
              </w:rPr>
              <w:t>180.226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AC8" w:rsidRPr="001A3B52" w:rsidRDefault="00712984" w:rsidP="00ED5AC8">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34.850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AC8" w:rsidRPr="001A3B52" w:rsidRDefault="00ED5AC8" w:rsidP="00ED5AC8">
            <w:pPr>
              <w:widowControl/>
              <w:jc w:val="right"/>
              <w:rPr>
                <w:rFonts w:ascii="Calibri" w:hAnsi="Calibri" w:cs="Calibri"/>
                <w:b/>
                <w:bCs/>
                <w:snapToGrid/>
                <w:color w:val="000000"/>
                <w:sz w:val="24"/>
                <w:szCs w:val="24"/>
              </w:rPr>
            </w:pPr>
            <w:r w:rsidRPr="001A3B52">
              <w:rPr>
                <w:rFonts w:ascii="Calibri" w:hAnsi="Calibri" w:cs="Calibri"/>
                <w:b/>
                <w:bCs/>
                <w:snapToGrid/>
                <w:color w:val="000000"/>
                <w:sz w:val="24"/>
                <w:szCs w:val="24"/>
              </w:rPr>
              <w:t>48.872</w:t>
            </w:r>
          </w:p>
        </w:tc>
      </w:tr>
    </w:tbl>
    <w:p w:rsidR="00F951DD" w:rsidRDefault="00F951DD" w:rsidP="00C16DDB">
      <w:pPr>
        <w:jc w:val="both"/>
        <w:rPr>
          <w:rFonts w:ascii="Calibri" w:hAnsi="Calibri" w:cs="Calibri"/>
          <w:sz w:val="24"/>
          <w:szCs w:val="24"/>
        </w:rPr>
      </w:pPr>
    </w:p>
    <w:p w:rsidR="008706A4" w:rsidRDefault="001B6C63" w:rsidP="00C16DDB">
      <w:pPr>
        <w:jc w:val="both"/>
        <w:rPr>
          <w:rFonts w:ascii="Calibri" w:hAnsi="Calibri" w:cs="Calibri"/>
          <w:sz w:val="24"/>
          <w:szCs w:val="24"/>
        </w:rPr>
      </w:pPr>
      <w:r>
        <w:rPr>
          <w:rFonts w:ascii="Calibri" w:hAnsi="Calibri" w:cs="Calibri"/>
          <w:sz w:val="24"/>
          <w:szCs w:val="24"/>
        </w:rPr>
        <w:t xml:space="preserve">A </w:t>
      </w:r>
      <w:r w:rsidRPr="001B6C63">
        <w:rPr>
          <w:rFonts w:ascii="Calibri" w:hAnsi="Calibri" w:cs="Calibri"/>
          <w:b/>
          <w:sz w:val="24"/>
          <w:szCs w:val="24"/>
        </w:rPr>
        <w:t>Expansão do Terminal</w:t>
      </w:r>
      <w:r>
        <w:rPr>
          <w:rFonts w:ascii="Calibri" w:hAnsi="Calibri" w:cs="Calibri"/>
          <w:sz w:val="24"/>
          <w:szCs w:val="24"/>
        </w:rPr>
        <w:t xml:space="preserve"> 1</w:t>
      </w:r>
      <w:r w:rsidR="00573368">
        <w:rPr>
          <w:rFonts w:ascii="Calibri" w:hAnsi="Calibri" w:cs="Calibri"/>
          <w:sz w:val="24"/>
          <w:szCs w:val="24"/>
        </w:rPr>
        <w:t xml:space="preserve"> constitui obrigação assumida com o Grupo Libra, referente às obras de ampliação do cais da área arrendada</w:t>
      </w:r>
      <w:r w:rsidR="00BF4639">
        <w:rPr>
          <w:rFonts w:ascii="Calibri" w:hAnsi="Calibri" w:cs="Calibri"/>
          <w:sz w:val="24"/>
          <w:szCs w:val="24"/>
        </w:rPr>
        <w:t xml:space="preserve"> (Terminal 1)</w:t>
      </w:r>
      <w:r w:rsidR="00573368">
        <w:rPr>
          <w:rFonts w:ascii="Calibri" w:hAnsi="Calibri" w:cs="Calibri"/>
          <w:sz w:val="24"/>
          <w:szCs w:val="24"/>
        </w:rPr>
        <w:t xml:space="preserve">. As obras, por força do </w:t>
      </w:r>
      <w:r w:rsidR="004730A3">
        <w:rPr>
          <w:rFonts w:ascii="Calibri" w:hAnsi="Calibri" w:cs="Calibri"/>
          <w:sz w:val="24"/>
          <w:szCs w:val="24"/>
        </w:rPr>
        <w:t xml:space="preserve">12º (décimo-segundo) Termo Aditivo ao Contrato C-DEPJUR nº 010/98, </w:t>
      </w:r>
      <w:r w:rsidR="00573368">
        <w:rPr>
          <w:rFonts w:ascii="Calibri" w:hAnsi="Calibri" w:cs="Calibri"/>
          <w:sz w:val="24"/>
          <w:szCs w:val="24"/>
        </w:rPr>
        <w:t>assinado em 1</w:t>
      </w:r>
      <w:r w:rsidR="004730A3">
        <w:rPr>
          <w:rFonts w:ascii="Calibri" w:hAnsi="Calibri" w:cs="Calibri"/>
          <w:sz w:val="24"/>
          <w:szCs w:val="24"/>
        </w:rPr>
        <w:t>6</w:t>
      </w:r>
      <w:r w:rsidR="00573368">
        <w:rPr>
          <w:rFonts w:ascii="Calibri" w:hAnsi="Calibri" w:cs="Calibri"/>
          <w:sz w:val="24"/>
          <w:szCs w:val="24"/>
        </w:rPr>
        <w:t xml:space="preserve"> de </w:t>
      </w:r>
      <w:r w:rsidR="004730A3">
        <w:rPr>
          <w:rFonts w:ascii="Calibri" w:hAnsi="Calibri" w:cs="Calibri"/>
          <w:sz w:val="24"/>
          <w:szCs w:val="24"/>
        </w:rPr>
        <w:t>setembro</w:t>
      </w:r>
      <w:r w:rsidR="00573368">
        <w:rPr>
          <w:rFonts w:ascii="Calibri" w:hAnsi="Calibri" w:cs="Calibri"/>
          <w:sz w:val="24"/>
          <w:szCs w:val="24"/>
        </w:rPr>
        <w:t xml:space="preserve"> de </w:t>
      </w:r>
      <w:r w:rsidR="004730A3">
        <w:rPr>
          <w:rFonts w:ascii="Calibri" w:hAnsi="Calibri" w:cs="Calibri"/>
          <w:sz w:val="24"/>
          <w:szCs w:val="24"/>
        </w:rPr>
        <w:t>2011</w:t>
      </w:r>
      <w:r w:rsidR="00573368">
        <w:rPr>
          <w:rFonts w:ascii="Calibri" w:hAnsi="Calibri" w:cs="Calibri"/>
          <w:sz w:val="24"/>
          <w:szCs w:val="24"/>
        </w:rPr>
        <w:t xml:space="preserve">, eram de responsabilidade da CDRJ, mas foram financiadas pela arrendatária. A Diretoria Executiva, em sua 2098ª reunião, realizada em 7 de outubro de 2014, deliberou pelo </w:t>
      </w:r>
      <w:r w:rsidR="008706A4">
        <w:rPr>
          <w:rFonts w:ascii="Calibri" w:hAnsi="Calibri" w:cs="Calibri"/>
          <w:sz w:val="24"/>
          <w:szCs w:val="24"/>
        </w:rPr>
        <w:t>ressarcimento das despesas</w:t>
      </w:r>
      <w:r w:rsidR="00BF4639">
        <w:rPr>
          <w:rFonts w:ascii="Calibri" w:hAnsi="Calibri" w:cs="Calibri"/>
          <w:sz w:val="24"/>
          <w:szCs w:val="24"/>
        </w:rPr>
        <w:t xml:space="preserve"> à arrendatária</w:t>
      </w:r>
      <w:r w:rsidR="008706A4">
        <w:rPr>
          <w:rFonts w:ascii="Calibri" w:hAnsi="Calibri" w:cs="Calibri"/>
          <w:sz w:val="24"/>
          <w:szCs w:val="24"/>
        </w:rPr>
        <w:t>. O término do contrato está previsto para 16 de janeiro de 2023.</w:t>
      </w:r>
      <w:r w:rsidR="00BF4639">
        <w:rPr>
          <w:rFonts w:ascii="Calibri" w:hAnsi="Calibri" w:cs="Calibri"/>
          <w:sz w:val="24"/>
          <w:szCs w:val="24"/>
        </w:rPr>
        <w:t xml:space="preserve"> A CDRJ vem amortizando, mensalmente, o saldo devedor do contrato por meio de compensações com valores devidos pela Libra, referentes à</w:t>
      </w:r>
      <w:r w:rsidR="00712984">
        <w:rPr>
          <w:rFonts w:ascii="Calibri" w:hAnsi="Calibri" w:cs="Calibri"/>
          <w:sz w:val="24"/>
          <w:szCs w:val="24"/>
        </w:rPr>
        <w:t>s</w:t>
      </w:r>
      <w:r w:rsidR="00BF4639">
        <w:rPr>
          <w:rFonts w:ascii="Calibri" w:hAnsi="Calibri" w:cs="Calibri"/>
          <w:sz w:val="24"/>
          <w:szCs w:val="24"/>
        </w:rPr>
        <w:t xml:space="preserve"> parte</w:t>
      </w:r>
      <w:r w:rsidR="00712984">
        <w:rPr>
          <w:rFonts w:ascii="Calibri" w:hAnsi="Calibri" w:cs="Calibri"/>
          <w:sz w:val="24"/>
          <w:szCs w:val="24"/>
        </w:rPr>
        <w:t>s</w:t>
      </w:r>
      <w:r w:rsidR="00BF4639">
        <w:rPr>
          <w:rFonts w:ascii="Calibri" w:hAnsi="Calibri" w:cs="Calibri"/>
          <w:sz w:val="24"/>
          <w:szCs w:val="24"/>
        </w:rPr>
        <w:t xml:space="preserve"> fixa e variável do arrendamento.</w:t>
      </w:r>
    </w:p>
    <w:p w:rsidR="00085185" w:rsidRDefault="00085185" w:rsidP="00C16DDB">
      <w:pPr>
        <w:jc w:val="both"/>
        <w:rPr>
          <w:rFonts w:ascii="Calibri" w:hAnsi="Calibri" w:cs="Calibri"/>
          <w:sz w:val="24"/>
          <w:szCs w:val="24"/>
        </w:rPr>
      </w:pPr>
    </w:p>
    <w:p w:rsidR="008706A4" w:rsidRDefault="0050742F" w:rsidP="00C16DDB">
      <w:pPr>
        <w:jc w:val="both"/>
        <w:rPr>
          <w:rFonts w:ascii="Calibri" w:hAnsi="Calibri" w:cs="Calibri"/>
          <w:sz w:val="24"/>
          <w:szCs w:val="24"/>
        </w:rPr>
      </w:pPr>
      <w:r>
        <w:rPr>
          <w:rFonts w:ascii="Calibri" w:hAnsi="Calibri" w:cs="Calibri"/>
          <w:sz w:val="24"/>
          <w:szCs w:val="24"/>
        </w:rPr>
        <w:t>A</w:t>
      </w:r>
      <w:r w:rsidR="008706A4">
        <w:rPr>
          <w:rFonts w:ascii="Calibri" w:hAnsi="Calibri" w:cs="Calibri"/>
          <w:sz w:val="24"/>
          <w:szCs w:val="24"/>
        </w:rPr>
        <w:t xml:space="preserve"> </w:t>
      </w:r>
      <w:r w:rsidR="008706A4" w:rsidRPr="0050742F">
        <w:rPr>
          <w:rFonts w:ascii="Calibri" w:hAnsi="Calibri" w:cs="Calibri"/>
          <w:b/>
          <w:sz w:val="24"/>
          <w:szCs w:val="24"/>
        </w:rPr>
        <w:t>Cessão de Crédito</w:t>
      </w:r>
      <w:r w:rsidR="008706A4">
        <w:rPr>
          <w:rFonts w:ascii="Calibri" w:hAnsi="Calibri" w:cs="Calibri"/>
          <w:sz w:val="24"/>
          <w:szCs w:val="24"/>
        </w:rPr>
        <w:t xml:space="preserve"> </w:t>
      </w:r>
      <w:r>
        <w:rPr>
          <w:rFonts w:ascii="Calibri" w:hAnsi="Calibri" w:cs="Calibri"/>
          <w:sz w:val="24"/>
          <w:szCs w:val="24"/>
        </w:rPr>
        <w:t>refere-se a</w:t>
      </w:r>
      <w:r w:rsidR="008706A4">
        <w:rPr>
          <w:rFonts w:ascii="Calibri" w:hAnsi="Calibri" w:cs="Calibri"/>
          <w:sz w:val="24"/>
          <w:szCs w:val="24"/>
        </w:rPr>
        <w:t xml:space="preserve">os contratos </w:t>
      </w:r>
      <w:r w:rsidR="00BF4639">
        <w:rPr>
          <w:rFonts w:ascii="Calibri" w:hAnsi="Calibri" w:cs="Calibri"/>
          <w:sz w:val="24"/>
          <w:szCs w:val="24"/>
        </w:rPr>
        <w:t xml:space="preserve">firmados entre a CDRJ e a União, </w:t>
      </w:r>
      <w:r w:rsidR="008706A4">
        <w:rPr>
          <w:rFonts w:ascii="Calibri" w:hAnsi="Calibri" w:cs="Calibri"/>
          <w:sz w:val="24"/>
          <w:szCs w:val="24"/>
        </w:rPr>
        <w:t>nos quais a CDRJ transferiu à União parte dos direitos de créditos decorrentes dos contratos de arrendamento firmados com a Libra Terminal Rio e Sepetiba Tecon, vencíveis até o exercício de 202</w:t>
      </w:r>
      <w:r w:rsidR="00712984">
        <w:rPr>
          <w:rFonts w:ascii="Calibri" w:hAnsi="Calibri" w:cs="Calibri"/>
          <w:sz w:val="24"/>
          <w:szCs w:val="24"/>
        </w:rPr>
        <w:t>5</w:t>
      </w:r>
      <w:r>
        <w:rPr>
          <w:rFonts w:ascii="Calibri" w:hAnsi="Calibri" w:cs="Calibri"/>
          <w:sz w:val="24"/>
          <w:szCs w:val="24"/>
        </w:rPr>
        <w:t xml:space="preserve">. A União efetuou o pagamento à CDRJ em Letras </w:t>
      </w:r>
      <w:r w:rsidR="00BF4639">
        <w:rPr>
          <w:rFonts w:ascii="Calibri" w:hAnsi="Calibri" w:cs="Calibri"/>
          <w:sz w:val="24"/>
          <w:szCs w:val="24"/>
        </w:rPr>
        <w:t xml:space="preserve">Financeiras </w:t>
      </w:r>
      <w:r>
        <w:rPr>
          <w:rFonts w:ascii="Calibri" w:hAnsi="Calibri" w:cs="Calibri"/>
          <w:sz w:val="24"/>
          <w:szCs w:val="24"/>
        </w:rPr>
        <w:t>do Tesouro Nacional, com objetivo exclusivo de quitação d</w:t>
      </w:r>
      <w:r w:rsidR="003E7F3A">
        <w:rPr>
          <w:rFonts w:ascii="Calibri" w:hAnsi="Calibri" w:cs="Calibri"/>
          <w:sz w:val="24"/>
          <w:szCs w:val="24"/>
        </w:rPr>
        <w:t>e</w:t>
      </w:r>
      <w:r>
        <w:rPr>
          <w:rFonts w:ascii="Calibri" w:hAnsi="Calibri" w:cs="Calibri"/>
          <w:sz w:val="24"/>
          <w:szCs w:val="24"/>
        </w:rPr>
        <w:t xml:space="preserve"> passivo trabalhista. Os valores contabilizados referem-se às parcelas não recolhidas</w:t>
      </w:r>
      <w:r w:rsidR="006350A8">
        <w:rPr>
          <w:rFonts w:ascii="Calibri" w:hAnsi="Calibri" w:cs="Calibri"/>
          <w:sz w:val="24"/>
          <w:szCs w:val="24"/>
        </w:rPr>
        <w:t>,</w:t>
      </w:r>
      <w:r>
        <w:rPr>
          <w:rFonts w:ascii="Calibri" w:hAnsi="Calibri" w:cs="Calibri"/>
          <w:sz w:val="24"/>
          <w:szCs w:val="24"/>
        </w:rPr>
        <w:t xml:space="preserve"> ou recolhidas parcialmente</w:t>
      </w:r>
      <w:r w:rsidR="006350A8">
        <w:rPr>
          <w:rFonts w:ascii="Calibri" w:hAnsi="Calibri" w:cs="Calibri"/>
          <w:sz w:val="24"/>
          <w:szCs w:val="24"/>
        </w:rPr>
        <w:t>,</w:t>
      </w:r>
      <w:r>
        <w:rPr>
          <w:rFonts w:ascii="Calibri" w:hAnsi="Calibri" w:cs="Calibri"/>
          <w:sz w:val="24"/>
          <w:szCs w:val="24"/>
        </w:rPr>
        <w:t xml:space="preserve"> e à atualização de valores pagos em atraso</w:t>
      </w:r>
      <w:r w:rsidR="003E7F3A">
        <w:rPr>
          <w:rFonts w:ascii="Calibri" w:hAnsi="Calibri" w:cs="Calibri"/>
          <w:sz w:val="24"/>
          <w:szCs w:val="24"/>
        </w:rPr>
        <w:t>.</w:t>
      </w:r>
    </w:p>
    <w:p w:rsidR="00BF4639" w:rsidRDefault="00BF4639" w:rsidP="00C16DDB">
      <w:pPr>
        <w:rPr>
          <w:rFonts w:ascii="Calibri" w:hAnsi="Calibri" w:cs="Calibri"/>
          <w:b/>
          <w:sz w:val="24"/>
          <w:szCs w:val="24"/>
        </w:rPr>
      </w:pPr>
    </w:p>
    <w:p w:rsidR="00BF4639" w:rsidRDefault="00BF4639" w:rsidP="00C16DDB">
      <w:pPr>
        <w:rPr>
          <w:rFonts w:ascii="Calibri" w:hAnsi="Calibri" w:cs="Calibri"/>
          <w:b/>
          <w:sz w:val="24"/>
          <w:szCs w:val="24"/>
        </w:rPr>
      </w:pPr>
    </w:p>
    <w:p w:rsidR="00C16DDB" w:rsidRPr="00312424" w:rsidRDefault="0050742F" w:rsidP="00C16DDB">
      <w:pPr>
        <w:rPr>
          <w:rFonts w:ascii="Calibri" w:hAnsi="Calibri" w:cs="Calibri"/>
          <w:b/>
          <w:sz w:val="24"/>
          <w:szCs w:val="24"/>
          <w:u w:val="single"/>
        </w:rPr>
      </w:pPr>
      <w:r>
        <w:rPr>
          <w:rFonts w:ascii="Calibri" w:hAnsi="Calibri" w:cs="Calibri"/>
          <w:b/>
          <w:sz w:val="24"/>
          <w:szCs w:val="24"/>
        </w:rPr>
        <w:t>1</w:t>
      </w:r>
      <w:r w:rsidR="0043773C">
        <w:rPr>
          <w:rFonts w:ascii="Calibri" w:hAnsi="Calibri" w:cs="Calibri"/>
          <w:b/>
          <w:sz w:val="24"/>
          <w:szCs w:val="24"/>
        </w:rPr>
        <w:t>7</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BENEFÍCIOS PÓS-EMPREGO</w:t>
      </w:r>
    </w:p>
    <w:p w:rsidR="00C16DDB" w:rsidRDefault="00C16DDB" w:rsidP="00C16DDB">
      <w:pPr>
        <w:rPr>
          <w:rFonts w:ascii="Calibri" w:hAnsi="Calibri" w:cs="Calibri"/>
          <w:b/>
          <w:sz w:val="24"/>
          <w:szCs w:val="24"/>
          <w:u w:val="single"/>
        </w:rPr>
      </w:pPr>
    </w:p>
    <w:p w:rsidR="00E70A67" w:rsidRDefault="00E70A67" w:rsidP="00E70A67">
      <w:pPr>
        <w:jc w:val="both"/>
        <w:rPr>
          <w:rFonts w:ascii="Calibri" w:hAnsi="Calibri" w:cs="Calibri"/>
          <w:sz w:val="24"/>
          <w:szCs w:val="24"/>
        </w:rPr>
      </w:pPr>
      <w:r w:rsidRPr="00312424">
        <w:rPr>
          <w:rFonts w:ascii="Calibri" w:hAnsi="Calibri" w:cs="Calibri"/>
          <w:sz w:val="24"/>
          <w:szCs w:val="24"/>
        </w:rPr>
        <w:t>A CDRJ é patrocinadora</w:t>
      </w:r>
      <w:r>
        <w:rPr>
          <w:rFonts w:ascii="Calibri" w:hAnsi="Calibri" w:cs="Calibri"/>
          <w:sz w:val="24"/>
          <w:szCs w:val="24"/>
        </w:rPr>
        <w:t>,</w:t>
      </w:r>
      <w:r w:rsidRPr="00312424">
        <w:rPr>
          <w:rFonts w:ascii="Calibri" w:hAnsi="Calibri" w:cs="Calibri"/>
          <w:sz w:val="24"/>
          <w:szCs w:val="24"/>
        </w:rPr>
        <w:t xml:space="preserve"> em conjunto com as demais empresas do sistema portuário</w:t>
      </w:r>
      <w:r>
        <w:rPr>
          <w:rFonts w:ascii="Calibri" w:hAnsi="Calibri" w:cs="Calibri"/>
          <w:sz w:val="24"/>
          <w:szCs w:val="24"/>
        </w:rPr>
        <w:t>,</w:t>
      </w:r>
      <w:r w:rsidRPr="00312424">
        <w:rPr>
          <w:rFonts w:ascii="Calibri" w:hAnsi="Calibri" w:cs="Calibri"/>
          <w:sz w:val="24"/>
          <w:szCs w:val="24"/>
        </w:rPr>
        <w:t xml:space="preserve"> de </w:t>
      </w:r>
      <w:r>
        <w:rPr>
          <w:rFonts w:ascii="Calibri" w:hAnsi="Calibri" w:cs="Calibri"/>
          <w:sz w:val="24"/>
          <w:szCs w:val="24"/>
        </w:rPr>
        <w:t xml:space="preserve">um </w:t>
      </w:r>
      <w:r w:rsidRPr="00312424">
        <w:rPr>
          <w:rFonts w:ascii="Calibri" w:hAnsi="Calibri" w:cs="Calibri"/>
          <w:sz w:val="24"/>
          <w:szCs w:val="24"/>
        </w:rPr>
        <w:t xml:space="preserve">plano de suplementação de aposentadoria </w:t>
      </w:r>
      <w:r>
        <w:rPr>
          <w:rFonts w:ascii="Calibri" w:hAnsi="Calibri" w:cs="Calibri"/>
          <w:sz w:val="24"/>
          <w:szCs w:val="24"/>
        </w:rPr>
        <w:t>d</w:t>
      </w:r>
      <w:r w:rsidRPr="00312424">
        <w:rPr>
          <w:rFonts w:ascii="Calibri" w:hAnsi="Calibri" w:cs="Calibri"/>
          <w:sz w:val="24"/>
          <w:szCs w:val="24"/>
        </w:rPr>
        <w:t xml:space="preserve">e </w:t>
      </w:r>
      <w:r>
        <w:rPr>
          <w:rFonts w:ascii="Calibri" w:hAnsi="Calibri" w:cs="Calibri"/>
          <w:sz w:val="24"/>
          <w:szCs w:val="24"/>
        </w:rPr>
        <w:t xml:space="preserve">seus empregados e beneficiários. Este fundo, do tipo “benefício definido”, é administrado pelo </w:t>
      </w:r>
      <w:proofErr w:type="spellStart"/>
      <w:r>
        <w:rPr>
          <w:rFonts w:ascii="Calibri" w:hAnsi="Calibri" w:cs="Calibri"/>
          <w:sz w:val="24"/>
          <w:szCs w:val="24"/>
        </w:rPr>
        <w:t>Portus</w:t>
      </w:r>
      <w:proofErr w:type="spellEnd"/>
      <w:r>
        <w:rPr>
          <w:rFonts w:ascii="Calibri" w:hAnsi="Calibri" w:cs="Calibri"/>
          <w:sz w:val="24"/>
          <w:szCs w:val="24"/>
        </w:rPr>
        <w:t xml:space="preserve"> </w:t>
      </w:r>
      <w:r w:rsidRPr="00312424">
        <w:rPr>
          <w:rFonts w:ascii="Calibri" w:hAnsi="Calibri" w:cs="Calibri"/>
          <w:sz w:val="24"/>
          <w:szCs w:val="24"/>
        </w:rPr>
        <w:t xml:space="preserve">– Instituto de Seguridade Social, entidade </w:t>
      </w:r>
      <w:r w:rsidR="00D83D81">
        <w:rPr>
          <w:rFonts w:ascii="Calibri" w:hAnsi="Calibri" w:cs="Calibri"/>
          <w:sz w:val="24"/>
          <w:szCs w:val="24"/>
        </w:rPr>
        <w:t xml:space="preserve">fechada </w:t>
      </w:r>
      <w:r w:rsidRPr="00312424">
        <w:rPr>
          <w:rFonts w:ascii="Calibri" w:hAnsi="Calibri" w:cs="Calibri"/>
          <w:sz w:val="24"/>
          <w:szCs w:val="24"/>
        </w:rPr>
        <w:t xml:space="preserve">de previdência </w:t>
      </w:r>
      <w:r>
        <w:rPr>
          <w:rFonts w:ascii="Calibri" w:hAnsi="Calibri" w:cs="Calibri"/>
          <w:sz w:val="24"/>
          <w:szCs w:val="24"/>
        </w:rPr>
        <w:t>complementar</w:t>
      </w:r>
      <w:r w:rsidR="00D83D81">
        <w:rPr>
          <w:rFonts w:ascii="Calibri" w:hAnsi="Calibri" w:cs="Calibri"/>
          <w:sz w:val="24"/>
          <w:szCs w:val="24"/>
        </w:rPr>
        <w:t xml:space="preserve"> sem fins lucrativos</w:t>
      </w:r>
      <w:r w:rsidRPr="00312424">
        <w:rPr>
          <w:rFonts w:ascii="Calibri" w:hAnsi="Calibri" w:cs="Calibri"/>
          <w:sz w:val="24"/>
          <w:szCs w:val="24"/>
        </w:rPr>
        <w:t xml:space="preserve">, </w:t>
      </w:r>
      <w:r w:rsidR="00D83D81">
        <w:rPr>
          <w:rFonts w:ascii="Calibri" w:hAnsi="Calibri" w:cs="Calibri"/>
          <w:sz w:val="24"/>
          <w:szCs w:val="24"/>
        </w:rPr>
        <w:t xml:space="preserve">de direito privado, com autonomia administrativa e financeira, </w:t>
      </w:r>
      <w:r w:rsidRPr="00312424">
        <w:rPr>
          <w:rFonts w:ascii="Calibri" w:hAnsi="Calibri" w:cs="Calibri"/>
          <w:sz w:val="24"/>
          <w:szCs w:val="24"/>
        </w:rPr>
        <w:t>fiscalizada pel</w:t>
      </w:r>
      <w:r w:rsidR="00D83D81">
        <w:rPr>
          <w:rFonts w:ascii="Calibri" w:hAnsi="Calibri" w:cs="Calibri"/>
          <w:sz w:val="24"/>
          <w:szCs w:val="24"/>
        </w:rPr>
        <w:t>o órgão de supervisão dos fundos de pensão – PREVIC – Superintendência Nacional de Previdência Complementar vinculada ao Ministério da Fazenda.</w:t>
      </w:r>
      <w:r w:rsidRPr="00312424">
        <w:rPr>
          <w:rFonts w:ascii="Calibri" w:hAnsi="Calibri" w:cs="Calibri"/>
          <w:sz w:val="24"/>
          <w:szCs w:val="24"/>
        </w:rPr>
        <w:t xml:space="preserve"> </w:t>
      </w:r>
      <w:r>
        <w:rPr>
          <w:rFonts w:ascii="Calibri" w:hAnsi="Calibri" w:cs="Calibri"/>
          <w:sz w:val="24"/>
          <w:szCs w:val="24"/>
        </w:rPr>
        <w:t>A CDRJ contribui com uma parcela mensal sobre a massa de salários dos empregados participantes, paritária aos valores por eles recolhidos.</w:t>
      </w:r>
    </w:p>
    <w:p w:rsidR="00D83D81" w:rsidRDefault="00D83D81" w:rsidP="00E70A67">
      <w:pPr>
        <w:jc w:val="both"/>
        <w:rPr>
          <w:rFonts w:ascii="Calibri" w:hAnsi="Calibri" w:cs="Calibri"/>
          <w:sz w:val="24"/>
          <w:szCs w:val="24"/>
        </w:rPr>
      </w:pPr>
    </w:p>
    <w:p w:rsidR="00D83D81" w:rsidRDefault="00D83D81" w:rsidP="00E70A67">
      <w:pPr>
        <w:jc w:val="both"/>
        <w:rPr>
          <w:rFonts w:ascii="Calibri" w:hAnsi="Calibri" w:cs="Calibri"/>
          <w:sz w:val="24"/>
          <w:szCs w:val="24"/>
        </w:rPr>
      </w:pPr>
      <w:r>
        <w:rPr>
          <w:rFonts w:ascii="Calibri" w:hAnsi="Calibri" w:cs="Calibri"/>
          <w:sz w:val="24"/>
          <w:szCs w:val="24"/>
        </w:rPr>
        <w:t xml:space="preserve">O </w:t>
      </w:r>
      <w:proofErr w:type="spellStart"/>
      <w:r>
        <w:rPr>
          <w:rFonts w:ascii="Calibri" w:hAnsi="Calibri" w:cs="Calibri"/>
          <w:sz w:val="24"/>
          <w:szCs w:val="24"/>
        </w:rPr>
        <w:t>Portus</w:t>
      </w:r>
      <w:proofErr w:type="spellEnd"/>
      <w:r>
        <w:rPr>
          <w:rFonts w:ascii="Calibri" w:hAnsi="Calibri" w:cs="Calibri"/>
          <w:sz w:val="24"/>
          <w:szCs w:val="24"/>
        </w:rPr>
        <w:t xml:space="preserve"> está sob intervenção federal decretada pela Diretoria Colegiada da Superintendência Nacional de Previdência Complementar – PREVIC, em 22 de agosto de 2011, por meio da Portaria nº 459, publicada no Diário Oficial da União – DOU de 23 de agosto de 2011.</w:t>
      </w:r>
    </w:p>
    <w:p w:rsidR="000831FD" w:rsidRDefault="000831FD" w:rsidP="00E70A67">
      <w:pPr>
        <w:jc w:val="both"/>
        <w:rPr>
          <w:rFonts w:ascii="Calibri" w:hAnsi="Calibri" w:cs="Calibri"/>
          <w:sz w:val="24"/>
          <w:szCs w:val="24"/>
        </w:rPr>
      </w:pPr>
    </w:p>
    <w:p w:rsidR="001C4695" w:rsidRDefault="001C4695" w:rsidP="00E70A67">
      <w:pPr>
        <w:jc w:val="both"/>
        <w:rPr>
          <w:rFonts w:ascii="Calibri" w:hAnsi="Calibri" w:cs="Calibri"/>
          <w:sz w:val="24"/>
          <w:szCs w:val="24"/>
        </w:rPr>
      </w:pPr>
    </w:p>
    <w:p w:rsidR="00E70A67" w:rsidRDefault="00E70A67" w:rsidP="00E70A67">
      <w:pPr>
        <w:jc w:val="both"/>
        <w:rPr>
          <w:rFonts w:ascii="Calibri" w:hAnsi="Calibri" w:cs="Calibri"/>
          <w:sz w:val="24"/>
          <w:szCs w:val="24"/>
        </w:rPr>
      </w:pPr>
      <w:r w:rsidRPr="00312424">
        <w:rPr>
          <w:rFonts w:ascii="Calibri" w:hAnsi="Calibri" w:cs="Calibri"/>
          <w:sz w:val="24"/>
          <w:szCs w:val="24"/>
        </w:rPr>
        <w:lastRenderedPageBreak/>
        <w:t xml:space="preserve">A CDRJ e o PORTUS – Instituto de Seguridade Social assinaram, no dia 1º de outubro de 2015, termo de confissão de dívidas, com indicação de forma de pagamento de contribuição patronal. O acordo foi consequência da criação, pela Presidência da República, de um grupo de trabalho com a finalidade de apurar a dívida das patrocinadoras com o </w:t>
      </w:r>
      <w:proofErr w:type="spellStart"/>
      <w:r w:rsidRPr="00312424">
        <w:rPr>
          <w:rFonts w:ascii="Calibri" w:hAnsi="Calibri" w:cs="Calibri"/>
          <w:sz w:val="24"/>
          <w:szCs w:val="24"/>
        </w:rPr>
        <w:t>Portus</w:t>
      </w:r>
      <w:proofErr w:type="spellEnd"/>
      <w:r w:rsidRPr="00312424">
        <w:rPr>
          <w:rFonts w:ascii="Calibri" w:hAnsi="Calibri" w:cs="Calibri"/>
          <w:sz w:val="24"/>
          <w:szCs w:val="24"/>
        </w:rPr>
        <w:t xml:space="preserve">. </w:t>
      </w:r>
      <w:r w:rsidR="009E33A7">
        <w:rPr>
          <w:rFonts w:ascii="Calibri" w:hAnsi="Calibri" w:cs="Calibri"/>
          <w:sz w:val="24"/>
          <w:szCs w:val="24"/>
        </w:rPr>
        <w:t>Entretanto, os repasses da União ocorreram apenas no exercício de 2016 e não foram suficientes pa</w:t>
      </w:r>
      <w:r w:rsidR="00D414A4">
        <w:rPr>
          <w:rFonts w:ascii="Calibri" w:hAnsi="Calibri" w:cs="Calibri"/>
          <w:sz w:val="24"/>
          <w:szCs w:val="24"/>
        </w:rPr>
        <w:t>ra liquidar o débito confessado, que vem sendo discutido judicialmente.</w:t>
      </w:r>
    </w:p>
    <w:p w:rsidR="00F55A87" w:rsidRDefault="00F55A87" w:rsidP="00E70A67">
      <w:pPr>
        <w:jc w:val="both"/>
        <w:rPr>
          <w:rFonts w:ascii="Calibri" w:hAnsi="Calibri" w:cs="Calibri"/>
          <w:sz w:val="24"/>
          <w:szCs w:val="24"/>
        </w:rPr>
      </w:pPr>
    </w:p>
    <w:p w:rsidR="00697525" w:rsidRDefault="00697525" w:rsidP="001D6E0F">
      <w:pPr>
        <w:jc w:val="both"/>
        <w:rPr>
          <w:rFonts w:ascii="Calibri" w:hAnsi="Calibri" w:cs="Calibri"/>
          <w:sz w:val="24"/>
          <w:szCs w:val="24"/>
        </w:rPr>
      </w:pPr>
      <w:r>
        <w:rPr>
          <w:rFonts w:ascii="Calibri" w:hAnsi="Calibri" w:cs="Calibri"/>
          <w:sz w:val="24"/>
          <w:szCs w:val="24"/>
        </w:rPr>
        <w:t>Os registros das obrigações foram objeto de perícia contábil, no exercício de 2019, cuja conclusão foi pela baixa dos valores da Reserva por Tempo de Serviço Anterior – RTSA, registrados no Passivo Circul</w:t>
      </w:r>
      <w:r w:rsidR="007A2507">
        <w:rPr>
          <w:rFonts w:ascii="Calibri" w:hAnsi="Calibri" w:cs="Calibri"/>
          <w:sz w:val="24"/>
          <w:szCs w:val="24"/>
        </w:rPr>
        <w:t>ante, visto que, segundo o perito</w:t>
      </w:r>
      <w:r>
        <w:rPr>
          <w:rFonts w:ascii="Calibri" w:hAnsi="Calibri" w:cs="Calibri"/>
          <w:sz w:val="24"/>
          <w:szCs w:val="24"/>
        </w:rPr>
        <w:t>, o pagamento já havia ocorrido</w:t>
      </w:r>
      <w:r w:rsidR="007A2507">
        <w:rPr>
          <w:rFonts w:ascii="Calibri" w:hAnsi="Calibri" w:cs="Calibri"/>
          <w:sz w:val="24"/>
          <w:szCs w:val="24"/>
        </w:rPr>
        <w:t xml:space="preserve">. O relatório sugeriu também que a CDRJ mantivesse apenas a provisão das contingências jurídicas. </w:t>
      </w:r>
      <w:r>
        <w:rPr>
          <w:rFonts w:ascii="Calibri" w:hAnsi="Calibri" w:cs="Calibri"/>
          <w:sz w:val="24"/>
          <w:szCs w:val="24"/>
        </w:rPr>
        <w:t>A Diretoria Executiva deliberou por acatar o laudo do per</w:t>
      </w:r>
      <w:r w:rsidR="007A2507">
        <w:rPr>
          <w:rFonts w:ascii="Calibri" w:hAnsi="Calibri" w:cs="Calibri"/>
          <w:sz w:val="24"/>
          <w:szCs w:val="24"/>
        </w:rPr>
        <w:t>ito</w:t>
      </w:r>
      <w:r>
        <w:rPr>
          <w:rFonts w:ascii="Calibri" w:hAnsi="Calibri" w:cs="Calibri"/>
          <w:sz w:val="24"/>
          <w:szCs w:val="24"/>
        </w:rPr>
        <w:t xml:space="preserve"> e determinou a baixa do passivo em sua 2379ª reunião, de 28 de novembro de 2019.</w:t>
      </w:r>
      <w:r w:rsidR="007A2507">
        <w:rPr>
          <w:rFonts w:ascii="Calibri" w:hAnsi="Calibri" w:cs="Calibri"/>
          <w:sz w:val="24"/>
          <w:szCs w:val="24"/>
        </w:rPr>
        <w:t xml:space="preserve"> O valor das contingências jurídicas, registrado na conta Provisão para Contingências, é de R$ 62.249 mil.</w:t>
      </w:r>
    </w:p>
    <w:p w:rsidR="00697525" w:rsidRDefault="00697525" w:rsidP="00E70A67">
      <w:pPr>
        <w:jc w:val="both"/>
        <w:rPr>
          <w:rFonts w:ascii="Calibri" w:hAnsi="Calibri" w:cs="Calibri"/>
          <w:sz w:val="24"/>
          <w:szCs w:val="24"/>
        </w:rPr>
      </w:pPr>
    </w:p>
    <w:p w:rsidR="009E33A7" w:rsidRDefault="009E33A7" w:rsidP="00E70A67">
      <w:pPr>
        <w:jc w:val="both"/>
        <w:rPr>
          <w:rFonts w:ascii="Calibri" w:hAnsi="Calibri" w:cs="Calibri"/>
          <w:sz w:val="24"/>
          <w:szCs w:val="24"/>
        </w:rPr>
      </w:pPr>
      <w:r>
        <w:rPr>
          <w:rFonts w:ascii="Calibri" w:hAnsi="Calibri" w:cs="Calibri"/>
          <w:sz w:val="24"/>
          <w:szCs w:val="24"/>
        </w:rPr>
        <w:t>As contas possuem a seguinte composição:</w:t>
      </w:r>
    </w:p>
    <w:p w:rsidR="00535C43" w:rsidRDefault="00535C43" w:rsidP="00E70A67">
      <w:pPr>
        <w:jc w:val="both"/>
        <w:rPr>
          <w:rFonts w:ascii="Calibri" w:hAnsi="Calibri" w:cs="Calibri"/>
          <w:sz w:val="24"/>
          <w:szCs w:val="24"/>
        </w:rPr>
      </w:pPr>
    </w:p>
    <w:tbl>
      <w:tblPr>
        <w:tblW w:w="9900" w:type="dxa"/>
        <w:tblCellMar>
          <w:left w:w="70" w:type="dxa"/>
          <w:right w:w="70" w:type="dxa"/>
        </w:tblCellMar>
        <w:tblLook w:val="04A0" w:firstRow="1" w:lastRow="0" w:firstColumn="1" w:lastColumn="0" w:noHBand="0" w:noVBand="1"/>
      </w:tblPr>
      <w:tblGrid>
        <w:gridCol w:w="2860"/>
        <w:gridCol w:w="1760"/>
        <w:gridCol w:w="1760"/>
        <w:gridCol w:w="1760"/>
        <w:gridCol w:w="1767"/>
      </w:tblGrid>
      <w:tr w:rsidR="00547369" w:rsidRPr="00547369" w:rsidTr="00697525">
        <w:trPr>
          <w:trHeight w:val="284"/>
        </w:trPr>
        <w:tc>
          <w:tcPr>
            <w:tcW w:w="2860" w:type="dxa"/>
            <w:tcBorders>
              <w:top w:val="nil"/>
              <w:left w:val="nil"/>
              <w:bottom w:val="nil"/>
              <w:right w:val="single" w:sz="4" w:space="0" w:color="auto"/>
            </w:tcBorders>
            <w:shd w:val="clear" w:color="auto" w:fill="auto"/>
            <w:noWrap/>
            <w:vAlign w:val="bottom"/>
            <w:hideMark/>
          </w:tcPr>
          <w:p w:rsidR="00547369" w:rsidRPr="00547369" w:rsidRDefault="00547369" w:rsidP="00547369">
            <w:pPr>
              <w:widowControl/>
              <w:rPr>
                <w:rFonts w:ascii="Calibri" w:hAnsi="Calibri" w:cs="Calibri"/>
                <w:snapToGrid/>
                <w:color w:val="000000"/>
                <w:sz w:val="24"/>
                <w:szCs w:val="24"/>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369" w:rsidRPr="00547369" w:rsidRDefault="00547369" w:rsidP="00547369">
            <w:pPr>
              <w:widowControl/>
              <w:jc w:val="center"/>
              <w:rPr>
                <w:rFonts w:ascii="Calibri" w:hAnsi="Calibri" w:cs="Calibri"/>
                <w:b/>
                <w:bCs/>
                <w:snapToGrid/>
                <w:color w:val="000000"/>
                <w:sz w:val="24"/>
                <w:szCs w:val="24"/>
              </w:rPr>
            </w:pPr>
            <w:r w:rsidRPr="00547369">
              <w:rPr>
                <w:rFonts w:ascii="Calibri" w:hAnsi="Calibri" w:cs="Calibri"/>
                <w:b/>
                <w:bCs/>
                <w:snapToGrid/>
                <w:color w:val="000000"/>
                <w:sz w:val="24"/>
                <w:szCs w:val="24"/>
              </w:rPr>
              <w:t>Circulante</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369" w:rsidRPr="00547369" w:rsidRDefault="00547369" w:rsidP="00547369">
            <w:pPr>
              <w:widowControl/>
              <w:jc w:val="center"/>
              <w:rPr>
                <w:rFonts w:ascii="Calibri" w:hAnsi="Calibri" w:cs="Calibri"/>
                <w:b/>
                <w:bCs/>
                <w:snapToGrid/>
                <w:color w:val="000000"/>
                <w:sz w:val="24"/>
                <w:szCs w:val="24"/>
              </w:rPr>
            </w:pPr>
            <w:r w:rsidRPr="00547369">
              <w:rPr>
                <w:rFonts w:ascii="Calibri" w:hAnsi="Calibri" w:cs="Calibri"/>
                <w:b/>
                <w:bCs/>
                <w:snapToGrid/>
                <w:color w:val="000000"/>
                <w:sz w:val="24"/>
                <w:szCs w:val="24"/>
              </w:rPr>
              <w:t>Não Circulante</w:t>
            </w:r>
          </w:p>
        </w:tc>
      </w:tr>
      <w:tr w:rsidR="00547369" w:rsidRPr="00547369" w:rsidTr="00787A16">
        <w:trPr>
          <w:trHeight w:val="284"/>
        </w:trPr>
        <w:tc>
          <w:tcPr>
            <w:tcW w:w="2860" w:type="dxa"/>
            <w:tcBorders>
              <w:top w:val="nil"/>
              <w:left w:val="nil"/>
              <w:bottom w:val="single" w:sz="4" w:space="0" w:color="auto"/>
              <w:right w:val="single" w:sz="4" w:space="0" w:color="auto"/>
            </w:tcBorders>
            <w:shd w:val="clear" w:color="auto" w:fill="auto"/>
            <w:noWrap/>
            <w:vAlign w:val="center"/>
            <w:hideMark/>
          </w:tcPr>
          <w:p w:rsidR="00547369" w:rsidRPr="00547369" w:rsidRDefault="00547369" w:rsidP="00547369">
            <w:pPr>
              <w:widowControl/>
              <w:rPr>
                <w:rFonts w:ascii="Calibri" w:hAnsi="Calibri" w:cs="Calibri"/>
                <w:snapToGrid/>
                <w:color w:val="000000"/>
                <w:sz w:val="24"/>
                <w:szCs w:val="24"/>
              </w:rPr>
            </w:pPr>
            <w:r w:rsidRPr="00547369">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7369" w:rsidRPr="00547369" w:rsidRDefault="00D0760C" w:rsidP="00363038">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7369" w:rsidRPr="00547369" w:rsidRDefault="00547369" w:rsidP="006350A8">
            <w:pPr>
              <w:widowControl/>
              <w:jc w:val="center"/>
              <w:rPr>
                <w:rFonts w:ascii="Calibri" w:hAnsi="Calibri" w:cs="Calibri"/>
                <w:b/>
                <w:bCs/>
                <w:snapToGrid/>
                <w:color w:val="000000"/>
                <w:sz w:val="24"/>
                <w:szCs w:val="24"/>
              </w:rPr>
            </w:pPr>
            <w:r w:rsidRPr="00547369">
              <w:rPr>
                <w:rFonts w:ascii="Calibri" w:hAnsi="Calibri" w:cs="Calibri"/>
                <w:b/>
                <w:bCs/>
                <w:snapToGrid/>
                <w:color w:val="000000"/>
                <w:sz w:val="24"/>
                <w:szCs w:val="24"/>
              </w:rPr>
              <w:t>31/12/201</w:t>
            </w:r>
            <w:r w:rsidR="006350A8">
              <w:rPr>
                <w:rFonts w:ascii="Calibri" w:hAnsi="Calibri" w:cs="Calibri"/>
                <w:b/>
                <w:bCs/>
                <w:snapToGrid/>
                <w:color w:val="000000"/>
                <w:sz w:val="24"/>
                <w:szCs w:val="24"/>
              </w:rPr>
              <w:t>8</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7369" w:rsidRPr="00547369" w:rsidRDefault="00D0760C" w:rsidP="00363038">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7369" w:rsidRDefault="00547369" w:rsidP="006350A8">
            <w:pPr>
              <w:widowControl/>
              <w:jc w:val="center"/>
              <w:rPr>
                <w:rFonts w:ascii="Calibri" w:hAnsi="Calibri" w:cs="Calibri"/>
                <w:b/>
                <w:bCs/>
                <w:snapToGrid/>
                <w:color w:val="000000"/>
                <w:sz w:val="24"/>
                <w:szCs w:val="24"/>
              </w:rPr>
            </w:pPr>
            <w:r w:rsidRPr="00547369">
              <w:rPr>
                <w:rFonts w:ascii="Calibri" w:hAnsi="Calibri" w:cs="Calibri"/>
                <w:b/>
                <w:bCs/>
                <w:snapToGrid/>
                <w:color w:val="000000"/>
                <w:sz w:val="24"/>
                <w:szCs w:val="24"/>
              </w:rPr>
              <w:t>31/12/201</w:t>
            </w:r>
            <w:r w:rsidR="006350A8">
              <w:rPr>
                <w:rFonts w:ascii="Calibri" w:hAnsi="Calibri" w:cs="Calibri"/>
                <w:b/>
                <w:bCs/>
                <w:snapToGrid/>
                <w:color w:val="000000"/>
                <w:sz w:val="24"/>
                <w:szCs w:val="24"/>
              </w:rPr>
              <w:t>8</w:t>
            </w:r>
          </w:p>
          <w:p w:rsidR="00787A16" w:rsidRPr="00787A16" w:rsidRDefault="00787A16" w:rsidP="006350A8">
            <w:pPr>
              <w:widowControl/>
              <w:jc w:val="center"/>
              <w:rPr>
                <w:rFonts w:ascii="Calibri" w:hAnsi="Calibri" w:cs="Calibri"/>
                <w:bCs/>
                <w:snapToGrid/>
                <w:color w:val="000000"/>
                <w:sz w:val="24"/>
                <w:szCs w:val="24"/>
              </w:rPr>
            </w:pPr>
            <w:r w:rsidRPr="00787A16">
              <w:rPr>
                <w:rFonts w:ascii="Calibri" w:hAnsi="Calibri" w:cs="Calibri"/>
                <w:bCs/>
                <w:snapToGrid/>
                <w:color w:val="000000"/>
                <w:sz w:val="24"/>
                <w:szCs w:val="24"/>
              </w:rPr>
              <w:t>(Reapresentado)</w:t>
            </w:r>
          </w:p>
        </w:tc>
      </w:tr>
      <w:tr w:rsidR="006350A8" w:rsidRPr="00547369" w:rsidTr="00D414A4">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0A8" w:rsidRPr="00547369" w:rsidRDefault="006350A8" w:rsidP="006350A8">
            <w:pPr>
              <w:widowControl/>
              <w:rPr>
                <w:rFonts w:ascii="Calibri" w:hAnsi="Calibri" w:cs="Calibri"/>
                <w:snapToGrid/>
                <w:color w:val="000000"/>
                <w:sz w:val="24"/>
                <w:szCs w:val="24"/>
              </w:rPr>
            </w:pPr>
            <w:r w:rsidRPr="00547369">
              <w:rPr>
                <w:rFonts w:ascii="Calibri" w:hAnsi="Calibri" w:cs="Calibri"/>
                <w:snapToGrid/>
                <w:color w:val="000000"/>
                <w:sz w:val="24"/>
                <w:szCs w:val="24"/>
              </w:rPr>
              <w:t>Contribuições Correntes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50A8" w:rsidRPr="00547369" w:rsidRDefault="00D83D81" w:rsidP="006350A8">
            <w:pPr>
              <w:widowControl/>
              <w:jc w:val="right"/>
              <w:rPr>
                <w:rFonts w:ascii="Calibri" w:hAnsi="Calibri" w:cs="Calibri"/>
                <w:snapToGrid/>
                <w:color w:val="000000"/>
                <w:sz w:val="24"/>
                <w:szCs w:val="24"/>
              </w:rPr>
            </w:pPr>
            <w:r>
              <w:rPr>
                <w:rFonts w:ascii="Calibri" w:hAnsi="Calibri" w:cs="Calibri"/>
                <w:snapToGrid/>
                <w:color w:val="000000"/>
                <w:sz w:val="24"/>
                <w:szCs w:val="24"/>
              </w:rPr>
              <w:t>1.797</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0A8" w:rsidRPr="00547369" w:rsidRDefault="006350A8" w:rsidP="006350A8">
            <w:pPr>
              <w:widowControl/>
              <w:jc w:val="right"/>
              <w:rPr>
                <w:rFonts w:ascii="Calibri" w:hAnsi="Calibri" w:cs="Calibri"/>
                <w:snapToGrid/>
                <w:color w:val="000000"/>
                <w:sz w:val="24"/>
                <w:szCs w:val="24"/>
              </w:rPr>
            </w:pPr>
            <w:r w:rsidRPr="00547369">
              <w:rPr>
                <w:rFonts w:ascii="Calibri" w:hAnsi="Calibri" w:cs="Calibri"/>
                <w:snapToGrid/>
                <w:color w:val="000000"/>
                <w:sz w:val="24"/>
                <w:szCs w:val="24"/>
              </w:rPr>
              <w:t>2.842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50A8" w:rsidRPr="00547369" w:rsidRDefault="00D414A4"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50A8" w:rsidRPr="00547369" w:rsidRDefault="00D414A4"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6350A8" w:rsidRPr="00547369" w:rsidTr="00D414A4">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0A8" w:rsidRPr="00547369" w:rsidRDefault="006350A8" w:rsidP="006350A8">
            <w:pPr>
              <w:widowControl/>
              <w:rPr>
                <w:rFonts w:ascii="Calibri" w:hAnsi="Calibri" w:cs="Calibri"/>
                <w:snapToGrid/>
                <w:color w:val="000000"/>
                <w:sz w:val="24"/>
                <w:szCs w:val="24"/>
              </w:rPr>
            </w:pPr>
            <w:r w:rsidRPr="00547369">
              <w:rPr>
                <w:rFonts w:ascii="Calibri" w:hAnsi="Calibri" w:cs="Calibri"/>
                <w:snapToGrid/>
                <w:color w:val="000000"/>
                <w:sz w:val="24"/>
                <w:szCs w:val="24"/>
              </w:rPr>
              <w:t>Confissão de Dívidas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50A8" w:rsidRPr="00547369" w:rsidRDefault="00D83D81" w:rsidP="00972FE6">
            <w:pPr>
              <w:widowControl/>
              <w:jc w:val="right"/>
              <w:rPr>
                <w:rFonts w:ascii="Calibri" w:hAnsi="Calibri" w:cs="Calibri"/>
                <w:snapToGrid/>
                <w:color w:val="000000"/>
                <w:sz w:val="24"/>
                <w:szCs w:val="24"/>
              </w:rPr>
            </w:pPr>
            <w:r>
              <w:rPr>
                <w:rFonts w:ascii="Calibri" w:hAnsi="Calibri" w:cs="Calibri"/>
                <w:snapToGrid/>
                <w:color w:val="000000"/>
                <w:sz w:val="24"/>
                <w:szCs w:val="24"/>
              </w:rPr>
              <w:t>203.025</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0A8" w:rsidRPr="00547369" w:rsidRDefault="006350A8" w:rsidP="006350A8">
            <w:pPr>
              <w:widowControl/>
              <w:jc w:val="right"/>
              <w:rPr>
                <w:rFonts w:ascii="Calibri" w:hAnsi="Calibri" w:cs="Calibri"/>
                <w:snapToGrid/>
                <w:color w:val="000000"/>
                <w:sz w:val="24"/>
                <w:szCs w:val="24"/>
              </w:rPr>
            </w:pPr>
            <w:r w:rsidRPr="00547369">
              <w:rPr>
                <w:rFonts w:ascii="Calibri" w:hAnsi="Calibri" w:cs="Calibri"/>
                <w:snapToGrid/>
                <w:color w:val="000000"/>
                <w:sz w:val="24"/>
                <w:szCs w:val="24"/>
              </w:rPr>
              <w:t>271.252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50A8" w:rsidRPr="00547369" w:rsidRDefault="00D414A4"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50A8" w:rsidRPr="00547369" w:rsidRDefault="00D414A4"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6350A8" w:rsidRPr="00547369" w:rsidTr="00D414A4">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0A8" w:rsidRPr="00547369" w:rsidRDefault="006350A8" w:rsidP="006350A8">
            <w:pPr>
              <w:widowControl/>
              <w:rPr>
                <w:rFonts w:ascii="Calibri" w:hAnsi="Calibri" w:cs="Calibri"/>
                <w:snapToGrid/>
                <w:color w:val="000000"/>
                <w:sz w:val="24"/>
                <w:szCs w:val="24"/>
              </w:rPr>
            </w:pPr>
            <w:r w:rsidRPr="00547369">
              <w:rPr>
                <w:rFonts w:ascii="Calibri" w:hAnsi="Calibri" w:cs="Calibri"/>
                <w:snapToGrid/>
                <w:color w:val="000000"/>
                <w:sz w:val="24"/>
                <w:szCs w:val="24"/>
              </w:rPr>
              <w:t>RTSA</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50A8" w:rsidRPr="00547369" w:rsidRDefault="00D414A4"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50A8" w:rsidRPr="00547369" w:rsidRDefault="00D414A4"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50A8" w:rsidRPr="00547369" w:rsidRDefault="00D414A4" w:rsidP="008F2AAB">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0A8" w:rsidRPr="00547369" w:rsidRDefault="00D414A4" w:rsidP="006350A8">
            <w:pPr>
              <w:widowControl/>
              <w:jc w:val="right"/>
              <w:rPr>
                <w:rFonts w:ascii="Calibri" w:hAnsi="Calibri" w:cs="Calibri"/>
                <w:snapToGrid/>
                <w:color w:val="000000"/>
                <w:sz w:val="24"/>
                <w:szCs w:val="24"/>
              </w:rPr>
            </w:pPr>
            <w:r>
              <w:rPr>
                <w:rFonts w:ascii="Calibri" w:hAnsi="Calibri" w:cs="Calibri"/>
                <w:snapToGrid/>
                <w:color w:val="000000"/>
                <w:sz w:val="24"/>
                <w:szCs w:val="24"/>
              </w:rPr>
              <w:t>126.873</w:t>
            </w:r>
          </w:p>
        </w:tc>
      </w:tr>
      <w:tr w:rsidR="00D83D81" w:rsidRPr="00547369"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3D81" w:rsidRPr="00547369" w:rsidRDefault="00D83D81" w:rsidP="006350A8">
            <w:pPr>
              <w:widowControl/>
              <w:rPr>
                <w:rFonts w:ascii="Calibri" w:hAnsi="Calibri" w:cs="Calibri"/>
                <w:snapToGrid/>
                <w:color w:val="000000"/>
                <w:sz w:val="24"/>
                <w:szCs w:val="24"/>
              </w:rPr>
            </w:pPr>
            <w:r>
              <w:rPr>
                <w:rFonts w:ascii="Calibri" w:hAnsi="Calibri" w:cs="Calibri"/>
                <w:snapToGrid/>
                <w:color w:val="000000"/>
                <w:sz w:val="24"/>
                <w:szCs w:val="24"/>
              </w:rPr>
              <w:t>Déficit Atuarial</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3D81" w:rsidRPr="00547369" w:rsidRDefault="00D414A4"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3D81" w:rsidRDefault="00D414A4" w:rsidP="001F63A7">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3D81" w:rsidRPr="00547369" w:rsidRDefault="00F55A87" w:rsidP="008F2AAB">
            <w:pPr>
              <w:widowControl/>
              <w:jc w:val="right"/>
              <w:rPr>
                <w:rFonts w:ascii="Calibri" w:hAnsi="Calibri" w:cs="Calibri"/>
                <w:snapToGrid/>
                <w:color w:val="000000"/>
                <w:sz w:val="24"/>
                <w:szCs w:val="24"/>
              </w:rPr>
            </w:pPr>
            <w:r>
              <w:rPr>
                <w:rFonts w:ascii="Calibri" w:hAnsi="Calibri" w:cs="Calibri"/>
                <w:snapToGrid/>
                <w:color w:val="000000"/>
                <w:sz w:val="24"/>
                <w:szCs w:val="24"/>
              </w:rPr>
              <w:t>383.492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3D81" w:rsidRPr="00547369" w:rsidRDefault="009762BE" w:rsidP="006350A8">
            <w:pPr>
              <w:widowControl/>
              <w:jc w:val="right"/>
              <w:rPr>
                <w:rFonts w:ascii="Calibri" w:hAnsi="Calibri" w:cs="Calibri"/>
                <w:snapToGrid/>
                <w:color w:val="000000"/>
                <w:sz w:val="24"/>
                <w:szCs w:val="24"/>
              </w:rPr>
            </w:pPr>
            <w:r>
              <w:rPr>
                <w:rFonts w:ascii="Calibri" w:hAnsi="Calibri" w:cs="Calibri"/>
                <w:snapToGrid/>
                <w:color w:val="000000"/>
                <w:sz w:val="24"/>
                <w:szCs w:val="24"/>
              </w:rPr>
              <w:t>350.894</w:t>
            </w:r>
          </w:p>
        </w:tc>
      </w:tr>
      <w:tr w:rsidR="006350A8" w:rsidRPr="00547369"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0A8" w:rsidRPr="00547369" w:rsidRDefault="006350A8" w:rsidP="006350A8">
            <w:pPr>
              <w:widowControl/>
              <w:rPr>
                <w:rFonts w:ascii="Calibri" w:hAnsi="Calibri" w:cs="Calibri"/>
                <w:b/>
                <w:bCs/>
                <w:snapToGrid/>
                <w:color w:val="000000"/>
                <w:sz w:val="24"/>
                <w:szCs w:val="24"/>
              </w:rPr>
            </w:pPr>
            <w:r w:rsidRPr="00547369">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50A8" w:rsidRPr="00547369" w:rsidRDefault="00D83D81" w:rsidP="00972FE6">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204.822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0A8" w:rsidRPr="00547369" w:rsidRDefault="006350A8" w:rsidP="006350A8">
            <w:pPr>
              <w:widowControl/>
              <w:jc w:val="right"/>
              <w:rPr>
                <w:rFonts w:ascii="Calibri" w:hAnsi="Calibri" w:cs="Calibri"/>
                <w:b/>
                <w:bCs/>
                <w:snapToGrid/>
                <w:color w:val="000000"/>
                <w:sz w:val="24"/>
                <w:szCs w:val="24"/>
              </w:rPr>
            </w:pPr>
            <w:r w:rsidRPr="00547369">
              <w:rPr>
                <w:rFonts w:ascii="Calibri" w:hAnsi="Calibri" w:cs="Calibri"/>
                <w:b/>
                <w:bCs/>
                <w:snapToGrid/>
                <w:color w:val="000000"/>
                <w:sz w:val="24"/>
                <w:szCs w:val="24"/>
              </w:rPr>
              <w:t>274.094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50A8" w:rsidRPr="00547369" w:rsidRDefault="00D83D81" w:rsidP="006350A8">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383.492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0A8" w:rsidRPr="00547369" w:rsidRDefault="009762BE" w:rsidP="000831FD">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4</w:t>
            </w:r>
            <w:r w:rsidR="000831FD">
              <w:rPr>
                <w:rFonts w:ascii="Calibri" w:hAnsi="Calibri" w:cs="Calibri"/>
                <w:b/>
                <w:bCs/>
                <w:snapToGrid/>
                <w:color w:val="000000"/>
                <w:sz w:val="24"/>
                <w:szCs w:val="24"/>
              </w:rPr>
              <w:t>77</w:t>
            </w:r>
            <w:r>
              <w:rPr>
                <w:rFonts w:ascii="Calibri" w:hAnsi="Calibri" w:cs="Calibri"/>
                <w:b/>
                <w:bCs/>
                <w:snapToGrid/>
                <w:color w:val="000000"/>
                <w:sz w:val="24"/>
                <w:szCs w:val="24"/>
              </w:rPr>
              <w:t>.</w:t>
            </w:r>
            <w:r w:rsidR="000831FD">
              <w:rPr>
                <w:rFonts w:ascii="Calibri" w:hAnsi="Calibri" w:cs="Calibri"/>
                <w:b/>
                <w:bCs/>
                <w:snapToGrid/>
                <w:color w:val="000000"/>
                <w:sz w:val="24"/>
                <w:szCs w:val="24"/>
              </w:rPr>
              <w:t>767</w:t>
            </w:r>
          </w:p>
        </w:tc>
      </w:tr>
    </w:tbl>
    <w:p w:rsidR="000831FD" w:rsidRDefault="000831FD" w:rsidP="00535C43">
      <w:pPr>
        <w:jc w:val="both"/>
        <w:rPr>
          <w:rFonts w:ascii="Calibri" w:hAnsi="Calibri" w:cs="Calibri"/>
          <w:sz w:val="24"/>
          <w:szCs w:val="24"/>
        </w:rPr>
      </w:pPr>
    </w:p>
    <w:p w:rsidR="00535C43" w:rsidRPr="00312424" w:rsidRDefault="00535C43" w:rsidP="00535C43">
      <w:pPr>
        <w:jc w:val="both"/>
        <w:rPr>
          <w:rFonts w:ascii="Calibri" w:hAnsi="Calibri" w:cs="Calibri"/>
          <w:sz w:val="24"/>
          <w:szCs w:val="24"/>
        </w:rPr>
      </w:pPr>
      <w:r>
        <w:rPr>
          <w:rFonts w:ascii="Calibri" w:hAnsi="Calibri" w:cs="Calibri"/>
          <w:sz w:val="24"/>
          <w:szCs w:val="24"/>
        </w:rPr>
        <w:t>O déficit atuarial da CDRJ apontado no balanço patrimonial e nos quadros abaixo de R$ 383.492 mil</w:t>
      </w:r>
      <w:r w:rsidR="00D414A4">
        <w:rPr>
          <w:rFonts w:ascii="Calibri" w:hAnsi="Calibri" w:cs="Calibri"/>
          <w:sz w:val="24"/>
          <w:szCs w:val="24"/>
        </w:rPr>
        <w:t xml:space="preserve"> (R$ 350.894 mil em 31 de dezembro de 2018)</w:t>
      </w:r>
      <w:r>
        <w:rPr>
          <w:rFonts w:ascii="Calibri" w:hAnsi="Calibri" w:cs="Calibri"/>
          <w:sz w:val="24"/>
          <w:szCs w:val="24"/>
        </w:rPr>
        <w:t xml:space="preserve">, calculado segundo o CPC </w:t>
      </w:r>
      <w:r w:rsidR="00CB047B">
        <w:rPr>
          <w:rFonts w:ascii="Calibri" w:hAnsi="Calibri" w:cs="Calibri"/>
          <w:sz w:val="24"/>
          <w:szCs w:val="24"/>
        </w:rPr>
        <w:t>3</w:t>
      </w:r>
      <w:r>
        <w:rPr>
          <w:rFonts w:ascii="Calibri" w:hAnsi="Calibri" w:cs="Calibri"/>
          <w:sz w:val="24"/>
          <w:szCs w:val="24"/>
        </w:rPr>
        <w:t xml:space="preserve">3, será equacionado conforme as regras estabelecidas no </w:t>
      </w:r>
      <w:r w:rsidR="005668D8">
        <w:rPr>
          <w:rFonts w:ascii="Calibri" w:hAnsi="Calibri" w:cs="Calibri"/>
          <w:sz w:val="24"/>
          <w:szCs w:val="24"/>
        </w:rPr>
        <w:t>Termo de Compromisso Financeiro</w:t>
      </w:r>
      <w:r>
        <w:rPr>
          <w:rFonts w:ascii="Calibri" w:hAnsi="Calibri" w:cs="Calibri"/>
          <w:sz w:val="24"/>
          <w:szCs w:val="24"/>
        </w:rPr>
        <w:t>, aprovado pelo Conselho de Administração da CDRJ</w:t>
      </w:r>
      <w:r w:rsidR="005668D8">
        <w:rPr>
          <w:rFonts w:ascii="Calibri" w:hAnsi="Calibri" w:cs="Calibri"/>
          <w:sz w:val="24"/>
          <w:szCs w:val="24"/>
        </w:rPr>
        <w:t xml:space="preserve">, </w:t>
      </w:r>
      <w:r>
        <w:rPr>
          <w:rFonts w:ascii="Calibri" w:hAnsi="Calibri" w:cs="Calibri"/>
          <w:sz w:val="24"/>
          <w:szCs w:val="24"/>
        </w:rPr>
        <w:t xml:space="preserve">em sua </w:t>
      </w:r>
      <w:r w:rsidR="005668D8">
        <w:rPr>
          <w:rFonts w:ascii="Calibri" w:hAnsi="Calibri" w:cs="Calibri"/>
          <w:sz w:val="24"/>
          <w:szCs w:val="24"/>
        </w:rPr>
        <w:t>742</w:t>
      </w:r>
      <w:r>
        <w:rPr>
          <w:rFonts w:ascii="Calibri" w:hAnsi="Calibri" w:cs="Calibri"/>
          <w:sz w:val="24"/>
          <w:szCs w:val="24"/>
        </w:rPr>
        <w:t xml:space="preserve">ª reunião, realizada em </w:t>
      </w:r>
      <w:r w:rsidR="005668D8">
        <w:rPr>
          <w:rFonts w:ascii="Calibri" w:hAnsi="Calibri" w:cs="Calibri"/>
          <w:sz w:val="24"/>
          <w:szCs w:val="24"/>
        </w:rPr>
        <w:t>10 de junho de 2020</w:t>
      </w:r>
      <w:r>
        <w:rPr>
          <w:rFonts w:ascii="Calibri" w:hAnsi="Calibri" w:cs="Calibri"/>
          <w:sz w:val="24"/>
          <w:szCs w:val="24"/>
        </w:rPr>
        <w:t xml:space="preserve">, com a supervisão da Secretaria de Coordenação e Governança das Empresas Estatais (SEST). As informações atuariais, de responsabilidade da empresa de consultoria </w:t>
      </w:r>
      <w:proofErr w:type="spellStart"/>
      <w:r>
        <w:rPr>
          <w:rFonts w:ascii="Calibri" w:hAnsi="Calibri" w:cs="Calibri"/>
          <w:sz w:val="24"/>
          <w:szCs w:val="24"/>
        </w:rPr>
        <w:t>Rodarte</w:t>
      </w:r>
      <w:proofErr w:type="spellEnd"/>
      <w:r>
        <w:rPr>
          <w:rFonts w:ascii="Calibri" w:hAnsi="Calibri" w:cs="Calibri"/>
          <w:sz w:val="24"/>
          <w:szCs w:val="24"/>
        </w:rPr>
        <w:t xml:space="preserve"> Consultoria em Estatística e Seguridade Ltda., estão apresentadas abaixo:</w:t>
      </w:r>
    </w:p>
    <w:p w:rsidR="005C2D87" w:rsidRDefault="005C2D87" w:rsidP="00E70A67">
      <w:pPr>
        <w:jc w:val="both"/>
        <w:rPr>
          <w:rFonts w:ascii="Calibri" w:hAnsi="Calibri" w:cs="Calibri"/>
          <w:sz w:val="24"/>
          <w:szCs w:val="24"/>
        </w:rPr>
      </w:pPr>
    </w:p>
    <w:p w:rsidR="00E91329" w:rsidRDefault="00E91329" w:rsidP="00E91329">
      <w:pPr>
        <w:jc w:val="both"/>
        <w:rPr>
          <w:rFonts w:ascii="Calibri" w:hAnsi="Calibri" w:cs="Calibri"/>
          <w:sz w:val="24"/>
          <w:szCs w:val="24"/>
        </w:rPr>
      </w:pPr>
      <w:r>
        <w:rPr>
          <w:rFonts w:ascii="Calibri" w:hAnsi="Calibri" w:cs="Calibri"/>
          <w:sz w:val="24"/>
          <w:szCs w:val="24"/>
        </w:rPr>
        <w:t xml:space="preserve">Base de </w:t>
      </w:r>
      <w:r w:rsidR="007B271D">
        <w:rPr>
          <w:rFonts w:ascii="Calibri" w:hAnsi="Calibri" w:cs="Calibri"/>
          <w:sz w:val="24"/>
          <w:szCs w:val="24"/>
        </w:rPr>
        <w:t>D</w:t>
      </w:r>
      <w:r>
        <w:rPr>
          <w:rFonts w:ascii="Calibri" w:hAnsi="Calibri" w:cs="Calibri"/>
          <w:sz w:val="24"/>
          <w:szCs w:val="24"/>
        </w:rPr>
        <w:t>ados:</w:t>
      </w:r>
    </w:p>
    <w:p w:rsidR="00D414A4" w:rsidRDefault="00D414A4" w:rsidP="00E91329">
      <w:pPr>
        <w:jc w:val="both"/>
        <w:rPr>
          <w:rFonts w:ascii="Calibri" w:hAnsi="Calibri" w:cs="Calibri"/>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46"/>
        <w:gridCol w:w="1134"/>
        <w:gridCol w:w="1134"/>
      </w:tblGrid>
      <w:tr w:rsidR="00E91329" w:rsidRPr="002E7F4A" w:rsidTr="00E91329">
        <w:trPr>
          <w:trHeight w:val="315"/>
        </w:trPr>
        <w:tc>
          <w:tcPr>
            <w:tcW w:w="6946" w:type="dxa"/>
            <w:shd w:val="clear" w:color="auto" w:fill="auto"/>
            <w:noWrap/>
            <w:vAlign w:val="bottom"/>
          </w:tcPr>
          <w:p w:rsidR="00E91329" w:rsidRPr="002E7F4A" w:rsidRDefault="00E91329" w:rsidP="00014E44">
            <w:pPr>
              <w:widowControl/>
              <w:rPr>
                <w:rFonts w:ascii="Calibri" w:hAnsi="Calibri" w:cs="Calibri"/>
                <w:snapToGrid/>
                <w:color w:val="000000"/>
                <w:sz w:val="24"/>
                <w:szCs w:val="24"/>
              </w:rPr>
            </w:pPr>
          </w:p>
        </w:tc>
        <w:tc>
          <w:tcPr>
            <w:tcW w:w="1134" w:type="dxa"/>
            <w:shd w:val="clear" w:color="auto" w:fill="auto"/>
            <w:noWrap/>
            <w:vAlign w:val="bottom"/>
            <w:hideMark/>
          </w:tcPr>
          <w:p w:rsidR="00E91329" w:rsidRPr="002E7F4A" w:rsidRDefault="00E91329" w:rsidP="00E91329">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2019</w:t>
            </w:r>
          </w:p>
        </w:tc>
        <w:tc>
          <w:tcPr>
            <w:tcW w:w="1134" w:type="dxa"/>
            <w:shd w:val="clear" w:color="auto" w:fill="auto"/>
            <w:noWrap/>
            <w:vAlign w:val="bottom"/>
            <w:hideMark/>
          </w:tcPr>
          <w:p w:rsidR="00E91329" w:rsidRPr="002E7F4A" w:rsidRDefault="00E91329" w:rsidP="00E91329">
            <w:pPr>
              <w:widowControl/>
              <w:jc w:val="center"/>
              <w:rPr>
                <w:rFonts w:ascii="Calibri" w:hAnsi="Calibri" w:cs="Calibri"/>
                <w:b/>
                <w:bCs/>
                <w:snapToGrid/>
                <w:color w:val="000000"/>
                <w:sz w:val="24"/>
                <w:szCs w:val="24"/>
              </w:rPr>
            </w:pPr>
            <w:r w:rsidRPr="002E7F4A">
              <w:rPr>
                <w:rFonts w:ascii="Calibri" w:hAnsi="Calibri" w:cs="Calibri"/>
                <w:b/>
                <w:bCs/>
                <w:snapToGrid/>
                <w:color w:val="000000"/>
                <w:sz w:val="24"/>
                <w:szCs w:val="24"/>
              </w:rPr>
              <w:t>201</w:t>
            </w:r>
            <w:r>
              <w:rPr>
                <w:rFonts w:ascii="Calibri" w:hAnsi="Calibri" w:cs="Calibri"/>
                <w:b/>
                <w:bCs/>
                <w:snapToGrid/>
                <w:color w:val="000000"/>
                <w:sz w:val="24"/>
                <w:szCs w:val="24"/>
              </w:rPr>
              <w:t>8</w:t>
            </w:r>
          </w:p>
        </w:tc>
      </w:tr>
      <w:tr w:rsidR="00E91329" w:rsidRPr="002E7F4A" w:rsidTr="00E91329">
        <w:trPr>
          <w:trHeight w:val="315"/>
        </w:trPr>
        <w:tc>
          <w:tcPr>
            <w:tcW w:w="6946" w:type="dxa"/>
            <w:shd w:val="clear" w:color="auto" w:fill="auto"/>
            <w:noWrap/>
            <w:vAlign w:val="bottom"/>
          </w:tcPr>
          <w:p w:rsidR="00E91329" w:rsidRPr="00F079A2" w:rsidRDefault="00E91329" w:rsidP="00014E44">
            <w:pPr>
              <w:widowControl/>
              <w:rPr>
                <w:rFonts w:ascii="Calibri" w:hAnsi="Calibri" w:cs="Calibri"/>
                <w:snapToGrid/>
                <w:color w:val="000000"/>
                <w:sz w:val="24"/>
                <w:szCs w:val="24"/>
              </w:rPr>
            </w:pPr>
            <w:r>
              <w:rPr>
                <w:rFonts w:ascii="Calibri" w:hAnsi="Calibri" w:cs="Calibri"/>
                <w:snapToGrid/>
                <w:color w:val="000000"/>
                <w:sz w:val="24"/>
                <w:szCs w:val="24"/>
              </w:rPr>
              <w:t>Participantes ativos (passivo principal)</w:t>
            </w:r>
          </w:p>
        </w:tc>
        <w:tc>
          <w:tcPr>
            <w:tcW w:w="1134" w:type="dxa"/>
            <w:shd w:val="clear" w:color="auto" w:fill="auto"/>
            <w:noWrap/>
            <w:vAlign w:val="bottom"/>
          </w:tcPr>
          <w:p w:rsidR="00E91329" w:rsidRPr="002E7F4A" w:rsidRDefault="00E91329"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307</w:t>
            </w:r>
          </w:p>
        </w:tc>
        <w:tc>
          <w:tcPr>
            <w:tcW w:w="1134" w:type="dxa"/>
            <w:shd w:val="clear" w:color="auto" w:fill="auto"/>
            <w:noWrap/>
            <w:vAlign w:val="bottom"/>
          </w:tcPr>
          <w:p w:rsidR="00E91329" w:rsidRPr="002E7F4A" w:rsidRDefault="00E91329"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310</w:t>
            </w:r>
          </w:p>
        </w:tc>
      </w:tr>
      <w:tr w:rsidR="00E91329" w:rsidRPr="002E7F4A" w:rsidTr="00E91329">
        <w:trPr>
          <w:trHeight w:val="315"/>
        </w:trPr>
        <w:tc>
          <w:tcPr>
            <w:tcW w:w="6946" w:type="dxa"/>
            <w:shd w:val="clear" w:color="auto" w:fill="auto"/>
            <w:noWrap/>
            <w:vAlign w:val="bottom"/>
          </w:tcPr>
          <w:p w:rsidR="00E91329" w:rsidRPr="00F079A2" w:rsidRDefault="00E91329" w:rsidP="00014E44">
            <w:pPr>
              <w:widowControl/>
              <w:rPr>
                <w:rFonts w:ascii="Calibri" w:hAnsi="Calibri" w:cs="Calibri"/>
                <w:snapToGrid/>
                <w:color w:val="000000"/>
                <w:sz w:val="24"/>
                <w:szCs w:val="24"/>
              </w:rPr>
            </w:pPr>
            <w:r>
              <w:rPr>
                <w:rFonts w:ascii="Calibri" w:hAnsi="Calibri" w:cs="Calibri"/>
                <w:snapToGrid/>
                <w:color w:val="000000"/>
                <w:sz w:val="24"/>
                <w:szCs w:val="24"/>
              </w:rPr>
              <w:t>Participantes assistidos / beneficiários em gozo de benefício</w:t>
            </w:r>
          </w:p>
        </w:tc>
        <w:tc>
          <w:tcPr>
            <w:tcW w:w="1134" w:type="dxa"/>
            <w:shd w:val="clear" w:color="auto" w:fill="auto"/>
            <w:noWrap/>
            <w:vAlign w:val="bottom"/>
          </w:tcPr>
          <w:p w:rsidR="00E91329" w:rsidRPr="002E7F4A" w:rsidRDefault="00E91329"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1.332</w:t>
            </w:r>
          </w:p>
        </w:tc>
        <w:tc>
          <w:tcPr>
            <w:tcW w:w="1134" w:type="dxa"/>
            <w:shd w:val="clear" w:color="auto" w:fill="auto"/>
            <w:noWrap/>
            <w:vAlign w:val="bottom"/>
          </w:tcPr>
          <w:p w:rsidR="00E91329" w:rsidRPr="002E7F4A" w:rsidRDefault="00E91329"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1.358</w:t>
            </w:r>
          </w:p>
        </w:tc>
      </w:tr>
      <w:tr w:rsidR="00E91329" w:rsidRPr="002E7F4A" w:rsidTr="00E91329">
        <w:trPr>
          <w:trHeight w:val="315"/>
        </w:trPr>
        <w:tc>
          <w:tcPr>
            <w:tcW w:w="6946" w:type="dxa"/>
            <w:shd w:val="clear" w:color="auto" w:fill="auto"/>
            <w:noWrap/>
            <w:vAlign w:val="bottom"/>
          </w:tcPr>
          <w:p w:rsidR="00E91329" w:rsidRPr="00F079A2" w:rsidRDefault="00E91329" w:rsidP="00E91329">
            <w:pPr>
              <w:widowControl/>
              <w:ind w:firstLine="214"/>
              <w:rPr>
                <w:rFonts w:ascii="Calibri" w:hAnsi="Calibri" w:cs="Calibri"/>
                <w:snapToGrid/>
                <w:color w:val="000000"/>
                <w:sz w:val="24"/>
                <w:szCs w:val="24"/>
              </w:rPr>
            </w:pPr>
            <w:r>
              <w:rPr>
                <w:rFonts w:ascii="Calibri" w:hAnsi="Calibri" w:cs="Calibri"/>
                <w:snapToGrid/>
                <w:color w:val="000000"/>
                <w:sz w:val="24"/>
                <w:szCs w:val="24"/>
              </w:rPr>
              <w:t>Aposentados</w:t>
            </w:r>
          </w:p>
        </w:tc>
        <w:tc>
          <w:tcPr>
            <w:tcW w:w="1134" w:type="dxa"/>
            <w:shd w:val="clear" w:color="auto" w:fill="auto"/>
            <w:noWrap/>
            <w:vAlign w:val="bottom"/>
          </w:tcPr>
          <w:p w:rsidR="00E91329" w:rsidRPr="002E7F4A" w:rsidRDefault="00E91329"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655</w:t>
            </w:r>
          </w:p>
        </w:tc>
        <w:tc>
          <w:tcPr>
            <w:tcW w:w="1134" w:type="dxa"/>
            <w:shd w:val="clear" w:color="auto" w:fill="auto"/>
            <w:noWrap/>
            <w:vAlign w:val="bottom"/>
          </w:tcPr>
          <w:p w:rsidR="00E91329" w:rsidRPr="002E7F4A" w:rsidRDefault="00E91329"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678</w:t>
            </w:r>
          </w:p>
        </w:tc>
      </w:tr>
      <w:tr w:rsidR="00E91329" w:rsidRPr="002E7F4A" w:rsidTr="00E91329">
        <w:trPr>
          <w:trHeight w:val="315"/>
        </w:trPr>
        <w:tc>
          <w:tcPr>
            <w:tcW w:w="6946" w:type="dxa"/>
            <w:shd w:val="clear" w:color="auto" w:fill="auto"/>
            <w:noWrap/>
            <w:vAlign w:val="bottom"/>
          </w:tcPr>
          <w:p w:rsidR="00E91329" w:rsidRPr="00F079A2" w:rsidRDefault="00E91329" w:rsidP="00E91329">
            <w:pPr>
              <w:widowControl/>
              <w:ind w:firstLine="214"/>
              <w:rPr>
                <w:rFonts w:ascii="Calibri" w:hAnsi="Calibri" w:cs="Calibri"/>
                <w:snapToGrid/>
                <w:color w:val="000000"/>
                <w:sz w:val="24"/>
                <w:szCs w:val="24"/>
              </w:rPr>
            </w:pPr>
            <w:r>
              <w:rPr>
                <w:rFonts w:ascii="Calibri" w:hAnsi="Calibri" w:cs="Calibri"/>
                <w:snapToGrid/>
                <w:color w:val="000000"/>
                <w:sz w:val="24"/>
                <w:szCs w:val="24"/>
              </w:rPr>
              <w:t>Pensionistas</w:t>
            </w:r>
          </w:p>
        </w:tc>
        <w:tc>
          <w:tcPr>
            <w:tcW w:w="1134" w:type="dxa"/>
            <w:shd w:val="clear" w:color="auto" w:fill="auto"/>
            <w:noWrap/>
            <w:vAlign w:val="bottom"/>
          </w:tcPr>
          <w:p w:rsidR="00E91329" w:rsidRPr="002E7F4A" w:rsidRDefault="00E91329"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677</w:t>
            </w:r>
          </w:p>
        </w:tc>
        <w:tc>
          <w:tcPr>
            <w:tcW w:w="1134" w:type="dxa"/>
            <w:shd w:val="clear" w:color="auto" w:fill="auto"/>
            <w:noWrap/>
            <w:vAlign w:val="bottom"/>
          </w:tcPr>
          <w:p w:rsidR="00E91329" w:rsidRPr="002E7F4A" w:rsidRDefault="00E91329"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680</w:t>
            </w:r>
          </w:p>
        </w:tc>
      </w:tr>
      <w:tr w:rsidR="00E91329" w:rsidRPr="002E7F4A" w:rsidTr="00E91329">
        <w:trPr>
          <w:trHeight w:val="315"/>
        </w:trPr>
        <w:tc>
          <w:tcPr>
            <w:tcW w:w="6946" w:type="dxa"/>
            <w:shd w:val="clear" w:color="auto" w:fill="auto"/>
            <w:noWrap/>
            <w:vAlign w:val="bottom"/>
          </w:tcPr>
          <w:p w:rsidR="00E91329" w:rsidRPr="00F079A2" w:rsidRDefault="00E91329" w:rsidP="00014E44">
            <w:pPr>
              <w:widowControl/>
              <w:rPr>
                <w:rFonts w:ascii="Calibri" w:hAnsi="Calibri" w:cs="Calibri"/>
                <w:snapToGrid/>
                <w:color w:val="000000"/>
                <w:sz w:val="24"/>
                <w:szCs w:val="24"/>
              </w:rPr>
            </w:pPr>
            <w:r>
              <w:rPr>
                <w:rFonts w:ascii="Calibri" w:hAnsi="Calibri" w:cs="Calibri"/>
                <w:snapToGrid/>
                <w:color w:val="000000"/>
                <w:sz w:val="24"/>
                <w:szCs w:val="24"/>
              </w:rPr>
              <w:t>Total de participantes</w:t>
            </w:r>
          </w:p>
        </w:tc>
        <w:tc>
          <w:tcPr>
            <w:tcW w:w="1134" w:type="dxa"/>
            <w:shd w:val="clear" w:color="auto" w:fill="auto"/>
            <w:noWrap/>
            <w:vAlign w:val="bottom"/>
          </w:tcPr>
          <w:p w:rsidR="00E91329" w:rsidRPr="002E7F4A" w:rsidRDefault="00E91329"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1.639</w:t>
            </w:r>
          </w:p>
        </w:tc>
        <w:tc>
          <w:tcPr>
            <w:tcW w:w="1134" w:type="dxa"/>
            <w:shd w:val="clear" w:color="auto" w:fill="auto"/>
            <w:noWrap/>
            <w:vAlign w:val="bottom"/>
          </w:tcPr>
          <w:p w:rsidR="00E91329" w:rsidRPr="002E7F4A" w:rsidRDefault="00E91329"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1.668</w:t>
            </w:r>
          </w:p>
        </w:tc>
      </w:tr>
      <w:tr w:rsidR="00E91329" w:rsidRPr="002E7F4A" w:rsidTr="00E91329">
        <w:trPr>
          <w:trHeight w:val="315"/>
        </w:trPr>
        <w:tc>
          <w:tcPr>
            <w:tcW w:w="6946" w:type="dxa"/>
            <w:shd w:val="clear" w:color="auto" w:fill="auto"/>
            <w:noWrap/>
            <w:vAlign w:val="bottom"/>
          </w:tcPr>
          <w:p w:rsidR="00E91329" w:rsidRPr="00F079A2" w:rsidRDefault="00E91329" w:rsidP="00014E44">
            <w:pPr>
              <w:widowControl/>
              <w:rPr>
                <w:rFonts w:ascii="Calibri" w:hAnsi="Calibri" w:cs="Calibri"/>
                <w:snapToGrid/>
                <w:color w:val="000000"/>
                <w:sz w:val="24"/>
                <w:szCs w:val="24"/>
              </w:rPr>
            </w:pPr>
            <w:proofErr w:type="spellStart"/>
            <w:r w:rsidRPr="00E91329">
              <w:rPr>
                <w:rFonts w:ascii="Calibri" w:hAnsi="Calibri" w:cs="Calibri"/>
                <w:i/>
                <w:snapToGrid/>
                <w:color w:val="000000"/>
                <w:sz w:val="24"/>
                <w:szCs w:val="24"/>
              </w:rPr>
              <w:t>Duration</w:t>
            </w:r>
            <w:proofErr w:type="spellEnd"/>
            <w:r>
              <w:rPr>
                <w:rFonts w:ascii="Calibri" w:hAnsi="Calibri" w:cs="Calibri"/>
                <w:snapToGrid/>
                <w:color w:val="000000"/>
                <w:sz w:val="24"/>
                <w:szCs w:val="24"/>
              </w:rPr>
              <w:t xml:space="preserve"> da obrigação (utilizada para determinar a taxa de desconto)</w:t>
            </w:r>
          </w:p>
        </w:tc>
        <w:tc>
          <w:tcPr>
            <w:tcW w:w="1134" w:type="dxa"/>
            <w:shd w:val="clear" w:color="auto" w:fill="auto"/>
            <w:noWrap/>
            <w:vAlign w:val="bottom"/>
          </w:tcPr>
          <w:p w:rsidR="00E91329" w:rsidRPr="002E7F4A" w:rsidRDefault="00E91329"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10,58</w:t>
            </w:r>
          </w:p>
        </w:tc>
        <w:tc>
          <w:tcPr>
            <w:tcW w:w="1134" w:type="dxa"/>
            <w:shd w:val="clear" w:color="auto" w:fill="auto"/>
            <w:noWrap/>
            <w:vAlign w:val="bottom"/>
          </w:tcPr>
          <w:p w:rsidR="00E91329" w:rsidRPr="002E7F4A" w:rsidRDefault="00E91329"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10,50</w:t>
            </w:r>
          </w:p>
        </w:tc>
      </w:tr>
    </w:tbl>
    <w:p w:rsidR="00D414A4" w:rsidRDefault="00D414A4" w:rsidP="00E70A67">
      <w:pPr>
        <w:jc w:val="both"/>
        <w:rPr>
          <w:rFonts w:ascii="Calibri" w:hAnsi="Calibri" w:cs="Calibri"/>
          <w:sz w:val="24"/>
          <w:szCs w:val="24"/>
        </w:rPr>
      </w:pPr>
    </w:p>
    <w:p w:rsidR="001C4695" w:rsidRDefault="001C4695" w:rsidP="00E70A67">
      <w:pPr>
        <w:jc w:val="both"/>
        <w:rPr>
          <w:rFonts w:ascii="Calibri" w:hAnsi="Calibri" w:cs="Calibri"/>
          <w:sz w:val="24"/>
          <w:szCs w:val="24"/>
        </w:rPr>
      </w:pPr>
    </w:p>
    <w:p w:rsidR="00643D49" w:rsidRDefault="00643D49" w:rsidP="00643D49">
      <w:pPr>
        <w:jc w:val="both"/>
        <w:rPr>
          <w:rFonts w:ascii="Calibri" w:hAnsi="Calibri" w:cs="Calibri"/>
          <w:sz w:val="24"/>
          <w:szCs w:val="24"/>
        </w:rPr>
      </w:pPr>
      <w:r>
        <w:rPr>
          <w:rFonts w:ascii="Calibri" w:hAnsi="Calibri" w:cs="Calibri"/>
          <w:sz w:val="24"/>
          <w:szCs w:val="24"/>
        </w:rPr>
        <w:lastRenderedPageBreak/>
        <w:t xml:space="preserve">Formação do </w:t>
      </w:r>
      <w:r w:rsidR="007B271D">
        <w:rPr>
          <w:rFonts w:ascii="Calibri" w:hAnsi="Calibri" w:cs="Calibri"/>
          <w:sz w:val="24"/>
          <w:szCs w:val="24"/>
        </w:rPr>
        <w:t>D</w:t>
      </w:r>
      <w:r>
        <w:rPr>
          <w:rFonts w:ascii="Calibri" w:hAnsi="Calibri" w:cs="Calibri"/>
          <w:sz w:val="24"/>
          <w:szCs w:val="24"/>
        </w:rPr>
        <w:t>éficit:</w:t>
      </w:r>
    </w:p>
    <w:p w:rsidR="00D414A4" w:rsidRDefault="00D414A4" w:rsidP="00643D49">
      <w:pPr>
        <w:jc w:val="both"/>
        <w:rPr>
          <w:rFonts w:ascii="Calibri" w:hAnsi="Calibri" w:cs="Calibri"/>
          <w:sz w:val="24"/>
          <w:szCs w:val="24"/>
        </w:rPr>
      </w:pPr>
    </w:p>
    <w:tbl>
      <w:tblPr>
        <w:tblW w:w="7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3"/>
        <w:gridCol w:w="1417"/>
        <w:gridCol w:w="1418"/>
      </w:tblGrid>
      <w:tr w:rsidR="00643D49" w:rsidRPr="002E7F4A" w:rsidTr="00014E44">
        <w:trPr>
          <w:trHeight w:val="315"/>
        </w:trPr>
        <w:tc>
          <w:tcPr>
            <w:tcW w:w="5103" w:type="dxa"/>
            <w:shd w:val="clear" w:color="auto" w:fill="auto"/>
            <w:noWrap/>
            <w:vAlign w:val="bottom"/>
          </w:tcPr>
          <w:p w:rsidR="00643D49" w:rsidRPr="002E7F4A" w:rsidRDefault="00643D49" w:rsidP="00014E44">
            <w:pPr>
              <w:widowControl/>
              <w:rPr>
                <w:rFonts w:ascii="Calibri" w:hAnsi="Calibri" w:cs="Calibri"/>
                <w:snapToGrid/>
                <w:color w:val="000000"/>
                <w:sz w:val="24"/>
                <w:szCs w:val="24"/>
              </w:rPr>
            </w:pPr>
          </w:p>
        </w:tc>
        <w:tc>
          <w:tcPr>
            <w:tcW w:w="1417" w:type="dxa"/>
            <w:shd w:val="clear" w:color="auto" w:fill="auto"/>
            <w:noWrap/>
            <w:vAlign w:val="bottom"/>
            <w:hideMark/>
          </w:tcPr>
          <w:p w:rsidR="00643D49" w:rsidRPr="002E7F4A" w:rsidRDefault="00643D49" w:rsidP="00014E44">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2019</w:t>
            </w:r>
          </w:p>
        </w:tc>
        <w:tc>
          <w:tcPr>
            <w:tcW w:w="1418" w:type="dxa"/>
            <w:shd w:val="clear" w:color="auto" w:fill="auto"/>
            <w:noWrap/>
            <w:vAlign w:val="bottom"/>
            <w:hideMark/>
          </w:tcPr>
          <w:p w:rsidR="00643D49" w:rsidRPr="002E7F4A" w:rsidRDefault="00643D49" w:rsidP="00014E44">
            <w:pPr>
              <w:widowControl/>
              <w:jc w:val="center"/>
              <w:rPr>
                <w:rFonts w:ascii="Calibri" w:hAnsi="Calibri" w:cs="Calibri"/>
                <w:b/>
                <w:bCs/>
                <w:snapToGrid/>
                <w:color w:val="000000"/>
                <w:sz w:val="24"/>
                <w:szCs w:val="24"/>
              </w:rPr>
            </w:pPr>
            <w:r w:rsidRPr="002E7F4A">
              <w:rPr>
                <w:rFonts w:ascii="Calibri" w:hAnsi="Calibri" w:cs="Calibri"/>
                <w:b/>
                <w:bCs/>
                <w:snapToGrid/>
                <w:color w:val="000000"/>
                <w:sz w:val="24"/>
                <w:szCs w:val="24"/>
              </w:rPr>
              <w:t>201</w:t>
            </w:r>
            <w:r>
              <w:rPr>
                <w:rFonts w:ascii="Calibri" w:hAnsi="Calibri" w:cs="Calibri"/>
                <w:b/>
                <w:bCs/>
                <w:snapToGrid/>
                <w:color w:val="000000"/>
                <w:sz w:val="24"/>
                <w:szCs w:val="24"/>
              </w:rPr>
              <w:t>8</w:t>
            </w:r>
          </w:p>
        </w:tc>
      </w:tr>
      <w:tr w:rsidR="00643D49" w:rsidRPr="002E7F4A" w:rsidTr="00014E44">
        <w:trPr>
          <w:trHeight w:val="315"/>
        </w:trPr>
        <w:tc>
          <w:tcPr>
            <w:tcW w:w="5103" w:type="dxa"/>
            <w:shd w:val="clear" w:color="auto" w:fill="auto"/>
            <w:noWrap/>
            <w:vAlign w:val="bottom"/>
          </w:tcPr>
          <w:p w:rsidR="00643D49" w:rsidRPr="00F079A2" w:rsidRDefault="00643D49" w:rsidP="000016CA">
            <w:pPr>
              <w:widowControl/>
              <w:rPr>
                <w:rFonts w:ascii="Calibri" w:hAnsi="Calibri" w:cs="Calibri"/>
                <w:snapToGrid/>
                <w:color w:val="000000"/>
                <w:sz w:val="24"/>
                <w:szCs w:val="24"/>
              </w:rPr>
            </w:pPr>
            <w:r>
              <w:rPr>
                <w:rFonts w:ascii="Calibri" w:hAnsi="Calibri" w:cs="Calibri"/>
                <w:snapToGrid/>
                <w:color w:val="000000"/>
                <w:sz w:val="24"/>
                <w:szCs w:val="24"/>
              </w:rPr>
              <w:t xml:space="preserve">Saldo do passivo atuarial </w:t>
            </w:r>
            <w:r w:rsidR="000016CA">
              <w:rPr>
                <w:rFonts w:ascii="Calibri" w:hAnsi="Calibri" w:cs="Calibri"/>
                <w:snapToGrid/>
                <w:color w:val="000000"/>
                <w:sz w:val="24"/>
                <w:szCs w:val="24"/>
              </w:rPr>
              <w:t>no</w:t>
            </w:r>
            <w:r>
              <w:rPr>
                <w:rFonts w:ascii="Calibri" w:hAnsi="Calibri" w:cs="Calibri"/>
                <w:snapToGrid/>
                <w:color w:val="000000"/>
                <w:sz w:val="24"/>
                <w:szCs w:val="24"/>
              </w:rPr>
              <w:t xml:space="preserve"> início do exercício</w:t>
            </w:r>
          </w:p>
        </w:tc>
        <w:tc>
          <w:tcPr>
            <w:tcW w:w="1417" w:type="dxa"/>
            <w:shd w:val="clear" w:color="auto" w:fill="auto"/>
            <w:noWrap/>
            <w:vAlign w:val="bottom"/>
          </w:tcPr>
          <w:p w:rsidR="00643D49" w:rsidRPr="002E7F4A" w:rsidRDefault="000016CA"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643D49">
              <w:rPr>
                <w:rFonts w:ascii="Calibri" w:hAnsi="Calibri" w:cs="Calibri"/>
                <w:snapToGrid/>
                <w:color w:val="000000"/>
                <w:sz w:val="24"/>
                <w:szCs w:val="24"/>
              </w:rPr>
              <w:t>350.895</w:t>
            </w:r>
            <w:r>
              <w:rPr>
                <w:rFonts w:ascii="Calibri" w:hAnsi="Calibri" w:cs="Calibri"/>
                <w:snapToGrid/>
                <w:color w:val="000000"/>
                <w:sz w:val="24"/>
                <w:szCs w:val="24"/>
              </w:rPr>
              <w:t>)</w:t>
            </w:r>
          </w:p>
        </w:tc>
        <w:tc>
          <w:tcPr>
            <w:tcW w:w="1418" w:type="dxa"/>
            <w:shd w:val="clear" w:color="auto" w:fill="auto"/>
            <w:noWrap/>
            <w:vAlign w:val="bottom"/>
          </w:tcPr>
          <w:p w:rsidR="00643D49" w:rsidRPr="002E7F4A" w:rsidRDefault="00422FAA"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643D49" w:rsidRPr="002E7F4A" w:rsidTr="00014E44">
        <w:trPr>
          <w:trHeight w:val="315"/>
        </w:trPr>
        <w:tc>
          <w:tcPr>
            <w:tcW w:w="5103" w:type="dxa"/>
            <w:shd w:val="clear" w:color="auto" w:fill="auto"/>
            <w:noWrap/>
            <w:vAlign w:val="bottom"/>
          </w:tcPr>
          <w:p w:rsidR="00643D49" w:rsidRPr="00F079A2" w:rsidRDefault="00643D49" w:rsidP="000016CA">
            <w:pPr>
              <w:widowControl/>
              <w:rPr>
                <w:rFonts w:ascii="Calibri" w:hAnsi="Calibri" w:cs="Calibri"/>
                <w:snapToGrid/>
                <w:color w:val="000000"/>
                <w:sz w:val="24"/>
                <w:szCs w:val="24"/>
              </w:rPr>
            </w:pPr>
            <w:r>
              <w:rPr>
                <w:rFonts w:ascii="Calibri" w:hAnsi="Calibri" w:cs="Calibri"/>
                <w:snapToGrid/>
                <w:color w:val="000000"/>
                <w:sz w:val="24"/>
                <w:szCs w:val="24"/>
              </w:rPr>
              <w:t xml:space="preserve">Custo </w:t>
            </w:r>
            <w:r w:rsidR="000016CA">
              <w:rPr>
                <w:rFonts w:ascii="Calibri" w:hAnsi="Calibri" w:cs="Calibri"/>
                <w:snapToGrid/>
                <w:color w:val="000000"/>
                <w:sz w:val="24"/>
                <w:szCs w:val="24"/>
              </w:rPr>
              <w:t>líquido n</w:t>
            </w:r>
            <w:r>
              <w:rPr>
                <w:rFonts w:ascii="Calibri" w:hAnsi="Calibri" w:cs="Calibri"/>
                <w:snapToGrid/>
                <w:color w:val="000000"/>
                <w:sz w:val="24"/>
                <w:szCs w:val="24"/>
              </w:rPr>
              <w:t xml:space="preserve">o </w:t>
            </w:r>
            <w:r w:rsidR="000016CA">
              <w:rPr>
                <w:rFonts w:ascii="Calibri" w:hAnsi="Calibri" w:cs="Calibri"/>
                <w:snapToGrid/>
                <w:color w:val="000000"/>
                <w:sz w:val="24"/>
                <w:szCs w:val="24"/>
              </w:rPr>
              <w:t>período</w:t>
            </w:r>
          </w:p>
        </w:tc>
        <w:tc>
          <w:tcPr>
            <w:tcW w:w="1417" w:type="dxa"/>
            <w:shd w:val="clear" w:color="auto" w:fill="auto"/>
            <w:noWrap/>
            <w:vAlign w:val="bottom"/>
          </w:tcPr>
          <w:p w:rsidR="00643D49" w:rsidRPr="002E7F4A" w:rsidRDefault="000016CA"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643D49">
              <w:rPr>
                <w:rFonts w:ascii="Calibri" w:hAnsi="Calibri" w:cs="Calibri"/>
                <w:snapToGrid/>
                <w:color w:val="000000"/>
                <w:sz w:val="24"/>
                <w:szCs w:val="24"/>
              </w:rPr>
              <w:t>22.719</w:t>
            </w:r>
            <w:r>
              <w:rPr>
                <w:rFonts w:ascii="Calibri" w:hAnsi="Calibri" w:cs="Calibri"/>
                <w:snapToGrid/>
                <w:color w:val="000000"/>
                <w:sz w:val="24"/>
                <w:szCs w:val="24"/>
              </w:rPr>
              <w:t>)</w:t>
            </w:r>
          </w:p>
        </w:tc>
        <w:tc>
          <w:tcPr>
            <w:tcW w:w="1418" w:type="dxa"/>
            <w:shd w:val="clear" w:color="auto" w:fill="auto"/>
            <w:noWrap/>
            <w:vAlign w:val="bottom"/>
          </w:tcPr>
          <w:p w:rsidR="00643D49" w:rsidRPr="002E7F4A" w:rsidRDefault="00422FAA"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0016CA" w:rsidRPr="002E7F4A" w:rsidTr="00014E44">
        <w:trPr>
          <w:trHeight w:val="315"/>
        </w:trPr>
        <w:tc>
          <w:tcPr>
            <w:tcW w:w="5103" w:type="dxa"/>
            <w:shd w:val="clear" w:color="auto" w:fill="auto"/>
            <w:noWrap/>
            <w:vAlign w:val="bottom"/>
          </w:tcPr>
          <w:p w:rsidR="000016CA" w:rsidRDefault="000016CA" w:rsidP="00643D49">
            <w:pPr>
              <w:widowControl/>
              <w:rPr>
                <w:rFonts w:ascii="Calibri" w:hAnsi="Calibri" w:cs="Calibri"/>
                <w:snapToGrid/>
                <w:color w:val="000000"/>
                <w:sz w:val="24"/>
                <w:szCs w:val="24"/>
              </w:rPr>
            </w:pPr>
            <w:r>
              <w:rPr>
                <w:rFonts w:ascii="Calibri" w:hAnsi="Calibri" w:cs="Calibri"/>
                <w:snapToGrid/>
                <w:color w:val="000000"/>
                <w:sz w:val="24"/>
                <w:szCs w:val="24"/>
              </w:rPr>
              <w:t>Ganhos atuariais líquidos de capital</w:t>
            </w:r>
          </w:p>
        </w:tc>
        <w:tc>
          <w:tcPr>
            <w:tcW w:w="1417" w:type="dxa"/>
            <w:shd w:val="clear" w:color="auto" w:fill="auto"/>
            <w:noWrap/>
            <w:vAlign w:val="bottom"/>
          </w:tcPr>
          <w:p w:rsidR="000016CA" w:rsidRPr="002E7F4A" w:rsidRDefault="000016CA"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212.467</w:t>
            </w:r>
          </w:p>
        </w:tc>
        <w:tc>
          <w:tcPr>
            <w:tcW w:w="1418" w:type="dxa"/>
            <w:shd w:val="clear" w:color="auto" w:fill="auto"/>
            <w:noWrap/>
            <w:vAlign w:val="bottom"/>
          </w:tcPr>
          <w:p w:rsidR="000016CA" w:rsidRPr="002E7F4A" w:rsidRDefault="00422FAA"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643D49" w:rsidRPr="002E7F4A" w:rsidTr="00014E44">
        <w:trPr>
          <w:trHeight w:val="315"/>
        </w:trPr>
        <w:tc>
          <w:tcPr>
            <w:tcW w:w="5103" w:type="dxa"/>
            <w:shd w:val="clear" w:color="auto" w:fill="auto"/>
            <w:noWrap/>
            <w:vAlign w:val="bottom"/>
          </w:tcPr>
          <w:p w:rsidR="00643D49" w:rsidRPr="00F079A2" w:rsidRDefault="00643D49" w:rsidP="00643D49">
            <w:pPr>
              <w:widowControl/>
              <w:rPr>
                <w:rFonts w:ascii="Calibri" w:hAnsi="Calibri" w:cs="Calibri"/>
                <w:snapToGrid/>
                <w:color w:val="000000"/>
                <w:sz w:val="24"/>
                <w:szCs w:val="24"/>
              </w:rPr>
            </w:pPr>
            <w:r>
              <w:rPr>
                <w:rFonts w:ascii="Calibri" w:hAnsi="Calibri" w:cs="Calibri"/>
                <w:snapToGrid/>
                <w:color w:val="000000"/>
                <w:sz w:val="24"/>
                <w:szCs w:val="24"/>
              </w:rPr>
              <w:t>Pagamento de contribuições</w:t>
            </w:r>
          </w:p>
        </w:tc>
        <w:tc>
          <w:tcPr>
            <w:tcW w:w="1417" w:type="dxa"/>
            <w:shd w:val="clear" w:color="auto" w:fill="auto"/>
            <w:noWrap/>
            <w:vAlign w:val="bottom"/>
          </w:tcPr>
          <w:p w:rsidR="00643D49" w:rsidRPr="002E7F4A" w:rsidRDefault="000016CA"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8.419</w:t>
            </w:r>
          </w:p>
        </w:tc>
        <w:tc>
          <w:tcPr>
            <w:tcW w:w="1418" w:type="dxa"/>
            <w:shd w:val="clear" w:color="auto" w:fill="auto"/>
            <w:noWrap/>
            <w:vAlign w:val="bottom"/>
          </w:tcPr>
          <w:p w:rsidR="00643D49" w:rsidRPr="002E7F4A" w:rsidRDefault="00422FAA"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643D49" w:rsidRPr="002E7F4A" w:rsidTr="00014E44">
        <w:trPr>
          <w:trHeight w:val="315"/>
        </w:trPr>
        <w:tc>
          <w:tcPr>
            <w:tcW w:w="5103" w:type="dxa"/>
            <w:shd w:val="clear" w:color="auto" w:fill="auto"/>
            <w:noWrap/>
            <w:vAlign w:val="bottom"/>
          </w:tcPr>
          <w:p w:rsidR="00643D49" w:rsidRPr="00F079A2" w:rsidRDefault="000016CA" w:rsidP="00014E44">
            <w:pPr>
              <w:widowControl/>
              <w:rPr>
                <w:rFonts w:ascii="Calibri" w:hAnsi="Calibri" w:cs="Calibri"/>
                <w:snapToGrid/>
                <w:color w:val="000000"/>
                <w:sz w:val="24"/>
                <w:szCs w:val="24"/>
              </w:rPr>
            </w:pPr>
            <w:r>
              <w:rPr>
                <w:rFonts w:ascii="Calibri" w:hAnsi="Calibri" w:cs="Calibri"/>
                <w:snapToGrid/>
                <w:color w:val="000000"/>
                <w:sz w:val="24"/>
                <w:szCs w:val="24"/>
              </w:rPr>
              <w:t>Compartilhamento de risco</w:t>
            </w:r>
          </w:p>
        </w:tc>
        <w:tc>
          <w:tcPr>
            <w:tcW w:w="1417" w:type="dxa"/>
            <w:shd w:val="clear" w:color="auto" w:fill="auto"/>
            <w:noWrap/>
            <w:vAlign w:val="bottom"/>
          </w:tcPr>
          <w:p w:rsidR="00643D49" w:rsidRPr="002E7F4A" w:rsidRDefault="000016CA"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(230.764)</w:t>
            </w:r>
          </w:p>
        </w:tc>
        <w:tc>
          <w:tcPr>
            <w:tcW w:w="1418" w:type="dxa"/>
            <w:shd w:val="clear" w:color="auto" w:fill="auto"/>
            <w:noWrap/>
            <w:vAlign w:val="bottom"/>
          </w:tcPr>
          <w:p w:rsidR="00643D49" w:rsidRDefault="00422FAA"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w:t>
            </w:r>
            <w:bookmarkStart w:id="0" w:name="_GoBack"/>
            <w:bookmarkEnd w:id="0"/>
          </w:p>
        </w:tc>
      </w:tr>
      <w:tr w:rsidR="00643D49" w:rsidRPr="002E7F4A" w:rsidTr="00014E44">
        <w:trPr>
          <w:trHeight w:val="315"/>
        </w:trPr>
        <w:tc>
          <w:tcPr>
            <w:tcW w:w="5103" w:type="dxa"/>
            <w:shd w:val="clear" w:color="auto" w:fill="auto"/>
            <w:noWrap/>
            <w:vAlign w:val="bottom"/>
          </w:tcPr>
          <w:p w:rsidR="00643D49" w:rsidRPr="00F079A2" w:rsidRDefault="000016CA" w:rsidP="00014E44">
            <w:pPr>
              <w:widowControl/>
              <w:rPr>
                <w:rFonts w:ascii="Calibri" w:hAnsi="Calibri" w:cs="Calibri"/>
                <w:snapToGrid/>
                <w:color w:val="000000"/>
                <w:sz w:val="24"/>
                <w:szCs w:val="24"/>
              </w:rPr>
            </w:pPr>
            <w:r>
              <w:rPr>
                <w:rFonts w:ascii="Calibri" w:hAnsi="Calibri" w:cs="Calibri"/>
                <w:snapToGrid/>
                <w:color w:val="000000"/>
                <w:sz w:val="24"/>
                <w:szCs w:val="24"/>
              </w:rPr>
              <w:t>Saldo do passivo líquido ao final do exercício</w:t>
            </w:r>
          </w:p>
        </w:tc>
        <w:tc>
          <w:tcPr>
            <w:tcW w:w="1417" w:type="dxa"/>
            <w:shd w:val="clear" w:color="auto" w:fill="auto"/>
            <w:noWrap/>
            <w:vAlign w:val="bottom"/>
          </w:tcPr>
          <w:p w:rsidR="00643D49" w:rsidRPr="002E7F4A" w:rsidRDefault="000016CA"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(383.492)</w:t>
            </w:r>
          </w:p>
        </w:tc>
        <w:tc>
          <w:tcPr>
            <w:tcW w:w="1418" w:type="dxa"/>
            <w:shd w:val="clear" w:color="auto" w:fill="auto"/>
            <w:noWrap/>
            <w:vAlign w:val="bottom"/>
          </w:tcPr>
          <w:p w:rsidR="00643D49" w:rsidRPr="002E7F4A" w:rsidRDefault="000016CA"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643D49">
              <w:rPr>
                <w:rFonts w:ascii="Calibri" w:hAnsi="Calibri" w:cs="Calibri"/>
                <w:snapToGrid/>
                <w:color w:val="000000"/>
                <w:sz w:val="24"/>
                <w:szCs w:val="24"/>
              </w:rPr>
              <w:t>350.895</w:t>
            </w:r>
            <w:r>
              <w:rPr>
                <w:rFonts w:ascii="Calibri" w:hAnsi="Calibri" w:cs="Calibri"/>
                <w:snapToGrid/>
                <w:color w:val="000000"/>
                <w:sz w:val="24"/>
                <w:szCs w:val="24"/>
              </w:rPr>
              <w:t>)</w:t>
            </w:r>
          </w:p>
        </w:tc>
      </w:tr>
    </w:tbl>
    <w:p w:rsidR="009762BE" w:rsidRDefault="009762BE" w:rsidP="000016CA">
      <w:pPr>
        <w:jc w:val="both"/>
        <w:rPr>
          <w:rFonts w:ascii="Calibri" w:hAnsi="Calibri" w:cs="Calibri"/>
          <w:sz w:val="24"/>
          <w:szCs w:val="24"/>
        </w:rPr>
      </w:pPr>
    </w:p>
    <w:p w:rsidR="00D414A4" w:rsidRDefault="00D414A4" w:rsidP="00D414A4">
      <w:pPr>
        <w:jc w:val="both"/>
        <w:rPr>
          <w:rFonts w:ascii="Calibri" w:hAnsi="Calibri" w:cs="Calibri"/>
          <w:sz w:val="24"/>
          <w:szCs w:val="24"/>
        </w:rPr>
      </w:pPr>
      <w:r>
        <w:rPr>
          <w:rFonts w:ascii="Calibri" w:hAnsi="Calibri" w:cs="Calibri"/>
          <w:sz w:val="24"/>
          <w:szCs w:val="24"/>
        </w:rPr>
        <w:t>Premissas:</w:t>
      </w:r>
    </w:p>
    <w:p w:rsidR="00D414A4" w:rsidRDefault="00D414A4" w:rsidP="00D414A4">
      <w:pPr>
        <w:jc w:val="both"/>
        <w:rPr>
          <w:rFonts w:ascii="Calibri" w:hAnsi="Calibri" w:cs="Calibri"/>
          <w:sz w:val="24"/>
          <w:szCs w:val="24"/>
        </w:rPr>
      </w:pPr>
    </w:p>
    <w:tbl>
      <w:tblPr>
        <w:tblW w:w="72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1"/>
        <w:gridCol w:w="1197"/>
        <w:gridCol w:w="1197"/>
      </w:tblGrid>
      <w:tr w:rsidR="00D414A4" w:rsidRPr="002E7F4A" w:rsidTr="00B9551E">
        <w:trPr>
          <w:trHeight w:val="315"/>
        </w:trPr>
        <w:tc>
          <w:tcPr>
            <w:tcW w:w="4831" w:type="dxa"/>
            <w:shd w:val="clear" w:color="auto" w:fill="auto"/>
            <w:noWrap/>
            <w:vAlign w:val="bottom"/>
            <w:hideMark/>
          </w:tcPr>
          <w:p w:rsidR="00D414A4" w:rsidRPr="002E7F4A" w:rsidRDefault="00D414A4" w:rsidP="00B9551E">
            <w:pPr>
              <w:widowControl/>
              <w:rPr>
                <w:rFonts w:ascii="Calibri" w:hAnsi="Calibri" w:cs="Calibri"/>
                <w:snapToGrid/>
                <w:color w:val="000000"/>
                <w:sz w:val="24"/>
                <w:szCs w:val="24"/>
              </w:rPr>
            </w:pPr>
            <w:r>
              <w:rPr>
                <w:rFonts w:ascii="Calibri" w:hAnsi="Calibri" w:cs="Calibri"/>
                <w:snapToGrid/>
                <w:color w:val="000000"/>
                <w:sz w:val="24"/>
                <w:szCs w:val="24"/>
              </w:rPr>
              <w:t>Premissas adotadas (final do ano)</w:t>
            </w:r>
          </w:p>
        </w:tc>
        <w:tc>
          <w:tcPr>
            <w:tcW w:w="1197" w:type="dxa"/>
            <w:shd w:val="clear" w:color="auto" w:fill="auto"/>
            <w:noWrap/>
            <w:vAlign w:val="bottom"/>
            <w:hideMark/>
          </w:tcPr>
          <w:p w:rsidR="00D414A4" w:rsidRPr="002E7F4A" w:rsidRDefault="00D414A4" w:rsidP="00B9551E">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2019</w:t>
            </w:r>
          </w:p>
        </w:tc>
        <w:tc>
          <w:tcPr>
            <w:tcW w:w="1197" w:type="dxa"/>
            <w:shd w:val="clear" w:color="auto" w:fill="auto"/>
            <w:noWrap/>
            <w:vAlign w:val="bottom"/>
            <w:hideMark/>
          </w:tcPr>
          <w:p w:rsidR="00D414A4" w:rsidRPr="002E7F4A" w:rsidRDefault="00D414A4" w:rsidP="00B9551E">
            <w:pPr>
              <w:widowControl/>
              <w:jc w:val="center"/>
              <w:rPr>
                <w:rFonts w:ascii="Calibri" w:hAnsi="Calibri" w:cs="Calibri"/>
                <w:b/>
                <w:bCs/>
                <w:snapToGrid/>
                <w:color w:val="000000"/>
                <w:sz w:val="24"/>
                <w:szCs w:val="24"/>
              </w:rPr>
            </w:pPr>
            <w:r w:rsidRPr="002E7F4A">
              <w:rPr>
                <w:rFonts w:ascii="Calibri" w:hAnsi="Calibri" w:cs="Calibri"/>
                <w:b/>
                <w:bCs/>
                <w:snapToGrid/>
                <w:color w:val="000000"/>
                <w:sz w:val="24"/>
                <w:szCs w:val="24"/>
              </w:rPr>
              <w:t>201</w:t>
            </w:r>
            <w:r>
              <w:rPr>
                <w:rFonts w:ascii="Calibri" w:hAnsi="Calibri" w:cs="Calibri"/>
                <w:b/>
                <w:bCs/>
                <w:snapToGrid/>
                <w:color w:val="000000"/>
                <w:sz w:val="24"/>
                <w:szCs w:val="24"/>
              </w:rPr>
              <w:t>8</w:t>
            </w:r>
          </w:p>
        </w:tc>
      </w:tr>
      <w:tr w:rsidR="00D414A4" w:rsidRPr="002E7F4A" w:rsidTr="00B9551E">
        <w:trPr>
          <w:trHeight w:val="315"/>
        </w:trPr>
        <w:tc>
          <w:tcPr>
            <w:tcW w:w="4831" w:type="dxa"/>
            <w:shd w:val="clear" w:color="auto" w:fill="auto"/>
            <w:noWrap/>
            <w:vAlign w:val="bottom"/>
          </w:tcPr>
          <w:p w:rsidR="00D414A4" w:rsidRPr="00F079A2" w:rsidRDefault="00D414A4" w:rsidP="00B9551E">
            <w:pPr>
              <w:widowControl/>
              <w:rPr>
                <w:rFonts w:ascii="Calibri" w:hAnsi="Calibri" w:cs="Calibri"/>
                <w:snapToGrid/>
                <w:color w:val="000000"/>
                <w:sz w:val="24"/>
                <w:szCs w:val="24"/>
              </w:rPr>
            </w:pPr>
            <w:r>
              <w:rPr>
                <w:rFonts w:ascii="Calibri" w:hAnsi="Calibri" w:cs="Calibri"/>
                <w:snapToGrid/>
                <w:color w:val="000000"/>
                <w:sz w:val="24"/>
                <w:szCs w:val="24"/>
              </w:rPr>
              <w:t>Taxa de desconto (nominal)</w:t>
            </w:r>
          </w:p>
        </w:tc>
        <w:tc>
          <w:tcPr>
            <w:tcW w:w="1197" w:type="dxa"/>
            <w:shd w:val="clear" w:color="auto" w:fill="auto"/>
            <w:noWrap/>
            <w:vAlign w:val="bottom"/>
          </w:tcPr>
          <w:p w:rsidR="00D414A4" w:rsidRPr="002E7F4A" w:rsidRDefault="00D414A4" w:rsidP="00B9551E">
            <w:pPr>
              <w:widowControl/>
              <w:jc w:val="right"/>
              <w:rPr>
                <w:rFonts w:ascii="Calibri" w:hAnsi="Calibri" w:cs="Calibri"/>
                <w:snapToGrid/>
                <w:color w:val="000000"/>
                <w:sz w:val="24"/>
                <w:szCs w:val="24"/>
              </w:rPr>
            </w:pPr>
            <w:r>
              <w:rPr>
                <w:rFonts w:ascii="Calibri" w:hAnsi="Calibri" w:cs="Calibri"/>
                <w:snapToGrid/>
                <w:color w:val="000000"/>
                <w:sz w:val="24"/>
                <w:szCs w:val="24"/>
              </w:rPr>
              <w:t>6,853%</w:t>
            </w:r>
          </w:p>
        </w:tc>
        <w:tc>
          <w:tcPr>
            <w:tcW w:w="1197" w:type="dxa"/>
            <w:shd w:val="clear" w:color="auto" w:fill="auto"/>
            <w:noWrap/>
            <w:vAlign w:val="bottom"/>
          </w:tcPr>
          <w:p w:rsidR="00D414A4" w:rsidRPr="002E7F4A" w:rsidRDefault="00D414A4" w:rsidP="00B9551E">
            <w:pPr>
              <w:widowControl/>
              <w:jc w:val="right"/>
              <w:rPr>
                <w:rFonts w:ascii="Calibri" w:hAnsi="Calibri" w:cs="Calibri"/>
                <w:snapToGrid/>
                <w:color w:val="000000"/>
                <w:sz w:val="24"/>
                <w:szCs w:val="24"/>
              </w:rPr>
            </w:pPr>
            <w:r>
              <w:rPr>
                <w:rFonts w:ascii="Calibri" w:hAnsi="Calibri" w:cs="Calibri"/>
                <w:snapToGrid/>
                <w:color w:val="000000"/>
                <w:sz w:val="24"/>
                <w:szCs w:val="24"/>
              </w:rPr>
              <w:t>9,096%</w:t>
            </w:r>
          </w:p>
        </w:tc>
      </w:tr>
      <w:tr w:rsidR="00D414A4" w:rsidRPr="002E7F4A" w:rsidTr="00B9551E">
        <w:trPr>
          <w:trHeight w:val="315"/>
        </w:trPr>
        <w:tc>
          <w:tcPr>
            <w:tcW w:w="4831" w:type="dxa"/>
            <w:shd w:val="clear" w:color="auto" w:fill="auto"/>
            <w:noWrap/>
            <w:vAlign w:val="bottom"/>
          </w:tcPr>
          <w:p w:rsidR="00D414A4" w:rsidRPr="00F079A2" w:rsidRDefault="00D414A4" w:rsidP="00B9551E">
            <w:pPr>
              <w:widowControl/>
              <w:rPr>
                <w:rFonts w:ascii="Calibri" w:hAnsi="Calibri" w:cs="Calibri"/>
                <w:snapToGrid/>
                <w:color w:val="000000"/>
                <w:sz w:val="24"/>
                <w:szCs w:val="24"/>
              </w:rPr>
            </w:pPr>
            <w:r>
              <w:rPr>
                <w:rFonts w:ascii="Calibri" w:hAnsi="Calibri" w:cs="Calibri"/>
                <w:snapToGrid/>
                <w:color w:val="000000"/>
                <w:sz w:val="24"/>
                <w:szCs w:val="24"/>
              </w:rPr>
              <w:t>Retorno esperado dos ativos do plano</w:t>
            </w:r>
          </w:p>
        </w:tc>
        <w:tc>
          <w:tcPr>
            <w:tcW w:w="1197" w:type="dxa"/>
            <w:shd w:val="clear" w:color="auto" w:fill="auto"/>
            <w:noWrap/>
            <w:vAlign w:val="bottom"/>
          </w:tcPr>
          <w:p w:rsidR="00D414A4" w:rsidRPr="002E7F4A" w:rsidRDefault="00D414A4" w:rsidP="00B9551E">
            <w:pPr>
              <w:widowControl/>
              <w:jc w:val="right"/>
              <w:rPr>
                <w:rFonts w:ascii="Calibri" w:hAnsi="Calibri" w:cs="Calibri"/>
                <w:snapToGrid/>
                <w:color w:val="000000"/>
                <w:sz w:val="24"/>
                <w:szCs w:val="24"/>
              </w:rPr>
            </w:pPr>
            <w:r>
              <w:rPr>
                <w:rFonts w:ascii="Calibri" w:hAnsi="Calibri" w:cs="Calibri"/>
                <w:snapToGrid/>
                <w:color w:val="000000"/>
                <w:sz w:val="24"/>
                <w:szCs w:val="24"/>
              </w:rPr>
              <w:t>6,853%</w:t>
            </w:r>
          </w:p>
        </w:tc>
        <w:tc>
          <w:tcPr>
            <w:tcW w:w="1197" w:type="dxa"/>
            <w:shd w:val="clear" w:color="auto" w:fill="auto"/>
            <w:noWrap/>
            <w:vAlign w:val="bottom"/>
          </w:tcPr>
          <w:p w:rsidR="00D414A4" w:rsidRPr="002E7F4A" w:rsidRDefault="00D414A4" w:rsidP="00B9551E">
            <w:pPr>
              <w:widowControl/>
              <w:jc w:val="right"/>
              <w:rPr>
                <w:rFonts w:ascii="Calibri" w:hAnsi="Calibri" w:cs="Calibri"/>
                <w:snapToGrid/>
                <w:color w:val="000000"/>
                <w:sz w:val="24"/>
                <w:szCs w:val="24"/>
              </w:rPr>
            </w:pPr>
            <w:r>
              <w:rPr>
                <w:rFonts w:ascii="Calibri" w:hAnsi="Calibri" w:cs="Calibri"/>
                <w:snapToGrid/>
                <w:color w:val="000000"/>
                <w:sz w:val="24"/>
                <w:szCs w:val="24"/>
              </w:rPr>
              <w:t>9,096%</w:t>
            </w:r>
          </w:p>
        </w:tc>
      </w:tr>
      <w:tr w:rsidR="00D414A4" w:rsidRPr="002E7F4A" w:rsidTr="00B9551E">
        <w:trPr>
          <w:trHeight w:val="315"/>
        </w:trPr>
        <w:tc>
          <w:tcPr>
            <w:tcW w:w="4831" w:type="dxa"/>
            <w:shd w:val="clear" w:color="auto" w:fill="auto"/>
            <w:noWrap/>
            <w:vAlign w:val="bottom"/>
          </w:tcPr>
          <w:p w:rsidR="00D414A4" w:rsidRPr="00F079A2" w:rsidRDefault="00D414A4" w:rsidP="00B9551E">
            <w:pPr>
              <w:widowControl/>
              <w:rPr>
                <w:rFonts w:ascii="Calibri" w:hAnsi="Calibri" w:cs="Calibri"/>
                <w:snapToGrid/>
                <w:color w:val="000000"/>
                <w:sz w:val="24"/>
                <w:szCs w:val="24"/>
              </w:rPr>
            </w:pPr>
            <w:r>
              <w:rPr>
                <w:rFonts w:ascii="Calibri" w:hAnsi="Calibri" w:cs="Calibri"/>
                <w:snapToGrid/>
                <w:color w:val="000000"/>
                <w:sz w:val="24"/>
                <w:szCs w:val="24"/>
              </w:rPr>
              <w:t>Taxa nominal de crescimento salarial futuro</w:t>
            </w:r>
          </w:p>
        </w:tc>
        <w:tc>
          <w:tcPr>
            <w:tcW w:w="1197" w:type="dxa"/>
            <w:shd w:val="clear" w:color="auto" w:fill="auto"/>
            <w:noWrap/>
            <w:vAlign w:val="bottom"/>
          </w:tcPr>
          <w:p w:rsidR="00D414A4" w:rsidRPr="002E7F4A" w:rsidRDefault="00D414A4" w:rsidP="00B9551E">
            <w:pPr>
              <w:widowControl/>
              <w:jc w:val="right"/>
              <w:rPr>
                <w:rFonts w:ascii="Calibri" w:hAnsi="Calibri" w:cs="Calibri"/>
                <w:snapToGrid/>
                <w:color w:val="000000"/>
                <w:sz w:val="24"/>
                <w:szCs w:val="24"/>
              </w:rPr>
            </w:pPr>
            <w:r>
              <w:rPr>
                <w:rFonts w:ascii="Calibri" w:hAnsi="Calibri" w:cs="Calibri"/>
                <w:snapToGrid/>
                <w:color w:val="000000"/>
                <w:sz w:val="24"/>
                <w:szCs w:val="24"/>
              </w:rPr>
              <w:t>3,50%</w:t>
            </w:r>
          </w:p>
        </w:tc>
        <w:tc>
          <w:tcPr>
            <w:tcW w:w="1197" w:type="dxa"/>
            <w:shd w:val="clear" w:color="auto" w:fill="auto"/>
            <w:noWrap/>
            <w:vAlign w:val="bottom"/>
          </w:tcPr>
          <w:p w:rsidR="00D414A4" w:rsidRPr="002E7F4A" w:rsidRDefault="00D414A4" w:rsidP="00B9551E">
            <w:pPr>
              <w:widowControl/>
              <w:jc w:val="right"/>
              <w:rPr>
                <w:rFonts w:ascii="Calibri" w:hAnsi="Calibri" w:cs="Calibri"/>
                <w:snapToGrid/>
                <w:color w:val="000000"/>
                <w:sz w:val="24"/>
                <w:szCs w:val="24"/>
              </w:rPr>
            </w:pPr>
            <w:r>
              <w:rPr>
                <w:rFonts w:ascii="Calibri" w:hAnsi="Calibri" w:cs="Calibri"/>
                <w:snapToGrid/>
                <w:color w:val="000000"/>
                <w:sz w:val="24"/>
                <w:szCs w:val="24"/>
              </w:rPr>
              <w:t>4,00%</w:t>
            </w:r>
          </w:p>
        </w:tc>
      </w:tr>
      <w:tr w:rsidR="00D414A4" w:rsidRPr="002E7F4A" w:rsidTr="00B9551E">
        <w:trPr>
          <w:trHeight w:val="315"/>
        </w:trPr>
        <w:tc>
          <w:tcPr>
            <w:tcW w:w="4831" w:type="dxa"/>
            <w:shd w:val="clear" w:color="auto" w:fill="auto"/>
            <w:noWrap/>
            <w:vAlign w:val="bottom"/>
          </w:tcPr>
          <w:p w:rsidR="00D414A4" w:rsidRPr="00F079A2" w:rsidRDefault="00D414A4" w:rsidP="00B9551E">
            <w:pPr>
              <w:widowControl/>
              <w:rPr>
                <w:rFonts w:ascii="Calibri" w:hAnsi="Calibri" w:cs="Calibri"/>
                <w:snapToGrid/>
                <w:color w:val="000000"/>
                <w:sz w:val="24"/>
                <w:szCs w:val="24"/>
              </w:rPr>
            </w:pPr>
            <w:r>
              <w:rPr>
                <w:rFonts w:ascii="Calibri" w:hAnsi="Calibri" w:cs="Calibri"/>
                <w:snapToGrid/>
                <w:color w:val="000000"/>
                <w:sz w:val="24"/>
                <w:szCs w:val="24"/>
              </w:rPr>
              <w:t>Indexador do benefício (apenas inflação)</w:t>
            </w:r>
          </w:p>
        </w:tc>
        <w:tc>
          <w:tcPr>
            <w:tcW w:w="1197" w:type="dxa"/>
            <w:shd w:val="clear" w:color="auto" w:fill="auto"/>
            <w:noWrap/>
            <w:vAlign w:val="bottom"/>
          </w:tcPr>
          <w:p w:rsidR="00D414A4" w:rsidRPr="002E7F4A" w:rsidRDefault="00D414A4" w:rsidP="00B9551E">
            <w:pPr>
              <w:widowControl/>
              <w:jc w:val="right"/>
              <w:rPr>
                <w:rFonts w:ascii="Calibri" w:hAnsi="Calibri" w:cs="Calibri"/>
                <w:snapToGrid/>
                <w:color w:val="000000"/>
                <w:sz w:val="24"/>
                <w:szCs w:val="24"/>
              </w:rPr>
            </w:pPr>
            <w:r>
              <w:rPr>
                <w:rFonts w:ascii="Calibri" w:hAnsi="Calibri" w:cs="Calibri"/>
                <w:snapToGrid/>
                <w:color w:val="000000"/>
                <w:sz w:val="24"/>
                <w:szCs w:val="24"/>
              </w:rPr>
              <w:t>0,00%</w:t>
            </w:r>
          </w:p>
        </w:tc>
        <w:tc>
          <w:tcPr>
            <w:tcW w:w="1197" w:type="dxa"/>
            <w:shd w:val="clear" w:color="auto" w:fill="auto"/>
            <w:noWrap/>
            <w:vAlign w:val="bottom"/>
          </w:tcPr>
          <w:p w:rsidR="00D414A4" w:rsidRPr="002E7F4A" w:rsidRDefault="00D414A4" w:rsidP="00B9551E">
            <w:pPr>
              <w:widowControl/>
              <w:jc w:val="right"/>
              <w:rPr>
                <w:rFonts w:ascii="Calibri" w:hAnsi="Calibri" w:cs="Calibri"/>
                <w:snapToGrid/>
                <w:color w:val="000000"/>
                <w:sz w:val="24"/>
                <w:szCs w:val="24"/>
              </w:rPr>
            </w:pPr>
            <w:r>
              <w:rPr>
                <w:rFonts w:ascii="Calibri" w:hAnsi="Calibri" w:cs="Calibri"/>
                <w:snapToGrid/>
                <w:color w:val="000000"/>
                <w:sz w:val="24"/>
                <w:szCs w:val="24"/>
              </w:rPr>
              <w:t>4,00%</w:t>
            </w:r>
          </w:p>
        </w:tc>
      </w:tr>
    </w:tbl>
    <w:p w:rsidR="00D414A4" w:rsidRDefault="00D414A4" w:rsidP="000016CA">
      <w:pPr>
        <w:jc w:val="both"/>
        <w:rPr>
          <w:rFonts w:ascii="Calibri" w:hAnsi="Calibri" w:cs="Calibri"/>
          <w:sz w:val="24"/>
          <w:szCs w:val="24"/>
        </w:rPr>
      </w:pPr>
    </w:p>
    <w:p w:rsidR="009762BE" w:rsidRDefault="009762BE" w:rsidP="009762BE">
      <w:pPr>
        <w:jc w:val="both"/>
        <w:rPr>
          <w:rFonts w:ascii="Calibri" w:hAnsi="Calibri" w:cs="Calibri"/>
          <w:sz w:val="24"/>
          <w:szCs w:val="24"/>
        </w:rPr>
      </w:pPr>
      <w:r>
        <w:rPr>
          <w:rFonts w:ascii="Calibri" w:hAnsi="Calibri" w:cs="Calibri"/>
          <w:sz w:val="24"/>
          <w:szCs w:val="24"/>
        </w:rPr>
        <w:t>Outras Premissas Atuariais Materiais:</w:t>
      </w:r>
    </w:p>
    <w:p w:rsidR="00D414A4" w:rsidRDefault="00D414A4" w:rsidP="009762BE">
      <w:pPr>
        <w:jc w:val="both"/>
        <w:rPr>
          <w:rFonts w:ascii="Calibri" w:hAnsi="Calibri" w:cs="Calibri"/>
          <w:sz w:val="24"/>
          <w:szCs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3"/>
        <w:gridCol w:w="2339"/>
        <w:gridCol w:w="2339"/>
      </w:tblGrid>
      <w:tr w:rsidR="009762BE" w:rsidRPr="002E7F4A" w:rsidTr="00085185">
        <w:trPr>
          <w:trHeight w:val="315"/>
        </w:trPr>
        <w:tc>
          <w:tcPr>
            <w:tcW w:w="4253" w:type="dxa"/>
            <w:shd w:val="clear" w:color="auto" w:fill="auto"/>
            <w:noWrap/>
            <w:vAlign w:val="bottom"/>
          </w:tcPr>
          <w:p w:rsidR="009762BE" w:rsidRPr="002E7F4A" w:rsidRDefault="009762BE" w:rsidP="00085185">
            <w:pPr>
              <w:widowControl/>
              <w:rPr>
                <w:rFonts w:ascii="Calibri" w:hAnsi="Calibri" w:cs="Calibri"/>
                <w:snapToGrid/>
                <w:color w:val="000000"/>
                <w:sz w:val="24"/>
                <w:szCs w:val="24"/>
              </w:rPr>
            </w:pPr>
          </w:p>
        </w:tc>
        <w:tc>
          <w:tcPr>
            <w:tcW w:w="2339" w:type="dxa"/>
            <w:shd w:val="clear" w:color="auto" w:fill="auto"/>
            <w:noWrap/>
            <w:vAlign w:val="bottom"/>
            <w:hideMark/>
          </w:tcPr>
          <w:p w:rsidR="009762BE" w:rsidRPr="002E7F4A" w:rsidRDefault="009762BE" w:rsidP="00085185">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2019</w:t>
            </w:r>
          </w:p>
        </w:tc>
        <w:tc>
          <w:tcPr>
            <w:tcW w:w="2339" w:type="dxa"/>
            <w:shd w:val="clear" w:color="auto" w:fill="auto"/>
            <w:noWrap/>
            <w:vAlign w:val="bottom"/>
            <w:hideMark/>
          </w:tcPr>
          <w:p w:rsidR="009762BE" w:rsidRPr="002E7F4A" w:rsidRDefault="009762BE" w:rsidP="00085185">
            <w:pPr>
              <w:widowControl/>
              <w:jc w:val="center"/>
              <w:rPr>
                <w:rFonts w:ascii="Calibri" w:hAnsi="Calibri" w:cs="Calibri"/>
                <w:b/>
                <w:bCs/>
                <w:snapToGrid/>
                <w:color w:val="000000"/>
                <w:sz w:val="24"/>
                <w:szCs w:val="24"/>
              </w:rPr>
            </w:pPr>
            <w:r w:rsidRPr="002E7F4A">
              <w:rPr>
                <w:rFonts w:ascii="Calibri" w:hAnsi="Calibri" w:cs="Calibri"/>
                <w:b/>
                <w:bCs/>
                <w:snapToGrid/>
                <w:color w:val="000000"/>
                <w:sz w:val="24"/>
                <w:szCs w:val="24"/>
              </w:rPr>
              <w:t>201</w:t>
            </w:r>
            <w:r>
              <w:rPr>
                <w:rFonts w:ascii="Calibri" w:hAnsi="Calibri" w:cs="Calibri"/>
                <w:b/>
                <w:bCs/>
                <w:snapToGrid/>
                <w:color w:val="000000"/>
                <w:sz w:val="24"/>
                <w:szCs w:val="24"/>
              </w:rPr>
              <w:t>8</w:t>
            </w:r>
          </w:p>
        </w:tc>
      </w:tr>
      <w:tr w:rsidR="009762BE" w:rsidRPr="002E7F4A" w:rsidTr="00085185">
        <w:trPr>
          <w:trHeight w:val="315"/>
        </w:trPr>
        <w:tc>
          <w:tcPr>
            <w:tcW w:w="4253" w:type="dxa"/>
            <w:shd w:val="clear" w:color="auto" w:fill="auto"/>
            <w:noWrap/>
            <w:vAlign w:val="bottom"/>
          </w:tcPr>
          <w:p w:rsidR="009762BE" w:rsidRPr="00F079A2" w:rsidRDefault="009762BE" w:rsidP="00085185">
            <w:pPr>
              <w:widowControl/>
              <w:rPr>
                <w:rFonts w:ascii="Calibri" w:hAnsi="Calibri" w:cs="Calibri"/>
                <w:snapToGrid/>
                <w:color w:val="000000"/>
                <w:sz w:val="24"/>
                <w:szCs w:val="24"/>
              </w:rPr>
            </w:pPr>
            <w:r>
              <w:rPr>
                <w:rFonts w:ascii="Calibri" w:hAnsi="Calibri" w:cs="Calibri"/>
                <w:snapToGrid/>
                <w:color w:val="000000"/>
                <w:sz w:val="24"/>
                <w:szCs w:val="24"/>
              </w:rPr>
              <w:t>Rotatividade projetada dos empregados</w:t>
            </w:r>
          </w:p>
        </w:tc>
        <w:tc>
          <w:tcPr>
            <w:tcW w:w="2339" w:type="dxa"/>
            <w:shd w:val="clear" w:color="auto" w:fill="auto"/>
            <w:noWrap/>
            <w:vAlign w:val="bottom"/>
          </w:tcPr>
          <w:p w:rsidR="009762BE" w:rsidRPr="002E7F4A" w:rsidRDefault="009762BE" w:rsidP="00085185">
            <w:pPr>
              <w:widowControl/>
              <w:jc w:val="center"/>
              <w:rPr>
                <w:rFonts w:ascii="Calibri" w:hAnsi="Calibri" w:cs="Calibri"/>
                <w:snapToGrid/>
                <w:color w:val="000000"/>
                <w:sz w:val="24"/>
                <w:szCs w:val="24"/>
              </w:rPr>
            </w:pPr>
            <w:r>
              <w:rPr>
                <w:rFonts w:ascii="Calibri" w:hAnsi="Calibri" w:cs="Calibri"/>
                <w:snapToGrid/>
                <w:color w:val="000000"/>
                <w:sz w:val="24"/>
                <w:szCs w:val="24"/>
              </w:rPr>
              <w:t>Não disponível</w:t>
            </w:r>
          </w:p>
        </w:tc>
        <w:tc>
          <w:tcPr>
            <w:tcW w:w="2339" w:type="dxa"/>
            <w:shd w:val="clear" w:color="auto" w:fill="auto"/>
            <w:noWrap/>
            <w:vAlign w:val="bottom"/>
          </w:tcPr>
          <w:p w:rsidR="009762BE" w:rsidRPr="002E7F4A" w:rsidRDefault="009762BE" w:rsidP="00085185">
            <w:pPr>
              <w:widowControl/>
              <w:jc w:val="center"/>
              <w:rPr>
                <w:rFonts w:ascii="Calibri" w:hAnsi="Calibri" w:cs="Calibri"/>
                <w:snapToGrid/>
                <w:color w:val="000000"/>
                <w:sz w:val="24"/>
                <w:szCs w:val="24"/>
              </w:rPr>
            </w:pPr>
            <w:r>
              <w:rPr>
                <w:rFonts w:ascii="Calibri" w:hAnsi="Calibri" w:cs="Calibri"/>
                <w:snapToGrid/>
                <w:color w:val="000000"/>
                <w:sz w:val="24"/>
                <w:szCs w:val="24"/>
              </w:rPr>
              <w:t>Não disponível</w:t>
            </w:r>
          </w:p>
        </w:tc>
      </w:tr>
      <w:tr w:rsidR="009762BE" w:rsidRPr="002E7F4A" w:rsidTr="00085185">
        <w:trPr>
          <w:trHeight w:val="315"/>
        </w:trPr>
        <w:tc>
          <w:tcPr>
            <w:tcW w:w="4253" w:type="dxa"/>
            <w:shd w:val="clear" w:color="auto" w:fill="auto"/>
            <w:noWrap/>
            <w:vAlign w:val="bottom"/>
          </w:tcPr>
          <w:p w:rsidR="009762BE" w:rsidRPr="00F079A2" w:rsidRDefault="009762BE" w:rsidP="00085185">
            <w:pPr>
              <w:widowControl/>
              <w:rPr>
                <w:rFonts w:ascii="Calibri" w:hAnsi="Calibri" w:cs="Calibri"/>
                <w:snapToGrid/>
                <w:color w:val="000000"/>
                <w:sz w:val="24"/>
                <w:szCs w:val="24"/>
              </w:rPr>
            </w:pPr>
            <w:r>
              <w:rPr>
                <w:rFonts w:ascii="Calibri" w:hAnsi="Calibri" w:cs="Calibri"/>
                <w:snapToGrid/>
                <w:color w:val="000000"/>
                <w:sz w:val="24"/>
                <w:szCs w:val="24"/>
              </w:rPr>
              <w:t>Tábua de mortalidade geral</w:t>
            </w:r>
          </w:p>
        </w:tc>
        <w:tc>
          <w:tcPr>
            <w:tcW w:w="2339" w:type="dxa"/>
            <w:shd w:val="clear" w:color="auto" w:fill="auto"/>
            <w:noWrap/>
            <w:vAlign w:val="bottom"/>
          </w:tcPr>
          <w:p w:rsidR="009762BE" w:rsidRPr="002E7F4A" w:rsidRDefault="009762BE" w:rsidP="00085185">
            <w:pPr>
              <w:widowControl/>
              <w:jc w:val="center"/>
              <w:rPr>
                <w:rFonts w:ascii="Calibri" w:hAnsi="Calibri" w:cs="Calibri"/>
                <w:snapToGrid/>
                <w:color w:val="000000"/>
                <w:sz w:val="24"/>
                <w:szCs w:val="24"/>
              </w:rPr>
            </w:pPr>
            <w:r>
              <w:rPr>
                <w:rFonts w:ascii="Calibri" w:hAnsi="Calibri" w:cs="Calibri"/>
                <w:snapToGrid/>
                <w:color w:val="000000"/>
                <w:sz w:val="24"/>
                <w:szCs w:val="24"/>
              </w:rPr>
              <w:t>AT-2000B (Male)</w:t>
            </w:r>
          </w:p>
        </w:tc>
        <w:tc>
          <w:tcPr>
            <w:tcW w:w="2339" w:type="dxa"/>
            <w:shd w:val="clear" w:color="auto" w:fill="auto"/>
            <w:noWrap/>
            <w:vAlign w:val="bottom"/>
          </w:tcPr>
          <w:p w:rsidR="009762BE" w:rsidRPr="002E7F4A" w:rsidRDefault="009762BE" w:rsidP="00085185">
            <w:pPr>
              <w:widowControl/>
              <w:jc w:val="center"/>
              <w:rPr>
                <w:rFonts w:ascii="Calibri" w:hAnsi="Calibri" w:cs="Calibri"/>
                <w:snapToGrid/>
                <w:color w:val="000000"/>
                <w:sz w:val="24"/>
                <w:szCs w:val="24"/>
              </w:rPr>
            </w:pPr>
            <w:r>
              <w:rPr>
                <w:rFonts w:ascii="Calibri" w:hAnsi="Calibri" w:cs="Calibri"/>
                <w:snapToGrid/>
                <w:color w:val="000000"/>
                <w:sz w:val="24"/>
                <w:szCs w:val="24"/>
              </w:rPr>
              <w:t>AT-2000B (Male)</w:t>
            </w:r>
          </w:p>
        </w:tc>
      </w:tr>
      <w:tr w:rsidR="009762BE" w:rsidRPr="002E7F4A" w:rsidTr="00085185">
        <w:trPr>
          <w:trHeight w:val="315"/>
        </w:trPr>
        <w:tc>
          <w:tcPr>
            <w:tcW w:w="4253" w:type="dxa"/>
            <w:shd w:val="clear" w:color="auto" w:fill="auto"/>
            <w:noWrap/>
            <w:vAlign w:val="bottom"/>
          </w:tcPr>
          <w:p w:rsidR="009762BE" w:rsidRDefault="009762BE" w:rsidP="00085185">
            <w:pPr>
              <w:widowControl/>
              <w:rPr>
                <w:rFonts w:ascii="Calibri" w:hAnsi="Calibri" w:cs="Calibri"/>
                <w:snapToGrid/>
                <w:color w:val="000000"/>
                <w:sz w:val="24"/>
                <w:szCs w:val="24"/>
              </w:rPr>
            </w:pPr>
            <w:r>
              <w:rPr>
                <w:rFonts w:ascii="Calibri" w:hAnsi="Calibri" w:cs="Calibri"/>
                <w:snapToGrid/>
                <w:color w:val="000000"/>
                <w:sz w:val="24"/>
                <w:szCs w:val="24"/>
              </w:rPr>
              <w:t>Tábua de entrada em invalidez</w:t>
            </w:r>
          </w:p>
        </w:tc>
        <w:tc>
          <w:tcPr>
            <w:tcW w:w="2339" w:type="dxa"/>
            <w:shd w:val="clear" w:color="auto" w:fill="auto"/>
            <w:noWrap/>
            <w:vAlign w:val="bottom"/>
          </w:tcPr>
          <w:p w:rsidR="009762BE" w:rsidRPr="002E7F4A" w:rsidRDefault="009762BE" w:rsidP="00085185">
            <w:pPr>
              <w:widowControl/>
              <w:jc w:val="center"/>
              <w:rPr>
                <w:rFonts w:ascii="Calibri" w:hAnsi="Calibri" w:cs="Calibri"/>
                <w:snapToGrid/>
                <w:color w:val="000000"/>
                <w:sz w:val="24"/>
                <w:szCs w:val="24"/>
              </w:rPr>
            </w:pPr>
            <w:r>
              <w:rPr>
                <w:rFonts w:ascii="Calibri" w:hAnsi="Calibri" w:cs="Calibri"/>
                <w:snapToGrid/>
                <w:color w:val="000000"/>
                <w:sz w:val="24"/>
                <w:szCs w:val="24"/>
              </w:rPr>
              <w:t>Hunter</w:t>
            </w:r>
          </w:p>
        </w:tc>
        <w:tc>
          <w:tcPr>
            <w:tcW w:w="2339" w:type="dxa"/>
            <w:shd w:val="clear" w:color="auto" w:fill="auto"/>
            <w:noWrap/>
            <w:vAlign w:val="bottom"/>
          </w:tcPr>
          <w:p w:rsidR="009762BE" w:rsidRPr="002E7F4A" w:rsidRDefault="009762BE" w:rsidP="00085185">
            <w:pPr>
              <w:widowControl/>
              <w:jc w:val="center"/>
              <w:rPr>
                <w:rFonts w:ascii="Calibri" w:hAnsi="Calibri" w:cs="Calibri"/>
                <w:snapToGrid/>
                <w:color w:val="000000"/>
                <w:sz w:val="24"/>
                <w:szCs w:val="24"/>
              </w:rPr>
            </w:pPr>
            <w:r>
              <w:rPr>
                <w:rFonts w:ascii="Calibri" w:hAnsi="Calibri" w:cs="Calibri"/>
                <w:snapToGrid/>
                <w:color w:val="000000"/>
                <w:sz w:val="24"/>
                <w:szCs w:val="24"/>
              </w:rPr>
              <w:t>Hunter</w:t>
            </w:r>
          </w:p>
        </w:tc>
      </w:tr>
      <w:tr w:rsidR="009762BE" w:rsidRPr="002E7F4A" w:rsidTr="00085185">
        <w:trPr>
          <w:trHeight w:val="315"/>
        </w:trPr>
        <w:tc>
          <w:tcPr>
            <w:tcW w:w="4253" w:type="dxa"/>
            <w:shd w:val="clear" w:color="auto" w:fill="auto"/>
            <w:noWrap/>
            <w:vAlign w:val="bottom"/>
          </w:tcPr>
          <w:p w:rsidR="009762BE" w:rsidRPr="00F079A2" w:rsidRDefault="009762BE" w:rsidP="00085185">
            <w:pPr>
              <w:widowControl/>
              <w:rPr>
                <w:rFonts w:ascii="Calibri" w:hAnsi="Calibri" w:cs="Calibri"/>
                <w:snapToGrid/>
                <w:color w:val="000000"/>
                <w:sz w:val="24"/>
                <w:szCs w:val="24"/>
              </w:rPr>
            </w:pPr>
            <w:r>
              <w:rPr>
                <w:rFonts w:ascii="Calibri" w:hAnsi="Calibri" w:cs="Calibri"/>
                <w:snapToGrid/>
                <w:color w:val="000000"/>
                <w:sz w:val="24"/>
                <w:szCs w:val="24"/>
              </w:rPr>
              <w:t>Tábua de mortalidade de inválidos</w:t>
            </w:r>
          </w:p>
        </w:tc>
        <w:tc>
          <w:tcPr>
            <w:tcW w:w="2339" w:type="dxa"/>
            <w:shd w:val="clear" w:color="auto" w:fill="auto"/>
            <w:noWrap/>
            <w:vAlign w:val="bottom"/>
          </w:tcPr>
          <w:p w:rsidR="009762BE" w:rsidRPr="002E7F4A" w:rsidRDefault="009762BE" w:rsidP="00085185">
            <w:pPr>
              <w:widowControl/>
              <w:jc w:val="center"/>
              <w:rPr>
                <w:rFonts w:ascii="Calibri" w:hAnsi="Calibri" w:cs="Calibri"/>
                <w:snapToGrid/>
                <w:color w:val="000000"/>
                <w:sz w:val="24"/>
                <w:szCs w:val="24"/>
              </w:rPr>
            </w:pPr>
            <w:proofErr w:type="spellStart"/>
            <w:r>
              <w:rPr>
                <w:rFonts w:ascii="Calibri" w:hAnsi="Calibri" w:cs="Calibri"/>
                <w:snapToGrid/>
                <w:color w:val="000000"/>
                <w:sz w:val="24"/>
                <w:szCs w:val="24"/>
              </w:rPr>
              <w:t>Winklevoss</w:t>
            </w:r>
            <w:proofErr w:type="spellEnd"/>
          </w:p>
        </w:tc>
        <w:tc>
          <w:tcPr>
            <w:tcW w:w="2339" w:type="dxa"/>
            <w:shd w:val="clear" w:color="auto" w:fill="auto"/>
            <w:noWrap/>
            <w:vAlign w:val="bottom"/>
          </w:tcPr>
          <w:p w:rsidR="009762BE" w:rsidRPr="002E7F4A" w:rsidRDefault="009762BE" w:rsidP="00085185">
            <w:pPr>
              <w:widowControl/>
              <w:jc w:val="center"/>
              <w:rPr>
                <w:rFonts w:ascii="Calibri" w:hAnsi="Calibri" w:cs="Calibri"/>
                <w:snapToGrid/>
                <w:color w:val="000000"/>
                <w:sz w:val="24"/>
                <w:szCs w:val="24"/>
              </w:rPr>
            </w:pPr>
            <w:proofErr w:type="spellStart"/>
            <w:r>
              <w:rPr>
                <w:rFonts w:ascii="Calibri" w:hAnsi="Calibri" w:cs="Calibri"/>
                <w:snapToGrid/>
                <w:color w:val="000000"/>
                <w:sz w:val="24"/>
                <w:szCs w:val="24"/>
              </w:rPr>
              <w:t>Winklevoss</w:t>
            </w:r>
            <w:proofErr w:type="spellEnd"/>
          </w:p>
        </w:tc>
      </w:tr>
      <w:tr w:rsidR="009762BE" w:rsidRPr="002E7F4A" w:rsidTr="00085185">
        <w:trPr>
          <w:trHeight w:val="315"/>
        </w:trPr>
        <w:tc>
          <w:tcPr>
            <w:tcW w:w="4253" w:type="dxa"/>
            <w:shd w:val="clear" w:color="auto" w:fill="auto"/>
            <w:noWrap/>
            <w:vAlign w:val="bottom"/>
          </w:tcPr>
          <w:p w:rsidR="009762BE" w:rsidRPr="00F079A2" w:rsidRDefault="009762BE" w:rsidP="00085185">
            <w:pPr>
              <w:widowControl/>
              <w:rPr>
                <w:rFonts w:ascii="Calibri" w:hAnsi="Calibri" w:cs="Calibri"/>
                <w:snapToGrid/>
                <w:color w:val="000000"/>
                <w:sz w:val="24"/>
                <w:szCs w:val="24"/>
              </w:rPr>
            </w:pPr>
            <w:r>
              <w:rPr>
                <w:rFonts w:ascii="Calibri" w:hAnsi="Calibri" w:cs="Calibri"/>
                <w:snapToGrid/>
                <w:color w:val="000000"/>
                <w:sz w:val="24"/>
                <w:szCs w:val="24"/>
              </w:rPr>
              <w:t>Composição familiar</w:t>
            </w:r>
          </w:p>
        </w:tc>
        <w:tc>
          <w:tcPr>
            <w:tcW w:w="2339" w:type="dxa"/>
            <w:shd w:val="clear" w:color="auto" w:fill="auto"/>
            <w:noWrap/>
            <w:vAlign w:val="bottom"/>
          </w:tcPr>
          <w:p w:rsidR="009762BE" w:rsidRPr="002E7F4A" w:rsidRDefault="009762BE" w:rsidP="00085185">
            <w:pPr>
              <w:widowControl/>
              <w:jc w:val="center"/>
              <w:rPr>
                <w:rFonts w:ascii="Calibri" w:hAnsi="Calibri" w:cs="Calibri"/>
                <w:snapToGrid/>
                <w:color w:val="000000"/>
                <w:sz w:val="24"/>
                <w:szCs w:val="24"/>
              </w:rPr>
            </w:pPr>
            <w:r>
              <w:rPr>
                <w:rFonts w:ascii="Calibri" w:hAnsi="Calibri" w:cs="Calibri"/>
                <w:snapToGrid/>
                <w:color w:val="000000"/>
                <w:sz w:val="24"/>
                <w:szCs w:val="24"/>
              </w:rPr>
              <w:t xml:space="preserve">Família Padrão </w:t>
            </w:r>
            <w:proofErr w:type="spellStart"/>
            <w:r>
              <w:rPr>
                <w:rFonts w:ascii="Calibri" w:hAnsi="Calibri" w:cs="Calibri"/>
                <w:snapToGrid/>
                <w:color w:val="000000"/>
                <w:sz w:val="24"/>
                <w:szCs w:val="24"/>
              </w:rPr>
              <w:t>Portus</w:t>
            </w:r>
            <w:proofErr w:type="spellEnd"/>
          </w:p>
        </w:tc>
        <w:tc>
          <w:tcPr>
            <w:tcW w:w="2339" w:type="dxa"/>
            <w:shd w:val="clear" w:color="auto" w:fill="auto"/>
            <w:noWrap/>
            <w:vAlign w:val="bottom"/>
          </w:tcPr>
          <w:p w:rsidR="009762BE" w:rsidRDefault="009762BE" w:rsidP="00085185">
            <w:pPr>
              <w:widowControl/>
              <w:jc w:val="center"/>
              <w:rPr>
                <w:rFonts w:ascii="Calibri" w:hAnsi="Calibri" w:cs="Calibri"/>
                <w:snapToGrid/>
                <w:color w:val="000000"/>
                <w:sz w:val="24"/>
                <w:szCs w:val="24"/>
              </w:rPr>
            </w:pPr>
            <w:r>
              <w:rPr>
                <w:rFonts w:ascii="Calibri" w:hAnsi="Calibri" w:cs="Calibri"/>
                <w:snapToGrid/>
                <w:color w:val="000000"/>
                <w:sz w:val="24"/>
                <w:szCs w:val="24"/>
              </w:rPr>
              <w:t xml:space="preserve">Família Padrão </w:t>
            </w:r>
            <w:proofErr w:type="spellStart"/>
            <w:r>
              <w:rPr>
                <w:rFonts w:ascii="Calibri" w:hAnsi="Calibri" w:cs="Calibri"/>
                <w:snapToGrid/>
                <w:color w:val="000000"/>
                <w:sz w:val="24"/>
                <w:szCs w:val="24"/>
              </w:rPr>
              <w:t>Portus</w:t>
            </w:r>
            <w:proofErr w:type="spellEnd"/>
          </w:p>
        </w:tc>
      </w:tr>
    </w:tbl>
    <w:p w:rsidR="009762BE" w:rsidRDefault="009762BE" w:rsidP="000016CA">
      <w:pPr>
        <w:jc w:val="both"/>
        <w:rPr>
          <w:rFonts w:ascii="Calibri" w:hAnsi="Calibri" w:cs="Calibri"/>
          <w:sz w:val="24"/>
          <w:szCs w:val="24"/>
        </w:rPr>
      </w:pPr>
    </w:p>
    <w:p w:rsidR="000016CA" w:rsidRDefault="000016CA" w:rsidP="000016CA">
      <w:pPr>
        <w:jc w:val="both"/>
        <w:rPr>
          <w:rFonts w:ascii="Calibri" w:hAnsi="Calibri" w:cs="Calibri"/>
          <w:sz w:val="24"/>
          <w:szCs w:val="24"/>
        </w:rPr>
      </w:pPr>
      <w:r>
        <w:rPr>
          <w:rFonts w:ascii="Calibri" w:hAnsi="Calibri" w:cs="Calibri"/>
          <w:sz w:val="24"/>
          <w:szCs w:val="24"/>
        </w:rPr>
        <w:t xml:space="preserve">Valor </w:t>
      </w:r>
      <w:r w:rsidR="007B271D">
        <w:rPr>
          <w:rFonts w:ascii="Calibri" w:hAnsi="Calibri" w:cs="Calibri"/>
          <w:sz w:val="24"/>
          <w:szCs w:val="24"/>
        </w:rPr>
        <w:t>J</w:t>
      </w:r>
      <w:r>
        <w:rPr>
          <w:rFonts w:ascii="Calibri" w:hAnsi="Calibri" w:cs="Calibri"/>
          <w:sz w:val="24"/>
          <w:szCs w:val="24"/>
        </w:rPr>
        <w:t xml:space="preserve">usto dos </w:t>
      </w:r>
      <w:r w:rsidR="007B271D">
        <w:rPr>
          <w:rFonts w:ascii="Calibri" w:hAnsi="Calibri" w:cs="Calibri"/>
          <w:sz w:val="24"/>
          <w:szCs w:val="24"/>
        </w:rPr>
        <w:t>A</w:t>
      </w:r>
      <w:r>
        <w:rPr>
          <w:rFonts w:ascii="Calibri" w:hAnsi="Calibri" w:cs="Calibri"/>
          <w:sz w:val="24"/>
          <w:szCs w:val="24"/>
        </w:rPr>
        <w:t xml:space="preserve">tivos do </w:t>
      </w:r>
      <w:r w:rsidR="007B271D">
        <w:rPr>
          <w:rFonts w:ascii="Calibri" w:hAnsi="Calibri" w:cs="Calibri"/>
          <w:sz w:val="24"/>
          <w:szCs w:val="24"/>
        </w:rPr>
        <w:t>P</w:t>
      </w:r>
      <w:r>
        <w:rPr>
          <w:rFonts w:ascii="Calibri" w:hAnsi="Calibri" w:cs="Calibri"/>
          <w:sz w:val="24"/>
          <w:szCs w:val="24"/>
        </w:rPr>
        <w:t>lano:</w:t>
      </w:r>
    </w:p>
    <w:p w:rsidR="00D414A4" w:rsidRDefault="00D414A4" w:rsidP="000016CA">
      <w:pPr>
        <w:jc w:val="both"/>
        <w:rPr>
          <w:rFonts w:ascii="Calibri" w:hAnsi="Calibri" w:cs="Calibri"/>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1346"/>
        <w:gridCol w:w="1347"/>
        <w:gridCol w:w="1347"/>
        <w:gridCol w:w="1347"/>
      </w:tblGrid>
      <w:tr w:rsidR="00905BDE" w:rsidRPr="002E7F4A" w:rsidTr="00014E44">
        <w:trPr>
          <w:trHeight w:val="315"/>
        </w:trPr>
        <w:tc>
          <w:tcPr>
            <w:tcW w:w="3969" w:type="dxa"/>
            <w:shd w:val="clear" w:color="auto" w:fill="auto"/>
            <w:noWrap/>
            <w:vAlign w:val="center"/>
          </w:tcPr>
          <w:p w:rsidR="00905BDE" w:rsidRDefault="007B271D" w:rsidP="00232E4F">
            <w:pPr>
              <w:widowControl/>
              <w:rPr>
                <w:rFonts w:ascii="Calibri" w:hAnsi="Calibri" w:cs="Calibri"/>
                <w:snapToGrid/>
                <w:color w:val="000000"/>
                <w:sz w:val="24"/>
                <w:szCs w:val="24"/>
              </w:rPr>
            </w:pPr>
            <w:r>
              <w:rPr>
                <w:rFonts w:ascii="Calibri" w:hAnsi="Calibri" w:cs="Calibri"/>
                <w:snapToGrid/>
                <w:color w:val="000000"/>
                <w:sz w:val="24"/>
                <w:szCs w:val="24"/>
              </w:rPr>
              <w:t>Ativos</w:t>
            </w:r>
          </w:p>
        </w:tc>
        <w:tc>
          <w:tcPr>
            <w:tcW w:w="2693" w:type="dxa"/>
            <w:gridSpan w:val="2"/>
            <w:shd w:val="clear" w:color="auto" w:fill="auto"/>
            <w:noWrap/>
            <w:vAlign w:val="center"/>
          </w:tcPr>
          <w:p w:rsidR="00905BDE" w:rsidRPr="002E7F4A" w:rsidRDefault="00905BDE" w:rsidP="00232E4F">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2019</w:t>
            </w:r>
          </w:p>
        </w:tc>
        <w:tc>
          <w:tcPr>
            <w:tcW w:w="2694" w:type="dxa"/>
            <w:gridSpan w:val="2"/>
            <w:vAlign w:val="center"/>
          </w:tcPr>
          <w:p w:rsidR="00905BDE" w:rsidRPr="002E7F4A" w:rsidRDefault="00905BDE" w:rsidP="00232E4F">
            <w:pPr>
              <w:widowControl/>
              <w:jc w:val="center"/>
              <w:rPr>
                <w:rFonts w:ascii="Calibri" w:hAnsi="Calibri" w:cs="Calibri"/>
                <w:b/>
                <w:bCs/>
                <w:snapToGrid/>
                <w:color w:val="000000"/>
                <w:sz w:val="24"/>
                <w:szCs w:val="24"/>
              </w:rPr>
            </w:pPr>
            <w:r w:rsidRPr="002E7F4A">
              <w:rPr>
                <w:rFonts w:ascii="Calibri" w:hAnsi="Calibri" w:cs="Calibri"/>
                <w:b/>
                <w:bCs/>
                <w:snapToGrid/>
                <w:color w:val="000000"/>
                <w:sz w:val="24"/>
                <w:szCs w:val="24"/>
              </w:rPr>
              <w:t>201</w:t>
            </w:r>
            <w:r>
              <w:rPr>
                <w:rFonts w:ascii="Calibri" w:hAnsi="Calibri" w:cs="Calibri"/>
                <w:b/>
                <w:bCs/>
                <w:snapToGrid/>
                <w:color w:val="000000"/>
                <w:sz w:val="24"/>
                <w:szCs w:val="24"/>
              </w:rPr>
              <w:t>8</w:t>
            </w:r>
          </w:p>
        </w:tc>
      </w:tr>
      <w:tr w:rsidR="000016CA" w:rsidRPr="00905BDE" w:rsidTr="00905BDE">
        <w:trPr>
          <w:trHeight w:val="315"/>
        </w:trPr>
        <w:tc>
          <w:tcPr>
            <w:tcW w:w="3969" w:type="dxa"/>
            <w:shd w:val="clear" w:color="auto" w:fill="auto"/>
            <w:noWrap/>
            <w:vAlign w:val="center"/>
          </w:tcPr>
          <w:p w:rsidR="000016CA" w:rsidRPr="002E7F4A" w:rsidRDefault="00232E4F" w:rsidP="00014E44">
            <w:pPr>
              <w:widowControl/>
              <w:rPr>
                <w:rFonts w:ascii="Calibri" w:hAnsi="Calibri" w:cs="Calibri"/>
                <w:snapToGrid/>
                <w:color w:val="000000"/>
                <w:sz w:val="24"/>
                <w:szCs w:val="24"/>
              </w:rPr>
            </w:pPr>
            <w:r>
              <w:rPr>
                <w:rFonts w:ascii="Calibri" w:hAnsi="Calibri" w:cs="Calibri"/>
                <w:snapToGrid/>
                <w:color w:val="000000"/>
                <w:sz w:val="24"/>
                <w:szCs w:val="24"/>
              </w:rPr>
              <w:t xml:space="preserve">Principais </w:t>
            </w:r>
            <w:r w:rsidR="00014E44">
              <w:rPr>
                <w:rFonts w:ascii="Calibri" w:hAnsi="Calibri" w:cs="Calibri"/>
                <w:snapToGrid/>
                <w:color w:val="000000"/>
                <w:sz w:val="24"/>
                <w:szCs w:val="24"/>
              </w:rPr>
              <w:t>C</w:t>
            </w:r>
            <w:r>
              <w:rPr>
                <w:rFonts w:ascii="Calibri" w:hAnsi="Calibri" w:cs="Calibri"/>
                <w:snapToGrid/>
                <w:color w:val="000000"/>
                <w:sz w:val="24"/>
                <w:szCs w:val="24"/>
              </w:rPr>
              <w:t xml:space="preserve">ategorias de </w:t>
            </w:r>
            <w:r w:rsidR="00014E44">
              <w:rPr>
                <w:rFonts w:ascii="Calibri" w:hAnsi="Calibri" w:cs="Calibri"/>
                <w:snapToGrid/>
                <w:color w:val="000000"/>
                <w:sz w:val="24"/>
                <w:szCs w:val="24"/>
              </w:rPr>
              <w:t>A</w:t>
            </w:r>
            <w:r>
              <w:rPr>
                <w:rFonts w:ascii="Calibri" w:hAnsi="Calibri" w:cs="Calibri"/>
                <w:snapToGrid/>
                <w:color w:val="000000"/>
                <w:sz w:val="24"/>
                <w:szCs w:val="24"/>
              </w:rPr>
              <w:t>tivos</w:t>
            </w:r>
          </w:p>
        </w:tc>
        <w:tc>
          <w:tcPr>
            <w:tcW w:w="1346" w:type="dxa"/>
            <w:shd w:val="clear" w:color="auto" w:fill="auto"/>
            <w:noWrap/>
            <w:vAlign w:val="center"/>
          </w:tcPr>
          <w:p w:rsidR="000016CA" w:rsidRPr="00905BDE" w:rsidRDefault="00905BDE" w:rsidP="00232E4F">
            <w:pPr>
              <w:widowControl/>
              <w:jc w:val="center"/>
              <w:rPr>
                <w:rFonts w:ascii="Calibri" w:hAnsi="Calibri" w:cs="Calibri"/>
                <w:bCs/>
                <w:snapToGrid/>
                <w:color w:val="000000"/>
                <w:sz w:val="24"/>
                <w:szCs w:val="24"/>
              </w:rPr>
            </w:pPr>
            <w:r w:rsidRPr="00905BDE">
              <w:rPr>
                <w:rFonts w:ascii="Calibri" w:hAnsi="Calibri" w:cs="Calibri"/>
                <w:bCs/>
                <w:snapToGrid/>
                <w:color w:val="000000"/>
                <w:sz w:val="24"/>
                <w:szCs w:val="24"/>
              </w:rPr>
              <w:t>Montante</w:t>
            </w:r>
          </w:p>
        </w:tc>
        <w:tc>
          <w:tcPr>
            <w:tcW w:w="1347" w:type="dxa"/>
            <w:shd w:val="clear" w:color="auto" w:fill="auto"/>
            <w:noWrap/>
            <w:vAlign w:val="center"/>
            <w:hideMark/>
          </w:tcPr>
          <w:p w:rsidR="000016CA" w:rsidRPr="00905BDE" w:rsidRDefault="00905BDE" w:rsidP="00232E4F">
            <w:pPr>
              <w:widowControl/>
              <w:jc w:val="center"/>
              <w:rPr>
                <w:rFonts w:ascii="Calibri" w:hAnsi="Calibri" w:cs="Calibri"/>
                <w:bCs/>
                <w:snapToGrid/>
                <w:color w:val="000000"/>
                <w:sz w:val="24"/>
                <w:szCs w:val="24"/>
              </w:rPr>
            </w:pPr>
            <w:r w:rsidRPr="00905BDE">
              <w:rPr>
                <w:rFonts w:ascii="Calibri" w:hAnsi="Calibri" w:cs="Calibri"/>
                <w:bCs/>
                <w:snapToGrid/>
                <w:color w:val="000000"/>
                <w:sz w:val="24"/>
                <w:szCs w:val="24"/>
              </w:rPr>
              <w:t>Percentual</w:t>
            </w:r>
          </w:p>
        </w:tc>
        <w:tc>
          <w:tcPr>
            <w:tcW w:w="1347" w:type="dxa"/>
            <w:vAlign w:val="center"/>
          </w:tcPr>
          <w:p w:rsidR="000016CA" w:rsidRPr="00905BDE" w:rsidRDefault="00905BDE" w:rsidP="00232E4F">
            <w:pPr>
              <w:widowControl/>
              <w:jc w:val="center"/>
              <w:rPr>
                <w:rFonts w:ascii="Calibri" w:hAnsi="Calibri" w:cs="Calibri"/>
                <w:bCs/>
                <w:snapToGrid/>
                <w:color w:val="000000"/>
                <w:sz w:val="24"/>
                <w:szCs w:val="24"/>
              </w:rPr>
            </w:pPr>
            <w:r w:rsidRPr="00905BDE">
              <w:rPr>
                <w:rFonts w:ascii="Calibri" w:hAnsi="Calibri" w:cs="Calibri"/>
                <w:bCs/>
                <w:snapToGrid/>
                <w:color w:val="000000"/>
                <w:sz w:val="24"/>
                <w:szCs w:val="24"/>
              </w:rPr>
              <w:t>Montante</w:t>
            </w:r>
          </w:p>
        </w:tc>
        <w:tc>
          <w:tcPr>
            <w:tcW w:w="1347" w:type="dxa"/>
            <w:vAlign w:val="center"/>
          </w:tcPr>
          <w:p w:rsidR="000016CA" w:rsidRPr="00905BDE" w:rsidRDefault="00905BDE" w:rsidP="00232E4F">
            <w:pPr>
              <w:widowControl/>
              <w:jc w:val="center"/>
              <w:rPr>
                <w:rFonts w:ascii="Calibri" w:hAnsi="Calibri" w:cs="Calibri"/>
                <w:bCs/>
                <w:snapToGrid/>
                <w:color w:val="000000"/>
                <w:sz w:val="24"/>
                <w:szCs w:val="24"/>
              </w:rPr>
            </w:pPr>
            <w:r w:rsidRPr="00905BDE">
              <w:rPr>
                <w:rFonts w:ascii="Calibri" w:hAnsi="Calibri" w:cs="Calibri"/>
                <w:bCs/>
                <w:snapToGrid/>
                <w:color w:val="000000"/>
                <w:sz w:val="24"/>
                <w:szCs w:val="24"/>
              </w:rPr>
              <w:t>Percentual</w:t>
            </w:r>
          </w:p>
        </w:tc>
      </w:tr>
      <w:tr w:rsidR="000016CA" w:rsidRPr="002E7F4A" w:rsidTr="00232E4F">
        <w:trPr>
          <w:trHeight w:val="315"/>
        </w:trPr>
        <w:tc>
          <w:tcPr>
            <w:tcW w:w="3969" w:type="dxa"/>
            <w:shd w:val="clear" w:color="auto" w:fill="auto"/>
            <w:noWrap/>
            <w:vAlign w:val="center"/>
          </w:tcPr>
          <w:p w:rsidR="000016CA" w:rsidRPr="00F079A2" w:rsidRDefault="00232E4F" w:rsidP="00232E4F">
            <w:pPr>
              <w:widowControl/>
              <w:rPr>
                <w:rFonts w:ascii="Calibri" w:hAnsi="Calibri" w:cs="Calibri"/>
                <w:snapToGrid/>
                <w:color w:val="000000"/>
                <w:sz w:val="24"/>
                <w:szCs w:val="24"/>
              </w:rPr>
            </w:pPr>
            <w:r>
              <w:rPr>
                <w:rFonts w:ascii="Calibri" w:hAnsi="Calibri" w:cs="Calibri"/>
                <w:snapToGrid/>
                <w:color w:val="000000"/>
                <w:sz w:val="24"/>
                <w:szCs w:val="24"/>
              </w:rPr>
              <w:t>Disponível</w:t>
            </w:r>
          </w:p>
        </w:tc>
        <w:tc>
          <w:tcPr>
            <w:tcW w:w="1346" w:type="dxa"/>
            <w:shd w:val="clear" w:color="auto" w:fill="auto"/>
            <w:noWrap/>
            <w:vAlign w:val="center"/>
          </w:tcPr>
          <w:p w:rsidR="000016CA" w:rsidRPr="002E7F4A" w:rsidRDefault="00232E4F"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658</w:t>
            </w:r>
          </w:p>
        </w:tc>
        <w:tc>
          <w:tcPr>
            <w:tcW w:w="1347" w:type="dxa"/>
            <w:shd w:val="clear" w:color="auto" w:fill="auto"/>
            <w:noWrap/>
            <w:vAlign w:val="center"/>
          </w:tcPr>
          <w:p w:rsidR="000016CA" w:rsidRPr="002E7F4A"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0,18%</w:t>
            </w:r>
          </w:p>
        </w:tc>
        <w:tc>
          <w:tcPr>
            <w:tcW w:w="1347" w:type="dxa"/>
            <w:vAlign w:val="center"/>
          </w:tcPr>
          <w:p w:rsidR="000016CA" w:rsidRPr="002E7F4A"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4</w:t>
            </w:r>
          </w:p>
        </w:tc>
        <w:tc>
          <w:tcPr>
            <w:tcW w:w="1347" w:type="dxa"/>
            <w:vAlign w:val="center"/>
          </w:tcPr>
          <w:p w:rsidR="000016CA" w:rsidRPr="002E7F4A"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0,00%</w:t>
            </w:r>
          </w:p>
        </w:tc>
      </w:tr>
      <w:tr w:rsidR="000016CA" w:rsidRPr="002E7F4A" w:rsidTr="00232E4F">
        <w:trPr>
          <w:trHeight w:val="315"/>
        </w:trPr>
        <w:tc>
          <w:tcPr>
            <w:tcW w:w="3969" w:type="dxa"/>
            <w:shd w:val="clear" w:color="auto" w:fill="auto"/>
            <w:noWrap/>
            <w:vAlign w:val="center"/>
          </w:tcPr>
          <w:p w:rsidR="000016CA" w:rsidRPr="00F079A2" w:rsidRDefault="00232E4F" w:rsidP="00232E4F">
            <w:pPr>
              <w:widowControl/>
              <w:rPr>
                <w:rFonts w:ascii="Calibri" w:hAnsi="Calibri" w:cs="Calibri"/>
                <w:snapToGrid/>
                <w:color w:val="000000"/>
                <w:sz w:val="24"/>
                <w:szCs w:val="24"/>
              </w:rPr>
            </w:pPr>
            <w:r>
              <w:rPr>
                <w:rFonts w:ascii="Calibri" w:hAnsi="Calibri" w:cs="Calibri"/>
                <w:snapToGrid/>
                <w:color w:val="000000"/>
                <w:sz w:val="24"/>
                <w:szCs w:val="24"/>
              </w:rPr>
              <w:t>Realizável</w:t>
            </w:r>
          </w:p>
        </w:tc>
        <w:tc>
          <w:tcPr>
            <w:tcW w:w="1346" w:type="dxa"/>
            <w:shd w:val="clear" w:color="auto" w:fill="auto"/>
            <w:noWrap/>
            <w:vAlign w:val="center"/>
          </w:tcPr>
          <w:p w:rsidR="000016CA" w:rsidRPr="002E7F4A" w:rsidRDefault="00232E4F"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57.103</w:t>
            </w:r>
          </w:p>
        </w:tc>
        <w:tc>
          <w:tcPr>
            <w:tcW w:w="1347" w:type="dxa"/>
            <w:shd w:val="clear" w:color="auto" w:fill="auto"/>
            <w:noWrap/>
            <w:vAlign w:val="center"/>
          </w:tcPr>
          <w:p w:rsidR="000016CA" w:rsidRPr="002E7F4A"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15,43%</w:t>
            </w:r>
          </w:p>
        </w:tc>
        <w:tc>
          <w:tcPr>
            <w:tcW w:w="1347" w:type="dxa"/>
            <w:vAlign w:val="center"/>
          </w:tcPr>
          <w:p w:rsidR="000016CA" w:rsidRPr="002E7F4A"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204.474</w:t>
            </w:r>
          </w:p>
        </w:tc>
        <w:tc>
          <w:tcPr>
            <w:tcW w:w="1347" w:type="dxa"/>
            <w:vAlign w:val="center"/>
          </w:tcPr>
          <w:p w:rsidR="000016CA" w:rsidRPr="002E7F4A" w:rsidRDefault="00905BDE" w:rsidP="00905BDE">
            <w:pPr>
              <w:widowControl/>
              <w:jc w:val="right"/>
              <w:rPr>
                <w:rFonts w:ascii="Calibri" w:hAnsi="Calibri" w:cs="Calibri"/>
                <w:snapToGrid/>
                <w:color w:val="000000"/>
                <w:sz w:val="24"/>
                <w:szCs w:val="24"/>
              </w:rPr>
            </w:pPr>
            <w:r>
              <w:rPr>
                <w:rFonts w:ascii="Calibri" w:hAnsi="Calibri" w:cs="Calibri"/>
                <w:snapToGrid/>
                <w:color w:val="000000"/>
                <w:sz w:val="24"/>
                <w:szCs w:val="24"/>
              </w:rPr>
              <w:t>35,06%</w:t>
            </w:r>
          </w:p>
        </w:tc>
      </w:tr>
      <w:tr w:rsidR="000016CA" w:rsidRPr="002E7F4A" w:rsidTr="00232E4F">
        <w:trPr>
          <w:trHeight w:val="315"/>
        </w:trPr>
        <w:tc>
          <w:tcPr>
            <w:tcW w:w="3969" w:type="dxa"/>
            <w:shd w:val="clear" w:color="auto" w:fill="auto"/>
            <w:noWrap/>
            <w:vAlign w:val="center"/>
          </w:tcPr>
          <w:p w:rsidR="000016CA" w:rsidRDefault="00232E4F" w:rsidP="00232E4F">
            <w:pPr>
              <w:widowControl/>
              <w:rPr>
                <w:rFonts w:ascii="Calibri" w:hAnsi="Calibri" w:cs="Calibri"/>
                <w:snapToGrid/>
                <w:color w:val="000000"/>
                <w:sz w:val="24"/>
                <w:szCs w:val="24"/>
              </w:rPr>
            </w:pPr>
            <w:r>
              <w:rPr>
                <w:rFonts w:ascii="Calibri" w:hAnsi="Calibri" w:cs="Calibri"/>
                <w:snapToGrid/>
                <w:color w:val="000000"/>
                <w:sz w:val="24"/>
                <w:szCs w:val="24"/>
              </w:rPr>
              <w:t>Títulos Públicos</w:t>
            </w:r>
          </w:p>
        </w:tc>
        <w:tc>
          <w:tcPr>
            <w:tcW w:w="1346" w:type="dxa"/>
            <w:shd w:val="clear" w:color="auto" w:fill="auto"/>
            <w:noWrap/>
            <w:vAlign w:val="center"/>
          </w:tcPr>
          <w:p w:rsidR="000016CA" w:rsidRPr="002E7F4A" w:rsidRDefault="00232E4F"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38.748</w:t>
            </w:r>
          </w:p>
        </w:tc>
        <w:tc>
          <w:tcPr>
            <w:tcW w:w="1347" w:type="dxa"/>
            <w:shd w:val="clear" w:color="auto" w:fill="auto"/>
            <w:noWrap/>
            <w:vAlign w:val="center"/>
          </w:tcPr>
          <w:p w:rsidR="000016CA" w:rsidRPr="002E7F4A" w:rsidRDefault="00905BDE" w:rsidP="00905BDE">
            <w:pPr>
              <w:widowControl/>
              <w:jc w:val="right"/>
              <w:rPr>
                <w:rFonts w:ascii="Calibri" w:hAnsi="Calibri" w:cs="Calibri"/>
                <w:snapToGrid/>
                <w:color w:val="000000"/>
                <w:sz w:val="24"/>
                <w:szCs w:val="24"/>
              </w:rPr>
            </w:pPr>
            <w:r>
              <w:rPr>
                <w:rFonts w:ascii="Calibri" w:hAnsi="Calibri" w:cs="Calibri"/>
                <w:snapToGrid/>
                <w:color w:val="000000"/>
                <w:sz w:val="24"/>
                <w:szCs w:val="24"/>
              </w:rPr>
              <w:t>10,46%</w:t>
            </w:r>
          </w:p>
        </w:tc>
        <w:tc>
          <w:tcPr>
            <w:tcW w:w="1347" w:type="dxa"/>
            <w:vAlign w:val="center"/>
          </w:tcPr>
          <w:p w:rsidR="000016CA" w:rsidRPr="002E7F4A" w:rsidRDefault="00D414A4"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347" w:type="dxa"/>
            <w:vAlign w:val="center"/>
          </w:tcPr>
          <w:p w:rsidR="000016CA" w:rsidRPr="002E7F4A"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0,00%</w:t>
            </w:r>
          </w:p>
        </w:tc>
      </w:tr>
      <w:tr w:rsidR="000016CA" w:rsidRPr="002E7F4A" w:rsidTr="00232E4F">
        <w:trPr>
          <w:trHeight w:val="315"/>
        </w:trPr>
        <w:tc>
          <w:tcPr>
            <w:tcW w:w="3969" w:type="dxa"/>
            <w:shd w:val="clear" w:color="auto" w:fill="auto"/>
            <w:noWrap/>
            <w:vAlign w:val="center"/>
          </w:tcPr>
          <w:p w:rsidR="000016CA" w:rsidRPr="00F079A2" w:rsidRDefault="00232E4F" w:rsidP="00232E4F">
            <w:pPr>
              <w:widowControl/>
              <w:rPr>
                <w:rFonts w:ascii="Calibri" w:hAnsi="Calibri" w:cs="Calibri"/>
                <w:snapToGrid/>
                <w:color w:val="000000"/>
                <w:sz w:val="24"/>
                <w:szCs w:val="24"/>
              </w:rPr>
            </w:pPr>
            <w:r>
              <w:rPr>
                <w:rFonts w:ascii="Calibri" w:hAnsi="Calibri" w:cs="Calibri"/>
                <w:snapToGrid/>
                <w:color w:val="000000"/>
                <w:sz w:val="24"/>
                <w:szCs w:val="24"/>
              </w:rPr>
              <w:t>Ações</w:t>
            </w:r>
          </w:p>
        </w:tc>
        <w:tc>
          <w:tcPr>
            <w:tcW w:w="1346" w:type="dxa"/>
            <w:shd w:val="clear" w:color="auto" w:fill="auto"/>
            <w:noWrap/>
            <w:vAlign w:val="center"/>
          </w:tcPr>
          <w:p w:rsidR="000016CA" w:rsidRPr="002E7F4A" w:rsidRDefault="00232E4F"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107.203</w:t>
            </w:r>
          </w:p>
        </w:tc>
        <w:tc>
          <w:tcPr>
            <w:tcW w:w="1347" w:type="dxa"/>
            <w:shd w:val="clear" w:color="auto" w:fill="auto"/>
            <w:noWrap/>
            <w:vAlign w:val="center"/>
          </w:tcPr>
          <w:p w:rsidR="000016CA"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28,96%</w:t>
            </w:r>
          </w:p>
        </w:tc>
        <w:tc>
          <w:tcPr>
            <w:tcW w:w="1347" w:type="dxa"/>
            <w:vAlign w:val="center"/>
          </w:tcPr>
          <w:p w:rsidR="000016CA"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106.839</w:t>
            </w:r>
          </w:p>
        </w:tc>
        <w:tc>
          <w:tcPr>
            <w:tcW w:w="1347" w:type="dxa"/>
            <w:vAlign w:val="center"/>
          </w:tcPr>
          <w:p w:rsidR="000016CA"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18,32%</w:t>
            </w:r>
          </w:p>
        </w:tc>
      </w:tr>
      <w:tr w:rsidR="000016CA" w:rsidRPr="002E7F4A" w:rsidTr="00232E4F">
        <w:trPr>
          <w:trHeight w:val="315"/>
        </w:trPr>
        <w:tc>
          <w:tcPr>
            <w:tcW w:w="3969" w:type="dxa"/>
            <w:shd w:val="clear" w:color="auto" w:fill="auto"/>
            <w:noWrap/>
            <w:vAlign w:val="center"/>
          </w:tcPr>
          <w:p w:rsidR="000016CA" w:rsidRPr="00F079A2" w:rsidRDefault="00232E4F" w:rsidP="00232E4F">
            <w:pPr>
              <w:widowControl/>
              <w:rPr>
                <w:rFonts w:ascii="Calibri" w:hAnsi="Calibri" w:cs="Calibri"/>
                <w:snapToGrid/>
                <w:color w:val="000000"/>
                <w:sz w:val="24"/>
                <w:szCs w:val="24"/>
              </w:rPr>
            </w:pPr>
            <w:r>
              <w:rPr>
                <w:rFonts w:ascii="Calibri" w:hAnsi="Calibri" w:cs="Calibri"/>
                <w:snapToGrid/>
                <w:color w:val="000000"/>
                <w:sz w:val="24"/>
                <w:szCs w:val="24"/>
              </w:rPr>
              <w:t>Fundos de Investimento</w:t>
            </w:r>
          </w:p>
        </w:tc>
        <w:tc>
          <w:tcPr>
            <w:tcW w:w="1346" w:type="dxa"/>
            <w:shd w:val="clear" w:color="auto" w:fill="auto"/>
            <w:noWrap/>
            <w:vAlign w:val="center"/>
          </w:tcPr>
          <w:p w:rsidR="000016CA" w:rsidRPr="002E7F4A" w:rsidRDefault="00232E4F"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39.860</w:t>
            </w:r>
          </w:p>
        </w:tc>
        <w:tc>
          <w:tcPr>
            <w:tcW w:w="1347" w:type="dxa"/>
            <w:shd w:val="clear" w:color="auto" w:fill="auto"/>
            <w:noWrap/>
            <w:vAlign w:val="center"/>
          </w:tcPr>
          <w:p w:rsidR="000016CA" w:rsidRPr="002E7F4A"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10,77%</w:t>
            </w:r>
          </w:p>
        </w:tc>
        <w:tc>
          <w:tcPr>
            <w:tcW w:w="1347" w:type="dxa"/>
            <w:vAlign w:val="center"/>
          </w:tcPr>
          <w:p w:rsidR="000016CA"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143.419</w:t>
            </w:r>
          </w:p>
        </w:tc>
        <w:tc>
          <w:tcPr>
            <w:tcW w:w="1347" w:type="dxa"/>
            <w:vAlign w:val="center"/>
          </w:tcPr>
          <w:p w:rsidR="000016CA"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24,59%</w:t>
            </w:r>
          </w:p>
        </w:tc>
      </w:tr>
      <w:tr w:rsidR="00232E4F" w:rsidRPr="002E7F4A" w:rsidTr="00232E4F">
        <w:trPr>
          <w:trHeight w:val="315"/>
        </w:trPr>
        <w:tc>
          <w:tcPr>
            <w:tcW w:w="3969" w:type="dxa"/>
            <w:shd w:val="clear" w:color="auto" w:fill="auto"/>
            <w:noWrap/>
            <w:vAlign w:val="center"/>
          </w:tcPr>
          <w:p w:rsidR="00232E4F" w:rsidRPr="00F079A2" w:rsidRDefault="00232E4F" w:rsidP="00905BDE">
            <w:pPr>
              <w:widowControl/>
              <w:ind w:firstLine="214"/>
              <w:rPr>
                <w:rFonts w:ascii="Calibri" w:hAnsi="Calibri" w:cs="Calibri"/>
                <w:snapToGrid/>
                <w:color w:val="000000"/>
                <w:sz w:val="24"/>
                <w:szCs w:val="24"/>
              </w:rPr>
            </w:pPr>
            <w:r>
              <w:rPr>
                <w:rFonts w:ascii="Calibri" w:hAnsi="Calibri" w:cs="Calibri"/>
                <w:snapToGrid/>
                <w:color w:val="000000"/>
                <w:sz w:val="24"/>
                <w:szCs w:val="24"/>
              </w:rPr>
              <w:t>Renda Fixa</w:t>
            </w:r>
          </w:p>
        </w:tc>
        <w:tc>
          <w:tcPr>
            <w:tcW w:w="1346" w:type="dxa"/>
            <w:shd w:val="clear" w:color="auto" w:fill="auto"/>
            <w:noWrap/>
            <w:vAlign w:val="center"/>
          </w:tcPr>
          <w:p w:rsidR="00232E4F" w:rsidRPr="002E7F4A" w:rsidRDefault="00232E4F"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39.618</w:t>
            </w:r>
          </w:p>
        </w:tc>
        <w:tc>
          <w:tcPr>
            <w:tcW w:w="1347" w:type="dxa"/>
            <w:shd w:val="clear" w:color="auto" w:fill="auto"/>
            <w:noWrap/>
            <w:vAlign w:val="center"/>
          </w:tcPr>
          <w:p w:rsidR="00232E4F" w:rsidRPr="002E7F4A" w:rsidRDefault="00232E4F" w:rsidP="00232E4F">
            <w:pPr>
              <w:widowControl/>
              <w:jc w:val="right"/>
              <w:rPr>
                <w:rFonts w:ascii="Calibri" w:hAnsi="Calibri" w:cs="Calibri"/>
                <w:snapToGrid/>
                <w:color w:val="000000"/>
                <w:sz w:val="24"/>
                <w:szCs w:val="24"/>
              </w:rPr>
            </w:pPr>
          </w:p>
        </w:tc>
        <w:tc>
          <w:tcPr>
            <w:tcW w:w="1347" w:type="dxa"/>
            <w:vAlign w:val="center"/>
          </w:tcPr>
          <w:p w:rsidR="00232E4F"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143.173</w:t>
            </w:r>
          </w:p>
        </w:tc>
        <w:tc>
          <w:tcPr>
            <w:tcW w:w="1347" w:type="dxa"/>
            <w:vAlign w:val="center"/>
          </w:tcPr>
          <w:p w:rsidR="00232E4F" w:rsidRDefault="00232E4F" w:rsidP="00232E4F">
            <w:pPr>
              <w:widowControl/>
              <w:jc w:val="right"/>
              <w:rPr>
                <w:rFonts w:ascii="Calibri" w:hAnsi="Calibri" w:cs="Calibri"/>
                <w:snapToGrid/>
                <w:color w:val="000000"/>
                <w:sz w:val="24"/>
                <w:szCs w:val="24"/>
              </w:rPr>
            </w:pPr>
          </w:p>
        </w:tc>
      </w:tr>
      <w:tr w:rsidR="00232E4F" w:rsidRPr="002E7F4A" w:rsidTr="00232E4F">
        <w:trPr>
          <w:trHeight w:val="315"/>
        </w:trPr>
        <w:tc>
          <w:tcPr>
            <w:tcW w:w="3969" w:type="dxa"/>
            <w:shd w:val="clear" w:color="auto" w:fill="auto"/>
            <w:noWrap/>
            <w:vAlign w:val="center"/>
          </w:tcPr>
          <w:p w:rsidR="00232E4F" w:rsidRPr="00F079A2" w:rsidRDefault="00232E4F" w:rsidP="00905BDE">
            <w:pPr>
              <w:widowControl/>
              <w:ind w:firstLine="214"/>
              <w:rPr>
                <w:rFonts w:ascii="Calibri" w:hAnsi="Calibri" w:cs="Calibri"/>
                <w:snapToGrid/>
                <w:color w:val="000000"/>
                <w:sz w:val="24"/>
                <w:szCs w:val="24"/>
              </w:rPr>
            </w:pPr>
            <w:r>
              <w:rPr>
                <w:rFonts w:ascii="Calibri" w:hAnsi="Calibri" w:cs="Calibri"/>
                <w:snapToGrid/>
                <w:color w:val="000000"/>
                <w:sz w:val="24"/>
                <w:szCs w:val="24"/>
              </w:rPr>
              <w:t>Imobiliário</w:t>
            </w:r>
          </w:p>
        </w:tc>
        <w:tc>
          <w:tcPr>
            <w:tcW w:w="1346" w:type="dxa"/>
            <w:shd w:val="clear" w:color="auto" w:fill="auto"/>
            <w:noWrap/>
            <w:vAlign w:val="center"/>
          </w:tcPr>
          <w:p w:rsidR="00232E4F" w:rsidRPr="002E7F4A" w:rsidRDefault="00232E4F"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242</w:t>
            </w:r>
          </w:p>
        </w:tc>
        <w:tc>
          <w:tcPr>
            <w:tcW w:w="1347" w:type="dxa"/>
            <w:shd w:val="clear" w:color="auto" w:fill="auto"/>
            <w:noWrap/>
            <w:vAlign w:val="center"/>
          </w:tcPr>
          <w:p w:rsidR="00232E4F" w:rsidRPr="002E7F4A" w:rsidRDefault="00232E4F" w:rsidP="00232E4F">
            <w:pPr>
              <w:widowControl/>
              <w:jc w:val="right"/>
              <w:rPr>
                <w:rFonts w:ascii="Calibri" w:hAnsi="Calibri" w:cs="Calibri"/>
                <w:snapToGrid/>
                <w:color w:val="000000"/>
                <w:sz w:val="24"/>
                <w:szCs w:val="24"/>
              </w:rPr>
            </w:pPr>
          </w:p>
        </w:tc>
        <w:tc>
          <w:tcPr>
            <w:tcW w:w="1347" w:type="dxa"/>
            <w:vAlign w:val="center"/>
          </w:tcPr>
          <w:p w:rsidR="00232E4F"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246</w:t>
            </w:r>
          </w:p>
        </w:tc>
        <w:tc>
          <w:tcPr>
            <w:tcW w:w="1347" w:type="dxa"/>
            <w:vAlign w:val="center"/>
          </w:tcPr>
          <w:p w:rsidR="00232E4F" w:rsidRDefault="00232E4F" w:rsidP="00232E4F">
            <w:pPr>
              <w:widowControl/>
              <w:jc w:val="right"/>
              <w:rPr>
                <w:rFonts w:ascii="Calibri" w:hAnsi="Calibri" w:cs="Calibri"/>
                <w:snapToGrid/>
                <w:color w:val="000000"/>
                <w:sz w:val="24"/>
                <w:szCs w:val="24"/>
              </w:rPr>
            </w:pPr>
          </w:p>
        </w:tc>
      </w:tr>
      <w:tr w:rsidR="00232E4F" w:rsidRPr="002E7F4A" w:rsidTr="00232E4F">
        <w:trPr>
          <w:trHeight w:val="315"/>
        </w:trPr>
        <w:tc>
          <w:tcPr>
            <w:tcW w:w="3969" w:type="dxa"/>
            <w:shd w:val="clear" w:color="auto" w:fill="auto"/>
            <w:noWrap/>
            <w:vAlign w:val="center"/>
          </w:tcPr>
          <w:p w:rsidR="00232E4F" w:rsidRPr="00F079A2" w:rsidRDefault="00232E4F" w:rsidP="00232E4F">
            <w:pPr>
              <w:widowControl/>
              <w:rPr>
                <w:rFonts w:ascii="Calibri" w:hAnsi="Calibri" w:cs="Calibri"/>
                <w:snapToGrid/>
                <w:color w:val="000000"/>
                <w:sz w:val="24"/>
                <w:szCs w:val="24"/>
              </w:rPr>
            </w:pPr>
            <w:r>
              <w:rPr>
                <w:rFonts w:ascii="Calibri" w:hAnsi="Calibri" w:cs="Calibri"/>
                <w:snapToGrid/>
                <w:color w:val="000000"/>
                <w:sz w:val="24"/>
                <w:szCs w:val="24"/>
              </w:rPr>
              <w:t>Investimentos Imobiliários</w:t>
            </w:r>
          </w:p>
        </w:tc>
        <w:tc>
          <w:tcPr>
            <w:tcW w:w="1346" w:type="dxa"/>
            <w:shd w:val="clear" w:color="auto" w:fill="auto"/>
            <w:noWrap/>
            <w:vAlign w:val="center"/>
          </w:tcPr>
          <w:p w:rsidR="00232E4F" w:rsidRPr="002E7F4A" w:rsidRDefault="00232E4F"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115.982</w:t>
            </w:r>
          </w:p>
        </w:tc>
        <w:tc>
          <w:tcPr>
            <w:tcW w:w="1347" w:type="dxa"/>
            <w:shd w:val="clear" w:color="auto" w:fill="auto"/>
            <w:noWrap/>
            <w:vAlign w:val="center"/>
          </w:tcPr>
          <w:p w:rsidR="00232E4F" w:rsidRPr="002E7F4A"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31,33%</w:t>
            </w:r>
          </w:p>
        </w:tc>
        <w:tc>
          <w:tcPr>
            <w:tcW w:w="1347" w:type="dxa"/>
            <w:vAlign w:val="center"/>
          </w:tcPr>
          <w:p w:rsidR="00232E4F"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118.048</w:t>
            </w:r>
          </w:p>
        </w:tc>
        <w:tc>
          <w:tcPr>
            <w:tcW w:w="1347" w:type="dxa"/>
            <w:vAlign w:val="center"/>
          </w:tcPr>
          <w:p w:rsidR="00232E4F"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20,24%</w:t>
            </w:r>
          </w:p>
        </w:tc>
      </w:tr>
      <w:tr w:rsidR="00232E4F" w:rsidRPr="002E7F4A" w:rsidTr="00232E4F">
        <w:trPr>
          <w:trHeight w:val="315"/>
        </w:trPr>
        <w:tc>
          <w:tcPr>
            <w:tcW w:w="3969" w:type="dxa"/>
            <w:shd w:val="clear" w:color="auto" w:fill="auto"/>
            <w:noWrap/>
            <w:vAlign w:val="center"/>
          </w:tcPr>
          <w:p w:rsidR="00232E4F" w:rsidRPr="00F079A2" w:rsidRDefault="00232E4F" w:rsidP="00232E4F">
            <w:pPr>
              <w:widowControl/>
              <w:rPr>
                <w:rFonts w:ascii="Calibri" w:hAnsi="Calibri" w:cs="Calibri"/>
                <w:snapToGrid/>
                <w:color w:val="000000"/>
                <w:sz w:val="24"/>
                <w:szCs w:val="24"/>
              </w:rPr>
            </w:pPr>
            <w:r>
              <w:rPr>
                <w:rFonts w:ascii="Calibri" w:hAnsi="Calibri" w:cs="Calibri"/>
                <w:snapToGrid/>
                <w:color w:val="000000"/>
                <w:sz w:val="24"/>
                <w:szCs w:val="24"/>
              </w:rPr>
              <w:t>Empréstimos e Financiamentos</w:t>
            </w:r>
          </w:p>
        </w:tc>
        <w:tc>
          <w:tcPr>
            <w:tcW w:w="1346" w:type="dxa"/>
            <w:shd w:val="clear" w:color="auto" w:fill="auto"/>
            <w:noWrap/>
            <w:vAlign w:val="center"/>
          </w:tcPr>
          <w:p w:rsidR="00232E4F" w:rsidRPr="002E7F4A" w:rsidRDefault="00232E4F"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1</w:t>
            </w:r>
          </w:p>
        </w:tc>
        <w:tc>
          <w:tcPr>
            <w:tcW w:w="1347" w:type="dxa"/>
            <w:shd w:val="clear" w:color="auto" w:fill="auto"/>
            <w:noWrap/>
            <w:vAlign w:val="center"/>
          </w:tcPr>
          <w:p w:rsidR="00232E4F" w:rsidRPr="002E7F4A"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0,00%</w:t>
            </w:r>
          </w:p>
        </w:tc>
        <w:tc>
          <w:tcPr>
            <w:tcW w:w="1347" w:type="dxa"/>
            <w:vAlign w:val="center"/>
          </w:tcPr>
          <w:p w:rsidR="00232E4F"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1</w:t>
            </w:r>
          </w:p>
        </w:tc>
        <w:tc>
          <w:tcPr>
            <w:tcW w:w="1347" w:type="dxa"/>
            <w:vAlign w:val="center"/>
          </w:tcPr>
          <w:p w:rsidR="00232E4F"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0,00%</w:t>
            </w:r>
          </w:p>
        </w:tc>
      </w:tr>
      <w:tr w:rsidR="00232E4F" w:rsidRPr="002E7F4A" w:rsidTr="00232E4F">
        <w:trPr>
          <w:trHeight w:val="315"/>
        </w:trPr>
        <w:tc>
          <w:tcPr>
            <w:tcW w:w="3969" w:type="dxa"/>
            <w:shd w:val="clear" w:color="auto" w:fill="auto"/>
            <w:noWrap/>
            <w:vAlign w:val="center"/>
          </w:tcPr>
          <w:p w:rsidR="00232E4F" w:rsidRPr="00F079A2" w:rsidRDefault="00232E4F" w:rsidP="00232E4F">
            <w:pPr>
              <w:widowControl/>
              <w:rPr>
                <w:rFonts w:ascii="Calibri" w:hAnsi="Calibri" w:cs="Calibri"/>
                <w:snapToGrid/>
                <w:color w:val="000000"/>
                <w:sz w:val="24"/>
                <w:szCs w:val="24"/>
              </w:rPr>
            </w:pPr>
            <w:r>
              <w:rPr>
                <w:rFonts w:ascii="Calibri" w:hAnsi="Calibri" w:cs="Calibri"/>
                <w:snapToGrid/>
                <w:color w:val="000000"/>
                <w:sz w:val="24"/>
                <w:szCs w:val="24"/>
              </w:rPr>
              <w:t>Outros – Depósitos Judiciários</w:t>
            </w:r>
          </w:p>
        </w:tc>
        <w:tc>
          <w:tcPr>
            <w:tcW w:w="1346" w:type="dxa"/>
            <w:shd w:val="clear" w:color="auto" w:fill="auto"/>
            <w:noWrap/>
            <w:vAlign w:val="center"/>
          </w:tcPr>
          <w:p w:rsidR="00232E4F" w:rsidRPr="002E7F4A" w:rsidRDefault="00232E4F"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10.627</w:t>
            </w:r>
          </w:p>
        </w:tc>
        <w:tc>
          <w:tcPr>
            <w:tcW w:w="1347" w:type="dxa"/>
            <w:shd w:val="clear" w:color="auto" w:fill="auto"/>
            <w:noWrap/>
            <w:vAlign w:val="center"/>
          </w:tcPr>
          <w:p w:rsidR="00232E4F" w:rsidRPr="002E7F4A"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2,87%</w:t>
            </w:r>
          </w:p>
        </w:tc>
        <w:tc>
          <w:tcPr>
            <w:tcW w:w="1347" w:type="dxa"/>
            <w:vAlign w:val="center"/>
          </w:tcPr>
          <w:p w:rsidR="00232E4F"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10.469</w:t>
            </w:r>
          </w:p>
        </w:tc>
        <w:tc>
          <w:tcPr>
            <w:tcW w:w="1347" w:type="dxa"/>
            <w:vAlign w:val="center"/>
          </w:tcPr>
          <w:p w:rsidR="00232E4F"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1,79%</w:t>
            </w:r>
          </w:p>
        </w:tc>
      </w:tr>
      <w:tr w:rsidR="00232E4F" w:rsidRPr="002E7F4A" w:rsidTr="00232E4F">
        <w:trPr>
          <w:trHeight w:val="315"/>
        </w:trPr>
        <w:tc>
          <w:tcPr>
            <w:tcW w:w="3969" w:type="dxa"/>
            <w:shd w:val="clear" w:color="auto" w:fill="auto"/>
            <w:noWrap/>
            <w:vAlign w:val="center"/>
          </w:tcPr>
          <w:p w:rsidR="00232E4F" w:rsidRPr="00F079A2" w:rsidRDefault="00232E4F" w:rsidP="00232E4F">
            <w:pPr>
              <w:widowControl/>
              <w:rPr>
                <w:rFonts w:ascii="Calibri" w:hAnsi="Calibri" w:cs="Calibri"/>
                <w:snapToGrid/>
                <w:color w:val="000000"/>
                <w:sz w:val="24"/>
                <w:szCs w:val="24"/>
              </w:rPr>
            </w:pPr>
            <w:r>
              <w:rPr>
                <w:rFonts w:ascii="Calibri" w:hAnsi="Calibri" w:cs="Calibri"/>
                <w:snapToGrid/>
                <w:color w:val="000000"/>
                <w:sz w:val="24"/>
                <w:szCs w:val="24"/>
              </w:rPr>
              <w:t>Total</w:t>
            </w:r>
            <w:r w:rsidR="007B271D">
              <w:rPr>
                <w:rFonts w:ascii="Calibri" w:hAnsi="Calibri" w:cs="Calibri"/>
                <w:snapToGrid/>
                <w:color w:val="000000"/>
                <w:sz w:val="24"/>
                <w:szCs w:val="24"/>
              </w:rPr>
              <w:t xml:space="preserve"> do Ativo</w:t>
            </w:r>
          </w:p>
        </w:tc>
        <w:tc>
          <w:tcPr>
            <w:tcW w:w="1346" w:type="dxa"/>
            <w:shd w:val="clear" w:color="auto" w:fill="auto"/>
            <w:noWrap/>
            <w:vAlign w:val="center"/>
          </w:tcPr>
          <w:p w:rsidR="00232E4F" w:rsidRPr="002E7F4A" w:rsidRDefault="00232E4F"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370.182</w:t>
            </w:r>
          </w:p>
        </w:tc>
        <w:tc>
          <w:tcPr>
            <w:tcW w:w="1347" w:type="dxa"/>
            <w:shd w:val="clear" w:color="auto" w:fill="auto"/>
            <w:noWrap/>
            <w:vAlign w:val="center"/>
          </w:tcPr>
          <w:p w:rsidR="00232E4F" w:rsidRPr="002E7F4A"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100,00%</w:t>
            </w:r>
          </w:p>
        </w:tc>
        <w:tc>
          <w:tcPr>
            <w:tcW w:w="1347" w:type="dxa"/>
            <w:vAlign w:val="center"/>
          </w:tcPr>
          <w:p w:rsidR="00232E4F"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583.254</w:t>
            </w:r>
          </w:p>
        </w:tc>
        <w:tc>
          <w:tcPr>
            <w:tcW w:w="1347" w:type="dxa"/>
            <w:vAlign w:val="center"/>
          </w:tcPr>
          <w:p w:rsidR="00232E4F" w:rsidRDefault="00905BDE" w:rsidP="00232E4F">
            <w:pPr>
              <w:widowControl/>
              <w:jc w:val="right"/>
              <w:rPr>
                <w:rFonts w:ascii="Calibri" w:hAnsi="Calibri" w:cs="Calibri"/>
                <w:snapToGrid/>
                <w:color w:val="000000"/>
                <w:sz w:val="24"/>
                <w:szCs w:val="24"/>
              </w:rPr>
            </w:pPr>
            <w:r>
              <w:rPr>
                <w:rFonts w:ascii="Calibri" w:hAnsi="Calibri" w:cs="Calibri"/>
                <w:snapToGrid/>
                <w:color w:val="000000"/>
                <w:sz w:val="24"/>
                <w:szCs w:val="24"/>
              </w:rPr>
              <w:t>100,00%</w:t>
            </w:r>
          </w:p>
        </w:tc>
      </w:tr>
    </w:tbl>
    <w:p w:rsidR="007B271D" w:rsidRDefault="007B271D" w:rsidP="00E70A67">
      <w:pPr>
        <w:jc w:val="both"/>
        <w:rPr>
          <w:rFonts w:ascii="Calibri" w:hAnsi="Calibri" w:cs="Calibri"/>
          <w:sz w:val="24"/>
          <w:szCs w:val="24"/>
        </w:rPr>
      </w:pP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3"/>
        <w:gridCol w:w="1417"/>
        <w:gridCol w:w="1418"/>
      </w:tblGrid>
      <w:tr w:rsidR="007B271D" w:rsidRPr="002E7F4A" w:rsidTr="007B271D">
        <w:trPr>
          <w:trHeight w:val="315"/>
        </w:trPr>
        <w:tc>
          <w:tcPr>
            <w:tcW w:w="4253" w:type="dxa"/>
            <w:shd w:val="clear" w:color="auto" w:fill="auto"/>
            <w:noWrap/>
            <w:vAlign w:val="center"/>
          </w:tcPr>
          <w:p w:rsidR="007B271D" w:rsidRPr="00F079A2" w:rsidRDefault="007B271D" w:rsidP="00014E44">
            <w:pPr>
              <w:widowControl/>
              <w:rPr>
                <w:rFonts w:ascii="Calibri" w:hAnsi="Calibri" w:cs="Calibri"/>
                <w:snapToGrid/>
                <w:color w:val="000000"/>
                <w:sz w:val="24"/>
                <w:szCs w:val="24"/>
              </w:rPr>
            </w:pPr>
          </w:p>
        </w:tc>
        <w:tc>
          <w:tcPr>
            <w:tcW w:w="1417" w:type="dxa"/>
            <w:shd w:val="clear" w:color="auto" w:fill="auto"/>
            <w:noWrap/>
            <w:vAlign w:val="center"/>
          </w:tcPr>
          <w:p w:rsidR="007B271D" w:rsidRPr="007B271D" w:rsidRDefault="007B271D" w:rsidP="007B271D">
            <w:pPr>
              <w:widowControl/>
              <w:jc w:val="center"/>
              <w:rPr>
                <w:rFonts w:ascii="Calibri" w:hAnsi="Calibri" w:cs="Calibri"/>
                <w:b/>
                <w:snapToGrid/>
                <w:color w:val="000000"/>
                <w:sz w:val="24"/>
                <w:szCs w:val="24"/>
              </w:rPr>
            </w:pPr>
            <w:r w:rsidRPr="007B271D">
              <w:rPr>
                <w:rFonts w:ascii="Calibri" w:hAnsi="Calibri" w:cs="Calibri"/>
                <w:b/>
                <w:snapToGrid/>
                <w:color w:val="000000"/>
                <w:sz w:val="24"/>
                <w:szCs w:val="24"/>
              </w:rPr>
              <w:t>2019</w:t>
            </w:r>
          </w:p>
        </w:tc>
        <w:tc>
          <w:tcPr>
            <w:tcW w:w="1418" w:type="dxa"/>
            <w:vAlign w:val="center"/>
          </w:tcPr>
          <w:p w:rsidR="007B271D" w:rsidRPr="007B271D" w:rsidRDefault="007B271D" w:rsidP="007B271D">
            <w:pPr>
              <w:widowControl/>
              <w:jc w:val="center"/>
              <w:rPr>
                <w:rFonts w:ascii="Calibri" w:hAnsi="Calibri" w:cs="Calibri"/>
                <w:b/>
                <w:snapToGrid/>
                <w:color w:val="000000"/>
                <w:sz w:val="24"/>
                <w:szCs w:val="24"/>
              </w:rPr>
            </w:pPr>
            <w:r w:rsidRPr="007B271D">
              <w:rPr>
                <w:rFonts w:ascii="Calibri" w:hAnsi="Calibri" w:cs="Calibri"/>
                <w:b/>
                <w:snapToGrid/>
                <w:color w:val="000000"/>
                <w:sz w:val="24"/>
                <w:szCs w:val="24"/>
              </w:rPr>
              <w:t>2018</w:t>
            </w:r>
          </w:p>
        </w:tc>
      </w:tr>
      <w:tr w:rsidR="007B271D" w:rsidRPr="002E7F4A" w:rsidTr="007B271D">
        <w:trPr>
          <w:trHeight w:val="315"/>
        </w:trPr>
        <w:tc>
          <w:tcPr>
            <w:tcW w:w="4253" w:type="dxa"/>
            <w:shd w:val="clear" w:color="auto" w:fill="auto"/>
            <w:noWrap/>
            <w:vAlign w:val="center"/>
          </w:tcPr>
          <w:p w:rsidR="007B271D" w:rsidRPr="00F079A2" w:rsidRDefault="007B271D" w:rsidP="00014E44">
            <w:pPr>
              <w:widowControl/>
              <w:rPr>
                <w:rFonts w:ascii="Calibri" w:hAnsi="Calibri" w:cs="Calibri"/>
                <w:snapToGrid/>
                <w:color w:val="000000"/>
                <w:sz w:val="24"/>
                <w:szCs w:val="24"/>
              </w:rPr>
            </w:pPr>
            <w:r>
              <w:rPr>
                <w:rFonts w:ascii="Calibri" w:hAnsi="Calibri" w:cs="Calibri"/>
                <w:snapToGrid/>
                <w:color w:val="000000"/>
                <w:sz w:val="24"/>
                <w:szCs w:val="24"/>
              </w:rPr>
              <w:t>Total do Ativo</w:t>
            </w:r>
          </w:p>
        </w:tc>
        <w:tc>
          <w:tcPr>
            <w:tcW w:w="1417" w:type="dxa"/>
            <w:shd w:val="clear" w:color="auto" w:fill="auto"/>
            <w:noWrap/>
            <w:vAlign w:val="center"/>
          </w:tcPr>
          <w:p w:rsidR="007B271D" w:rsidRPr="002E7F4A" w:rsidRDefault="007B271D" w:rsidP="00014E44">
            <w:pPr>
              <w:widowControl/>
              <w:jc w:val="right"/>
              <w:rPr>
                <w:rFonts w:ascii="Calibri" w:hAnsi="Calibri" w:cs="Calibri"/>
                <w:snapToGrid/>
                <w:color w:val="000000"/>
                <w:sz w:val="24"/>
                <w:szCs w:val="24"/>
              </w:rPr>
            </w:pPr>
            <w:r>
              <w:rPr>
                <w:rFonts w:ascii="Calibri" w:hAnsi="Calibri" w:cs="Calibri"/>
                <w:snapToGrid/>
                <w:color w:val="000000"/>
                <w:sz w:val="24"/>
                <w:szCs w:val="24"/>
              </w:rPr>
              <w:t>370.182</w:t>
            </w:r>
          </w:p>
        </w:tc>
        <w:tc>
          <w:tcPr>
            <w:tcW w:w="1418" w:type="dxa"/>
            <w:vAlign w:val="center"/>
          </w:tcPr>
          <w:p w:rsidR="007B271D" w:rsidRDefault="007B271D" w:rsidP="00014E44">
            <w:pPr>
              <w:widowControl/>
              <w:jc w:val="right"/>
              <w:rPr>
                <w:rFonts w:ascii="Calibri" w:hAnsi="Calibri" w:cs="Calibri"/>
                <w:snapToGrid/>
                <w:color w:val="000000"/>
                <w:sz w:val="24"/>
                <w:szCs w:val="24"/>
              </w:rPr>
            </w:pPr>
            <w:r>
              <w:rPr>
                <w:rFonts w:ascii="Calibri" w:hAnsi="Calibri" w:cs="Calibri"/>
                <w:snapToGrid/>
                <w:color w:val="000000"/>
                <w:sz w:val="24"/>
                <w:szCs w:val="24"/>
              </w:rPr>
              <w:t>583.254</w:t>
            </w:r>
          </w:p>
        </w:tc>
      </w:tr>
      <w:tr w:rsidR="007B271D" w:rsidRPr="00905BDE" w:rsidTr="007B271D">
        <w:trPr>
          <w:trHeight w:val="315"/>
        </w:trPr>
        <w:tc>
          <w:tcPr>
            <w:tcW w:w="4253" w:type="dxa"/>
            <w:shd w:val="clear" w:color="auto" w:fill="auto"/>
            <w:noWrap/>
            <w:vAlign w:val="center"/>
          </w:tcPr>
          <w:p w:rsidR="007B271D" w:rsidRPr="002E7F4A" w:rsidRDefault="007B271D" w:rsidP="007B271D">
            <w:pPr>
              <w:widowControl/>
              <w:rPr>
                <w:rFonts w:ascii="Calibri" w:hAnsi="Calibri" w:cs="Calibri"/>
                <w:snapToGrid/>
                <w:color w:val="000000"/>
                <w:sz w:val="24"/>
                <w:szCs w:val="24"/>
              </w:rPr>
            </w:pPr>
            <w:r>
              <w:rPr>
                <w:rFonts w:ascii="Calibri" w:hAnsi="Calibri" w:cs="Calibri"/>
                <w:snapToGrid/>
                <w:color w:val="000000"/>
                <w:sz w:val="24"/>
                <w:szCs w:val="24"/>
              </w:rPr>
              <w:t>(</w:t>
            </w:r>
            <w:r>
              <w:rPr>
                <w:rFonts w:ascii="Calibri" w:hAnsi="Calibri" w:cs="Calibri"/>
                <w:sz w:val="24"/>
                <w:szCs w:val="24"/>
              </w:rPr>
              <w:t>–) Contribuições Contratadas em Atraso</w:t>
            </w:r>
          </w:p>
        </w:tc>
        <w:tc>
          <w:tcPr>
            <w:tcW w:w="1417" w:type="dxa"/>
            <w:shd w:val="clear" w:color="auto" w:fill="auto"/>
            <w:noWrap/>
            <w:vAlign w:val="center"/>
          </w:tcPr>
          <w:p w:rsidR="007B271D" w:rsidRPr="00905BDE" w:rsidRDefault="007B271D" w:rsidP="007B271D">
            <w:pPr>
              <w:widowControl/>
              <w:jc w:val="right"/>
              <w:rPr>
                <w:rFonts w:ascii="Calibri" w:hAnsi="Calibri" w:cs="Calibri"/>
                <w:bCs/>
                <w:snapToGrid/>
                <w:color w:val="000000"/>
                <w:sz w:val="24"/>
                <w:szCs w:val="24"/>
              </w:rPr>
            </w:pPr>
            <w:r>
              <w:rPr>
                <w:rFonts w:ascii="Calibri" w:hAnsi="Calibri" w:cs="Calibri"/>
                <w:bCs/>
                <w:snapToGrid/>
                <w:color w:val="000000"/>
                <w:sz w:val="24"/>
                <w:szCs w:val="24"/>
              </w:rPr>
              <w:t>(8.828)</w:t>
            </w:r>
          </w:p>
        </w:tc>
        <w:tc>
          <w:tcPr>
            <w:tcW w:w="1418" w:type="dxa"/>
            <w:vAlign w:val="center"/>
          </w:tcPr>
          <w:p w:rsidR="007B271D" w:rsidRPr="00905BDE" w:rsidRDefault="007B271D" w:rsidP="007B271D">
            <w:pPr>
              <w:widowControl/>
              <w:jc w:val="right"/>
              <w:rPr>
                <w:rFonts w:ascii="Calibri" w:hAnsi="Calibri" w:cs="Calibri"/>
                <w:bCs/>
                <w:snapToGrid/>
                <w:color w:val="000000"/>
                <w:sz w:val="24"/>
                <w:szCs w:val="24"/>
              </w:rPr>
            </w:pPr>
            <w:r>
              <w:rPr>
                <w:rFonts w:ascii="Calibri" w:hAnsi="Calibri" w:cs="Calibri"/>
                <w:bCs/>
                <w:snapToGrid/>
                <w:color w:val="000000"/>
                <w:sz w:val="24"/>
                <w:szCs w:val="24"/>
              </w:rPr>
              <w:t>(80.415)</w:t>
            </w:r>
          </w:p>
        </w:tc>
      </w:tr>
      <w:tr w:rsidR="007B271D" w:rsidRPr="002E7F4A" w:rsidTr="007B271D">
        <w:trPr>
          <w:trHeight w:val="315"/>
        </w:trPr>
        <w:tc>
          <w:tcPr>
            <w:tcW w:w="4253" w:type="dxa"/>
            <w:shd w:val="clear" w:color="auto" w:fill="auto"/>
            <w:noWrap/>
            <w:vAlign w:val="center"/>
          </w:tcPr>
          <w:p w:rsidR="007B271D" w:rsidRPr="00F079A2" w:rsidRDefault="007B271D" w:rsidP="00014E44">
            <w:pPr>
              <w:widowControl/>
              <w:rPr>
                <w:rFonts w:ascii="Calibri" w:hAnsi="Calibri" w:cs="Calibri"/>
                <w:snapToGrid/>
                <w:color w:val="000000"/>
                <w:sz w:val="24"/>
                <w:szCs w:val="24"/>
              </w:rPr>
            </w:pPr>
            <w:r>
              <w:rPr>
                <w:rFonts w:ascii="Calibri" w:hAnsi="Calibri" w:cs="Calibri"/>
                <w:snapToGrid/>
                <w:color w:val="000000"/>
                <w:sz w:val="24"/>
                <w:szCs w:val="24"/>
              </w:rPr>
              <w:t>(</w:t>
            </w:r>
            <w:r>
              <w:rPr>
                <w:rFonts w:ascii="Calibri" w:hAnsi="Calibri" w:cs="Calibri"/>
                <w:sz w:val="24"/>
                <w:szCs w:val="24"/>
              </w:rPr>
              <w:t>–) Uso Próprio</w:t>
            </w:r>
          </w:p>
        </w:tc>
        <w:tc>
          <w:tcPr>
            <w:tcW w:w="1417" w:type="dxa"/>
            <w:shd w:val="clear" w:color="auto" w:fill="auto"/>
            <w:noWrap/>
            <w:vAlign w:val="center"/>
          </w:tcPr>
          <w:p w:rsidR="007B271D" w:rsidRPr="002E7F4A" w:rsidRDefault="007B271D" w:rsidP="007B271D">
            <w:pPr>
              <w:widowControl/>
              <w:jc w:val="right"/>
              <w:rPr>
                <w:rFonts w:ascii="Calibri" w:hAnsi="Calibri" w:cs="Calibri"/>
                <w:snapToGrid/>
                <w:color w:val="000000"/>
                <w:sz w:val="24"/>
                <w:szCs w:val="24"/>
              </w:rPr>
            </w:pPr>
            <w:r>
              <w:rPr>
                <w:rFonts w:ascii="Calibri" w:hAnsi="Calibri" w:cs="Calibri"/>
                <w:snapToGrid/>
                <w:color w:val="000000"/>
                <w:sz w:val="24"/>
                <w:szCs w:val="24"/>
              </w:rPr>
              <w:t>(5.654)</w:t>
            </w:r>
          </w:p>
        </w:tc>
        <w:tc>
          <w:tcPr>
            <w:tcW w:w="1418" w:type="dxa"/>
            <w:vAlign w:val="center"/>
          </w:tcPr>
          <w:p w:rsidR="007B271D" w:rsidRPr="002E7F4A" w:rsidRDefault="007B271D" w:rsidP="007B271D">
            <w:pPr>
              <w:widowControl/>
              <w:jc w:val="right"/>
              <w:rPr>
                <w:rFonts w:ascii="Calibri" w:hAnsi="Calibri" w:cs="Calibri"/>
                <w:snapToGrid/>
                <w:color w:val="000000"/>
                <w:sz w:val="24"/>
                <w:szCs w:val="24"/>
              </w:rPr>
            </w:pPr>
            <w:r>
              <w:rPr>
                <w:rFonts w:ascii="Calibri" w:hAnsi="Calibri" w:cs="Calibri"/>
                <w:snapToGrid/>
                <w:color w:val="000000"/>
                <w:sz w:val="24"/>
                <w:szCs w:val="24"/>
              </w:rPr>
              <w:t>(7.491)</w:t>
            </w:r>
          </w:p>
        </w:tc>
      </w:tr>
      <w:tr w:rsidR="007B271D" w:rsidRPr="002E7F4A" w:rsidTr="007B271D">
        <w:trPr>
          <w:trHeight w:val="315"/>
        </w:trPr>
        <w:tc>
          <w:tcPr>
            <w:tcW w:w="4253" w:type="dxa"/>
            <w:shd w:val="clear" w:color="auto" w:fill="auto"/>
            <w:noWrap/>
            <w:vAlign w:val="center"/>
          </w:tcPr>
          <w:p w:rsidR="007B271D" w:rsidRPr="00F079A2" w:rsidRDefault="007B271D" w:rsidP="00014E44">
            <w:pPr>
              <w:widowControl/>
              <w:rPr>
                <w:rFonts w:ascii="Calibri" w:hAnsi="Calibri" w:cs="Calibri"/>
                <w:snapToGrid/>
                <w:color w:val="000000"/>
                <w:sz w:val="24"/>
                <w:szCs w:val="24"/>
              </w:rPr>
            </w:pPr>
            <w:r>
              <w:rPr>
                <w:rFonts w:ascii="Calibri" w:hAnsi="Calibri" w:cs="Calibri"/>
                <w:snapToGrid/>
                <w:color w:val="000000"/>
                <w:sz w:val="24"/>
                <w:szCs w:val="24"/>
              </w:rPr>
              <w:t>(</w:t>
            </w:r>
            <w:r>
              <w:rPr>
                <w:rFonts w:ascii="Calibri" w:hAnsi="Calibri" w:cs="Calibri"/>
                <w:sz w:val="24"/>
                <w:szCs w:val="24"/>
              </w:rPr>
              <w:t>–) Exigível Operacional</w:t>
            </w:r>
          </w:p>
        </w:tc>
        <w:tc>
          <w:tcPr>
            <w:tcW w:w="1417" w:type="dxa"/>
            <w:shd w:val="clear" w:color="auto" w:fill="auto"/>
            <w:noWrap/>
            <w:vAlign w:val="center"/>
          </w:tcPr>
          <w:p w:rsidR="007B271D" w:rsidRPr="002E7F4A" w:rsidRDefault="007B271D" w:rsidP="007B271D">
            <w:pPr>
              <w:widowControl/>
              <w:jc w:val="right"/>
              <w:rPr>
                <w:rFonts w:ascii="Calibri" w:hAnsi="Calibri" w:cs="Calibri"/>
                <w:snapToGrid/>
                <w:color w:val="000000"/>
                <w:sz w:val="24"/>
                <w:szCs w:val="24"/>
              </w:rPr>
            </w:pPr>
            <w:r>
              <w:rPr>
                <w:rFonts w:ascii="Calibri" w:hAnsi="Calibri" w:cs="Calibri"/>
                <w:snapToGrid/>
                <w:color w:val="000000"/>
                <w:sz w:val="24"/>
                <w:szCs w:val="24"/>
              </w:rPr>
              <w:t>(18.652)</w:t>
            </w:r>
          </w:p>
        </w:tc>
        <w:tc>
          <w:tcPr>
            <w:tcW w:w="1418" w:type="dxa"/>
            <w:vAlign w:val="center"/>
          </w:tcPr>
          <w:p w:rsidR="007B271D" w:rsidRPr="002E7F4A" w:rsidRDefault="007B271D" w:rsidP="007B271D">
            <w:pPr>
              <w:widowControl/>
              <w:jc w:val="right"/>
              <w:rPr>
                <w:rFonts w:ascii="Calibri" w:hAnsi="Calibri" w:cs="Calibri"/>
                <w:snapToGrid/>
                <w:color w:val="000000"/>
                <w:sz w:val="24"/>
                <w:szCs w:val="24"/>
              </w:rPr>
            </w:pPr>
            <w:r>
              <w:rPr>
                <w:rFonts w:ascii="Calibri" w:hAnsi="Calibri" w:cs="Calibri"/>
                <w:snapToGrid/>
                <w:color w:val="000000"/>
                <w:sz w:val="24"/>
                <w:szCs w:val="24"/>
              </w:rPr>
              <w:t>(10.482)</w:t>
            </w:r>
          </w:p>
        </w:tc>
      </w:tr>
      <w:tr w:rsidR="000372E3" w:rsidRPr="002E7F4A" w:rsidTr="007B271D">
        <w:trPr>
          <w:trHeight w:val="315"/>
        </w:trPr>
        <w:tc>
          <w:tcPr>
            <w:tcW w:w="4253" w:type="dxa"/>
            <w:shd w:val="clear" w:color="auto" w:fill="auto"/>
            <w:noWrap/>
            <w:vAlign w:val="center"/>
          </w:tcPr>
          <w:p w:rsidR="000372E3" w:rsidRPr="00F079A2" w:rsidRDefault="000372E3" w:rsidP="000372E3">
            <w:pPr>
              <w:widowControl/>
              <w:rPr>
                <w:rFonts w:ascii="Calibri" w:hAnsi="Calibri" w:cs="Calibri"/>
                <w:snapToGrid/>
                <w:color w:val="000000"/>
                <w:sz w:val="24"/>
                <w:szCs w:val="24"/>
              </w:rPr>
            </w:pPr>
            <w:r>
              <w:rPr>
                <w:rFonts w:ascii="Calibri" w:hAnsi="Calibri" w:cs="Calibri"/>
                <w:snapToGrid/>
                <w:color w:val="000000"/>
                <w:sz w:val="24"/>
                <w:szCs w:val="24"/>
              </w:rPr>
              <w:t>(</w:t>
            </w:r>
            <w:r>
              <w:rPr>
                <w:rFonts w:ascii="Calibri" w:hAnsi="Calibri" w:cs="Calibri"/>
                <w:sz w:val="24"/>
                <w:szCs w:val="24"/>
              </w:rPr>
              <w:t>–) Exigível Contingencial</w:t>
            </w:r>
          </w:p>
        </w:tc>
        <w:tc>
          <w:tcPr>
            <w:tcW w:w="1417" w:type="dxa"/>
            <w:shd w:val="clear" w:color="auto" w:fill="auto"/>
            <w:noWrap/>
            <w:vAlign w:val="center"/>
          </w:tcPr>
          <w:p w:rsidR="000372E3" w:rsidRPr="002E7F4A" w:rsidRDefault="000372E3"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(15.680)</w:t>
            </w:r>
          </w:p>
        </w:tc>
        <w:tc>
          <w:tcPr>
            <w:tcW w:w="1418" w:type="dxa"/>
            <w:vAlign w:val="center"/>
          </w:tcPr>
          <w:p w:rsidR="000372E3" w:rsidRPr="002E7F4A" w:rsidRDefault="000372E3"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(17.043)</w:t>
            </w:r>
          </w:p>
        </w:tc>
      </w:tr>
      <w:tr w:rsidR="000372E3" w:rsidRPr="002E7F4A" w:rsidTr="007B271D">
        <w:trPr>
          <w:trHeight w:val="315"/>
        </w:trPr>
        <w:tc>
          <w:tcPr>
            <w:tcW w:w="4253" w:type="dxa"/>
            <w:shd w:val="clear" w:color="auto" w:fill="auto"/>
            <w:noWrap/>
            <w:vAlign w:val="center"/>
          </w:tcPr>
          <w:p w:rsidR="000372E3" w:rsidRDefault="000372E3" w:rsidP="000372E3">
            <w:pPr>
              <w:widowControl/>
              <w:rPr>
                <w:rFonts w:ascii="Calibri" w:hAnsi="Calibri" w:cs="Calibri"/>
                <w:snapToGrid/>
                <w:color w:val="000000"/>
                <w:sz w:val="24"/>
                <w:szCs w:val="24"/>
              </w:rPr>
            </w:pPr>
            <w:r>
              <w:rPr>
                <w:rFonts w:ascii="Calibri" w:hAnsi="Calibri" w:cs="Calibri"/>
                <w:snapToGrid/>
                <w:color w:val="000000"/>
                <w:sz w:val="24"/>
                <w:szCs w:val="24"/>
              </w:rPr>
              <w:t>(</w:t>
            </w:r>
            <w:r>
              <w:rPr>
                <w:rFonts w:ascii="Calibri" w:hAnsi="Calibri" w:cs="Calibri"/>
                <w:sz w:val="24"/>
                <w:szCs w:val="24"/>
              </w:rPr>
              <w:t xml:space="preserve">–) Fundo </w:t>
            </w:r>
            <w:proofErr w:type="spellStart"/>
            <w:r>
              <w:rPr>
                <w:rFonts w:ascii="Calibri" w:hAnsi="Calibri" w:cs="Calibri"/>
                <w:sz w:val="24"/>
                <w:szCs w:val="24"/>
              </w:rPr>
              <w:t>Previdencial</w:t>
            </w:r>
            <w:proofErr w:type="spellEnd"/>
          </w:p>
        </w:tc>
        <w:tc>
          <w:tcPr>
            <w:tcW w:w="1417" w:type="dxa"/>
            <w:shd w:val="clear" w:color="auto" w:fill="auto"/>
            <w:noWrap/>
            <w:vAlign w:val="center"/>
          </w:tcPr>
          <w:p w:rsidR="000372E3" w:rsidRPr="002E7F4A" w:rsidRDefault="000372E3"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(40.348)</w:t>
            </w:r>
          </w:p>
        </w:tc>
        <w:tc>
          <w:tcPr>
            <w:tcW w:w="1418" w:type="dxa"/>
            <w:vAlign w:val="center"/>
          </w:tcPr>
          <w:p w:rsidR="000372E3" w:rsidRDefault="000372E3"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(43.410)</w:t>
            </w:r>
          </w:p>
        </w:tc>
      </w:tr>
      <w:tr w:rsidR="000372E3" w:rsidTr="007B271D">
        <w:trPr>
          <w:trHeight w:val="315"/>
        </w:trPr>
        <w:tc>
          <w:tcPr>
            <w:tcW w:w="4253" w:type="dxa"/>
            <w:shd w:val="clear" w:color="auto" w:fill="auto"/>
            <w:noWrap/>
            <w:vAlign w:val="center"/>
          </w:tcPr>
          <w:p w:rsidR="000372E3" w:rsidRPr="00F079A2" w:rsidRDefault="000372E3" w:rsidP="000372E3">
            <w:pPr>
              <w:widowControl/>
              <w:rPr>
                <w:rFonts w:ascii="Calibri" w:hAnsi="Calibri" w:cs="Calibri"/>
                <w:snapToGrid/>
                <w:color w:val="000000"/>
                <w:sz w:val="24"/>
                <w:szCs w:val="24"/>
              </w:rPr>
            </w:pPr>
            <w:r>
              <w:rPr>
                <w:rFonts w:ascii="Calibri" w:hAnsi="Calibri" w:cs="Calibri"/>
                <w:snapToGrid/>
                <w:color w:val="000000"/>
                <w:sz w:val="24"/>
                <w:szCs w:val="24"/>
              </w:rPr>
              <w:t>(</w:t>
            </w:r>
            <w:r>
              <w:rPr>
                <w:rFonts w:ascii="Calibri" w:hAnsi="Calibri" w:cs="Calibri"/>
                <w:sz w:val="24"/>
                <w:szCs w:val="24"/>
              </w:rPr>
              <w:t>–) Fundo de Investimento</w:t>
            </w:r>
          </w:p>
        </w:tc>
        <w:tc>
          <w:tcPr>
            <w:tcW w:w="1417" w:type="dxa"/>
            <w:shd w:val="clear" w:color="auto" w:fill="auto"/>
            <w:noWrap/>
            <w:vAlign w:val="center"/>
          </w:tcPr>
          <w:p w:rsidR="000372E3" w:rsidRPr="002E7F4A" w:rsidRDefault="000372E3"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(6.798)</w:t>
            </w:r>
          </w:p>
        </w:tc>
        <w:tc>
          <w:tcPr>
            <w:tcW w:w="1418" w:type="dxa"/>
            <w:vAlign w:val="center"/>
          </w:tcPr>
          <w:p w:rsidR="000372E3" w:rsidRDefault="000372E3"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(6.137)</w:t>
            </w:r>
          </w:p>
        </w:tc>
      </w:tr>
      <w:tr w:rsidR="000372E3" w:rsidTr="007B271D">
        <w:trPr>
          <w:trHeight w:val="315"/>
        </w:trPr>
        <w:tc>
          <w:tcPr>
            <w:tcW w:w="4253" w:type="dxa"/>
            <w:shd w:val="clear" w:color="auto" w:fill="auto"/>
            <w:noWrap/>
            <w:vAlign w:val="center"/>
          </w:tcPr>
          <w:p w:rsidR="000372E3" w:rsidRPr="00F079A2" w:rsidRDefault="000372E3" w:rsidP="000372E3">
            <w:pPr>
              <w:widowControl/>
              <w:rPr>
                <w:rFonts w:ascii="Calibri" w:hAnsi="Calibri" w:cs="Calibri"/>
                <w:snapToGrid/>
                <w:color w:val="000000"/>
                <w:sz w:val="24"/>
                <w:szCs w:val="24"/>
              </w:rPr>
            </w:pPr>
            <w:r>
              <w:rPr>
                <w:rFonts w:ascii="Calibri" w:hAnsi="Calibri" w:cs="Calibri"/>
                <w:snapToGrid/>
                <w:color w:val="000000"/>
                <w:sz w:val="24"/>
                <w:szCs w:val="24"/>
              </w:rPr>
              <w:t>(</w:t>
            </w:r>
            <w:r>
              <w:rPr>
                <w:rFonts w:ascii="Calibri" w:hAnsi="Calibri" w:cs="Calibri"/>
                <w:sz w:val="24"/>
                <w:szCs w:val="24"/>
              </w:rPr>
              <w:t>–) Fundo Administrativo</w:t>
            </w:r>
          </w:p>
        </w:tc>
        <w:tc>
          <w:tcPr>
            <w:tcW w:w="1417" w:type="dxa"/>
            <w:shd w:val="clear" w:color="auto" w:fill="auto"/>
            <w:noWrap/>
            <w:vAlign w:val="center"/>
          </w:tcPr>
          <w:p w:rsidR="000372E3" w:rsidRPr="002E7F4A" w:rsidRDefault="000372E3"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(69.664)</w:t>
            </w:r>
          </w:p>
        </w:tc>
        <w:tc>
          <w:tcPr>
            <w:tcW w:w="1418" w:type="dxa"/>
            <w:vAlign w:val="center"/>
          </w:tcPr>
          <w:p w:rsidR="000372E3" w:rsidRDefault="000372E3"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(84.635)</w:t>
            </w:r>
          </w:p>
        </w:tc>
      </w:tr>
      <w:tr w:rsidR="000372E3" w:rsidTr="007B271D">
        <w:trPr>
          <w:trHeight w:val="315"/>
        </w:trPr>
        <w:tc>
          <w:tcPr>
            <w:tcW w:w="4253" w:type="dxa"/>
            <w:shd w:val="clear" w:color="auto" w:fill="auto"/>
            <w:noWrap/>
            <w:vAlign w:val="center"/>
          </w:tcPr>
          <w:p w:rsidR="000372E3" w:rsidRPr="00F079A2" w:rsidRDefault="000372E3" w:rsidP="000372E3">
            <w:pPr>
              <w:widowControl/>
              <w:rPr>
                <w:rFonts w:ascii="Calibri" w:hAnsi="Calibri" w:cs="Calibri"/>
                <w:snapToGrid/>
                <w:color w:val="000000"/>
                <w:sz w:val="24"/>
                <w:szCs w:val="24"/>
              </w:rPr>
            </w:pPr>
            <w:r>
              <w:rPr>
                <w:rFonts w:ascii="Calibri" w:hAnsi="Calibri" w:cs="Calibri"/>
                <w:snapToGrid/>
                <w:color w:val="000000"/>
                <w:sz w:val="24"/>
                <w:szCs w:val="24"/>
              </w:rPr>
              <w:t>Valor Justo dos Ativos</w:t>
            </w:r>
          </w:p>
        </w:tc>
        <w:tc>
          <w:tcPr>
            <w:tcW w:w="1417" w:type="dxa"/>
            <w:shd w:val="clear" w:color="auto" w:fill="auto"/>
            <w:noWrap/>
            <w:vAlign w:val="center"/>
          </w:tcPr>
          <w:p w:rsidR="000372E3" w:rsidRPr="002E7F4A" w:rsidRDefault="000372E3"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204.558</w:t>
            </w:r>
          </w:p>
        </w:tc>
        <w:tc>
          <w:tcPr>
            <w:tcW w:w="1418" w:type="dxa"/>
            <w:vAlign w:val="center"/>
          </w:tcPr>
          <w:p w:rsidR="000372E3" w:rsidRDefault="000372E3"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333.641</w:t>
            </w:r>
          </w:p>
        </w:tc>
      </w:tr>
      <w:tr w:rsidR="000372E3" w:rsidTr="007B271D">
        <w:trPr>
          <w:trHeight w:val="315"/>
        </w:trPr>
        <w:tc>
          <w:tcPr>
            <w:tcW w:w="4253" w:type="dxa"/>
            <w:shd w:val="clear" w:color="auto" w:fill="auto"/>
            <w:noWrap/>
            <w:vAlign w:val="center"/>
          </w:tcPr>
          <w:p w:rsidR="000372E3" w:rsidRPr="00F079A2" w:rsidRDefault="000372E3" w:rsidP="000372E3">
            <w:pPr>
              <w:widowControl/>
              <w:rPr>
                <w:rFonts w:ascii="Calibri" w:hAnsi="Calibri" w:cs="Calibri"/>
                <w:snapToGrid/>
                <w:color w:val="000000"/>
                <w:sz w:val="24"/>
                <w:szCs w:val="24"/>
              </w:rPr>
            </w:pPr>
            <w:r>
              <w:rPr>
                <w:rFonts w:ascii="Calibri" w:hAnsi="Calibri" w:cs="Calibri"/>
                <w:snapToGrid/>
                <w:color w:val="000000"/>
                <w:sz w:val="24"/>
                <w:szCs w:val="24"/>
              </w:rPr>
              <w:t>Percentual de Rateio</w:t>
            </w:r>
          </w:p>
        </w:tc>
        <w:tc>
          <w:tcPr>
            <w:tcW w:w="1417" w:type="dxa"/>
            <w:shd w:val="clear" w:color="auto" w:fill="auto"/>
            <w:noWrap/>
            <w:vAlign w:val="center"/>
          </w:tcPr>
          <w:p w:rsidR="000372E3" w:rsidRPr="002E7F4A" w:rsidRDefault="000372E3"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18,208%</w:t>
            </w:r>
          </w:p>
        </w:tc>
        <w:tc>
          <w:tcPr>
            <w:tcW w:w="1418" w:type="dxa"/>
            <w:vAlign w:val="center"/>
          </w:tcPr>
          <w:p w:rsidR="000372E3" w:rsidRDefault="000372E3"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18,208%</w:t>
            </w:r>
          </w:p>
        </w:tc>
      </w:tr>
      <w:tr w:rsidR="005E0B68" w:rsidTr="007B271D">
        <w:trPr>
          <w:trHeight w:val="315"/>
        </w:trPr>
        <w:tc>
          <w:tcPr>
            <w:tcW w:w="4253" w:type="dxa"/>
            <w:shd w:val="clear" w:color="auto" w:fill="auto"/>
            <w:noWrap/>
            <w:vAlign w:val="center"/>
          </w:tcPr>
          <w:p w:rsidR="005E0B68" w:rsidRDefault="005E0B68" w:rsidP="000372E3">
            <w:pPr>
              <w:widowControl/>
              <w:rPr>
                <w:rFonts w:ascii="Calibri" w:hAnsi="Calibri" w:cs="Calibri"/>
                <w:snapToGrid/>
                <w:color w:val="000000"/>
                <w:sz w:val="24"/>
                <w:szCs w:val="24"/>
              </w:rPr>
            </w:pPr>
            <w:r>
              <w:rPr>
                <w:rFonts w:ascii="Calibri" w:hAnsi="Calibri" w:cs="Calibri"/>
                <w:snapToGrid/>
                <w:color w:val="000000"/>
                <w:sz w:val="24"/>
                <w:szCs w:val="24"/>
              </w:rPr>
              <w:t>Valor Justo dos Ativos</w:t>
            </w:r>
          </w:p>
        </w:tc>
        <w:tc>
          <w:tcPr>
            <w:tcW w:w="1417" w:type="dxa"/>
            <w:shd w:val="clear" w:color="auto" w:fill="auto"/>
            <w:noWrap/>
            <w:vAlign w:val="center"/>
          </w:tcPr>
          <w:p w:rsidR="005E0B68" w:rsidRDefault="005E0B68"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37.247</w:t>
            </w:r>
          </w:p>
        </w:tc>
        <w:tc>
          <w:tcPr>
            <w:tcW w:w="1418" w:type="dxa"/>
            <w:vAlign w:val="center"/>
          </w:tcPr>
          <w:p w:rsidR="005E0B68" w:rsidRDefault="005E0B68"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60.751</w:t>
            </w:r>
          </w:p>
        </w:tc>
      </w:tr>
    </w:tbl>
    <w:p w:rsidR="007B271D" w:rsidRDefault="007B271D" w:rsidP="00E70A67">
      <w:pPr>
        <w:jc w:val="both"/>
        <w:rPr>
          <w:rFonts w:ascii="Calibri" w:hAnsi="Calibri" w:cs="Calibri"/>
          <w:sz w:val="24"/>
          <w:szCs w:val="24"/>
        </w:rPr>
      </w:pPr>
    </w:p>
    <w:p w:rsidR="00643ADC" w:rsidRDefault="00643ADC" w:rsidP="00643ADC">
      <w:pPr>
        <w:jc w:val="both"/>
        <w:rPr>
          <w:rFonts w:ascii="Calibri" w:hAnsi="Calibri" w:cs="Calibri"/>
          <w:sz w:val="24"/>
          <w:szCs w:val="24"/>
        </w:rPr>
      </w:pPr>
      <w:r>
        <w:rPr>
          <w:rFonts w:ascii="Calibri" w:hAnsi="Calibri" w:cs="Calibri"/>
          <w:sz w:val="24"/>
          <w:szCs w:val="24"/>
        </w:rPr>
        <w:t>Conciliação da Obrigação de Benefício Definido – Segregado:</w:t>
      </w:r>
    </w:p>
    <w:p w:rsidR="00D414A4" w:rsidRDefault="00D414A4" w:rsidP="00643ADC">
      <w:pPr>
        <w:jc w:val="both"/>
        <w:rPr>
          <w:rFonts w:ascii="Calibri" w:hAnsi="Calibri" w:cs="Calibri"/>
          <w:sz w:val="24"/>
          <w:szCs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7"/>
        <w:gridCol w:w="1772"/>
        <w:gridCol w:w="1772"/>
      </w:tblGrid>
      <w:tr w:rsidR="00643ADC" w:rsidRPr="002E7F4A" w:rsidTr="00643ADC">
        <w:trPr>
          <w:trHeight w:val="315"/>
        </w:trPr>
        <w:tc>
          <w:tcPr>
            <w:tcW w:w="5387" w:type="dxa"/>
            <w:shd w:val="clear" w:color="auto" w:fill="auto"/>
            <w:noWrap/>
            <w:vAlign w:val="bottom"/>
          </w:tcPr>
          <w:p w:rsidR="00643ADC" w:rsidRPr="002E7F4A" w:rsidRDefault="00643ADC" w:rsidP="00FC72C3">
            <w:pPr>
              <w:widowControl/>
              <w:rPr>
                <w:rFonts w:ascii="Calibri" w:hAnsi="Calibri" w:cs="Calibri"/>
                <w:snapToGrid/>
                <w:color w:val="000000"/>
                <w:sz w:val="24"/>
                <w:szCs w:val="24"/>
              </w:rPr>
            </w:pPr>
          </w:p>
        </w:tc>
        <w:tc>
          <w:tcPr>
            <w:tcW w:w="1772" w:type="dxa"/>
            <w:shd w:val="clear" w:color="auto" w:fill="auto"/>
            <w:noWrap/>
            <w:vAlign w:val="bottom"/>
            <w:hideMark/>
          </w:tcPr>
          <w:p w:rsidR="00643ADC" w:rsidRPr="002E7F4A" w:rsidRDefault="00643ADC" w:rsidP="00FC72C3">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Ativo (BAC)</w:t>
            </w:r>
          </w:p>
        </w:tc>
        <w:tc>
          <w:tcPr>
            <w:tcW w:w="1772" w:type="dxa"/>
            <w:shd w:val="clear" w:color="auto" w:fill="auto"/>
            <w:noWrap/>
            <w:vAlign w:val="bottom"/>
            <w:hideMark/>
          </w:tcPr>
          <w:p w:rsidR="00643ADC" w:rsidRPr="002E7F4A" w:rsidRDefault="00643ADC" w:rsidP="00FC72C3">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Inativo (BC)</w:t>
            </w:r>
          </w:p>
        </w:tc>
      </w:tr>
      <w:tr w:rsidR="00643ADC" w:rsidRPr="002E7F4A" w:rsidTr="00643ADC">
        <w:trPr>
          <w:trHeight w:val="315"/>
        </w:trPr>
        <w:tc>
          <w:tcPr>
            <w:tcW w:w="5387" w:type="dxa"/>
            <w:shd w:val="clear" w:color="auto" w:fill="auto"/>
            <w:noWrap/>
            <w:vAlign w:val="bottom"/>
          </w:tcPr>
          <w:p w:rsidR="00643ADC" w:rsidRPr="00F079A2" w:rsidRDefault="00643ADC" w:rsidP="00FC72C3">
            <w:pPr>
              <w:widowControl/>
              <w:rPr>
                <w:rFonts w:ascii="Calibri" w:hAnsi="Calibri" w:cs="Calibri"/>
                <w:snapToGrid/>
                <w:color w:val="000000"/>
                <w:sz w:val="24"/>
                <w:szCs w:val="24"/>
              </w:rPr>
            </w:pPr>
            <w:r>
              <w:rPr>
                <w:rFonts w:ascii="Calibri" w:hAnsi="Calibri" w:cs="Calibri"/>
                <w:snapToGrid/>
                <w:color w:val="000000"/>
                <w:sz w:val="24"/>
                <w:szCs w:val="24"/>
              </w:rPr>
              <w:t>Obrigação de benefício definido no início do ano</w:t>
            </w:r>
          </w:p>
        </w:tc>
        <w:tc>
          <w:tcPr>
            <w:tcW w:w="1772" w:type="dxa"/>
            <w:shd w:val="clear" w:color="auto" w:fill="auto"/>
            <w:noWrap/>
            <w:vAlign w:val="bottom"/>
          </w:tcPr>
          <w:p w:rsidR="00643ADC" w:rsidRPr="002E7F4A" w:rsidRDefault="00643ADC"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360.695</w:t>
            </w:r>
          </w:p>
        </w:tc>
        <w:tc>
          <w:tcPr>
            <w:tcW w:w="1772" w:type="dxa"/>
            <w:shd w:val="clear" w:color="auto" w:fill="auto"/>
            <w:noWrap/>
            <w:vAlign w:val="bottom"/>
          </w:tcPr>
          <w:p w:rsidR="00643ADC" w:rsidRPr="002E7F4A" w:rsidRDefault="00643ADC"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357.400</w:t>
            </w:r>
          </w:p>
        </w:tc>
      </w:tr>
      <w:tr w:rsidR="00643ADC" w:rsidRPr="002E7F4A" w:rsidTr="00643ADC">
        <w:trPr>
          <w:trHeight w:val="315"/>
        </w:trPr>
        <w:tc>
          <w:tcPr>
            <w:tcW w:w="5387" w:type="dxa"/>
            <w:shd w:val="clear" w:color="auto" w:fill="auto"/>
            <w:noWrap/>
            <w:vAlign w:val="bottom"/>
          </w:tcPr>
          <w:p w:rsidR="00643ADC" w:rsidRPr="00F079A2" w:rsidRDefault="00643ADC" w:rsidP="00FC72C3">
            <w:pPr>
              <w:widowControl/>
              <w:rPr>
                <w:rFonts w:ascii="Calibri" w:hAnsi="Calibri" w:cs="Calibri"/>
                <w:snapToGrid/>
                <w:color w:val="000000"/>
                <w:sz w:val="24"/>
                <w:szCs w:val="24"/>
              </w:rPr>
            </w:pPr>
            <w:r>
              <w:rPr>
                <w:rFonts w:ascii="Calibri" w:hAnsi="Calibri" w:cs="Calibri"/>
                <w:snapToGrid/>
                <w:color w:val="000000"/>
                <w:sz w:val="24"/>
                <w:szCs w:val="24"/>
              </w:rPr>
              <w:t>Custo do serviço corrente (parte patronal)</w:t>
            </w:r>
          </w:p>
        </w:tc>
        <w:tc>
          <w:tcPr>
            <w:tcW w:w="1772" w:type="dxa"/>
            <w:shd w:val="clear" w:color="auto" w:fill="auto"/>
            <w:noWrap/>
            <w:vAlign w:val="bottom"/>
          </w:tcPr>
          <w:p w:rsidR="00643ADC" w:rsidRPr="002E7F4A" w:rsidRDefault="00643ADC"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(3.675)</w:t>
            </w:r>
          </w:p>
        </w:tc>
        <w:tc>
          <w:tcPr>
            <w:tcW w:w="1772" w:type="dxa"/>
            <w:shd w:val="clear" w:color="auto" w:fill="auto"/>
            <w:noWrap/>
            <w:vAlign w:val="bottom"/>
          </w:tcPr>
          <w:p w:rsidR="00643ADC" w:rsidRPr="002E7F4A" w:rsidRDefault="00D414A4"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643ADC" w:rsidRPr="002E7F4A" w:rsidTr="00643ADC">
        <w:trPr>
          <w:trHeight w:val="315"/>
        </w:trPr>
        <w:tc>
          <w:tcPr>
            <w:tcW w:w="5387" w:type="dxa"/>
            <w:shd w:val="clear" w:color="auto" w:fill="auto"/>
            <w:noWrap/>
            <w:vAlign w:val="bottom"/>
          </w:tcPr>
          <w:p w:rsidR="00643ADC" w:rsidRDefault="00643ADC" w:rsidP="00FC72C3">
            <w:pPr>
              <w:widowControl/>
              <w:rPr>
                <w:rFonts w:ascii="Calibri" w:hAnsi="Calibri" w:cs="Calibri"/>
                <w:snapToGrid/>
                <w:color w:val="000000"/>
                <w:sz w:val="24"/>
                <w:szCs w:val="24"/>
              </w:rPr>
            </w:pPr>
            <w:r>
              <w:rPr>
                <w:rFonts w:ascii="Calibri" w:hAnsi="Calibri" w:cs="Calibri"/>
                <w:snapToGrid/>
                <w:color w:val="000000"/>
                <w:sz w:val="24"/>
                <w:szCs w:val="24"/>
              </w:rPr>
              <w:t>Custo dos juros</w:t>
            </w:r>
          </w:p>
        </w:tc>
        <w:tc>
          <w:tcPr>
            <w:tcW w:w="1772" w:type="dxa"/>
            <w:shd w:val="clear" w:color="auto" w:fill="auto"/>
            <w:noWrap/>
            <w:vAlign w:val="bottom"/>
          </w:tcPr>
          <w:p w:rsidR="00643ADC" w:rsidRPr="002E7F4A" w:rsidRDefault="00643ADC"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32.809</w:t>
            </w:r>
          </w:p>
        </w:tc>
        <w:tc>
          <w:tcPr>
            <w:tcW w:w="1772" w:type="dxa"/>
            <w:shd w:val="clear" w:color="auto" w:fill="auto"/>
            <w:noWrap/>
            <w:vAlign w:val="bottom"/>
          </w:tcPr>
          <w:p w:rsidR="00643ADC" w:rsidRPr="002E7F4A" w:rsidRDefault="00643ADC"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30.954</w:t>
            </w:r>
          </w:p>
        </w:tc>
      </w:tr>
      <w:tr w:rsidR="00643ADC" w:rsidRPr="002E7F4A" w:rsidTr="00643ADC">
        <w:trPr>
          <w:trHeight w:val="315"/>
        </w:trPr>
        <w:tc>
          <w:tcPr>
            <w:tcW w:w="5387" w:type="dxa"/>
            <w:shd w:val="clear" w:color="auto" w:fill="auto"/>
            <w:noWrap/>
            <w:vAlign w:val="bottom"/>
          </w:tcPr>
          <w:p w:rsidR="00643ADC" w:rsidRPr="00F079A2" w:rsidRDefault="00643ADC" w:rsidP="00FC72C3">
            <w:pPr>
              <w:widowControl/>
              <w:rPr>
                <w:rFonts w:ascii="Calibri" w:hAnsi="Calibri" w:cs="Calibri"/>
                <w:snapToGrid/>
                <w:color w:val="000000"/>
                <w:sz w:val="24"/>
                <w:szCs w:val="24"/>
              </w:rPr>
            </w:pPr>
            <w:r>
              <w:rPr>
                <w:rFonts w:ascii="Calibri" w:hAnsi="Calibri" w:cs="Calibri"/>
                <w:snapToGrid/>
                <w:color w:val="000000"/>
                <w:sz w:val="24"/>
                <w:szCs w:val="24"/>
              </w:rPr>
              <w:t>Contribuições de participantes do plano</w:t>
            </w:r>
          </w:p>
        </w:tc>
        <w:tc>
          <w:tcPr>
            <w:tcW w:w="1772" w:type="dxa"/>
            <w:shd w:val="clear" w:color="auto" w:fill="auto"/>
            <w:noWrap/>
            <w:vAlign w:val="bottom"/>
          </w:tcPr>
          <w:p w:rsidR="00643ADC" w:rsidRPr="002E7F4A" w:rsidRDefault="00643ADC"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4.948</w:t>
            </w:r>
          </w:p>
        </w:tc>
        <w:tc>
          <w:tcPr>
            <w:tcW w:w="1772" w:type="dxa"/>
            <w:shd w:val="clear" w:color="auto" w:fill="auto"/>
            <w:noWrap/>
            <w:vAlign w:val="bottom"/>
          </w:tcPr>
          <w:p w:rsidR="00643ADC" w:rsidRPr="002E7F4A" w:rsidRDefault="00D414A4"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643ADC" w:rsidRPr="002E7F4A" w:rsidTr="00643ADC">
        <w:trPr>
          <w:trHeight w:val="315"/>
        </w:trPr>
        <w:tc>
          <w:tcPr>
            <w:tcW w:w="5387" w:type="dxa"/>
            <w:shd w:val="clear" w:color="auto" w:fill="auto"/>
            <w:noWrap/>
            <w:vAlign w:val="bottom"/>
          </w:tcPr>
          <w:p w:rsidR="00643ADC" w:rsidRPr="00F079A2" w:rsidRDefault="00643ADC" w:rsidP="00FC72C3">
            <w:pPr>
              <w:widowControl/>
              <w:rPr>
                <w:rFonts w:ascii="Calibri" w:hAnsi="Calibri" w:cs="Calibri"/>
                <w:snapToGrid/>
                <w:color w:val="000000"/>
                <w:sz w:val="24"/>
                <w:szCs w:val="24"/>
              </w:rPr>
            </w:pPr>
            <w:r>
              <w:rPr>
                <w:rFonts w:ascii="Calibri" w:hAnsi="Calibri" w:cs="Calibri"/>
                <w:snapToGrid/>
                <w:color w:val="000000"/>
                <w:sz w:val="24"/>
                <w:szCs w:val="24"/>
              </w:rPr>
              <w:t>Benefícios pagos</w:t>
            </w:r>
          </w:p>
        </w:tc>
        <w:tc>
          <w:tcPr>
            <w:tcW w:w="1772" w:type="dxa"/>
            <w:shd w:val="clear" w:color="auto" w:fill="auto"/>
            <w:noWrap/>
            <w:vAlign w:val="bottom"/>
          </w:tcPr>
          <w:p w:rsidR="00643ADC" w:rsidRPr="002E7F4A" w:rsidRDefault="00D414A4"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772" w:type="dxa"/>
            <w:shd w:val="clear" w:color="auto" w:fill="auto"/>
            <w:noWrap/>
            <w:vAlign w:val="bottom"/>
          </w:tcPr>
          <w:p w:rsidR="00643ADC" w:rsidRDefault="00643ADC"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(34.935)</w:t>
            </w:r>
          </w:p>
        </w:tc>
      </w:tr>
      <w:tr w:rsidR="00643ADC" w:rsidRPr="002E7F4A" w:rsidTr="00643ADC">
        <w:trPr>
          <w:trHeight w:val="315"/>
        </w:trPr>
        <w:tc>
          <w:tcPr>
            <w:tcW w:w="5387" w:type="dxa"/>
            <w:shd w:val="clear" w:color="auto" w:fill="auto"/>
            <w:noWrap/>
            <w:vAlign w:val="bottom"/>
          </w:tcPr>
          <w:p w:rsidR="00643ADC" w:rsidRPr="00F079A2" w:rsidRDefault="00643ADC" w:rsidP="00FC72C3">
            <w:pPr>
              <w:widowControl/>
              <w:rPr>
                <w:rFonts w:ascii="Calibri" w:hAnsi="Calibri" w:cs="Calibri"/>
                <w:snapToGrid/>
                <w:color w:val="000000"/>
                <w:sz w:val="24"/>
                <w:szCs w:val="24"/>
              </w:rPr>
            </w:pPr>
            <w:r>
              <w:rPr>
                <w:rFonts w:ascii="Calibri" w:hAnsi="Calibri" w:cs="Calibri"/>
                <w:snapToGrid/>
                <w:color w:val="000000"/>
                <w:sz w:val="24"/>
                <w:szCs w:val="24"/>
              </w:rPr>
              <w:t>(Ganho) / perda atuarial</w:t>
            </w:r>
          </w:p>
        </w:tc>
        <w:tc>
          <w:tcPr>
            <w:tcW w:w="1772" w:type="dxa"/>
            <w:shd w:val="clear" w:color="auto" w:fill="auto"/>
            <w:noWrap/>
            <w:vAlign w:val="bottom"/>
          </w:tcPr>
          <w:p w:rsidR="00643ADC" w:rsidRPr="002E7F4A" w:rsidRDefault="00643ADC"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(164.916)</w:t>
            </w:r>
          </w:p>
        </w:tc>
        <w:tc>
          <w:tcPr>
            <w:tcW w:w="1772" w:type="dxa"/>
            <w:shd w:val="clear" w:color="auto" w:fill="auto"/>
            <w:noWrap/>
            <w:vAlign w:val="bottom"/>
          </w:tcPr>
          <w:p w:rsidR="00643ADC" w:rsidRDefault="00643ADC"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(58.728)</w:t>
            </w:r>
          </w:p>
        </w:tc>
      </w:tr>
      <w:tr w:rsidR="00643ADC" w:rsidRPr="002E7F4A" w:rsidTr="00643ADC">
        <w:trPr>
          <w:trHeight w:val="315"/>
        </w:trPr>
        <w:tc>
          <w:tcPr>
            <w:tcW w:w="5387" w:type="dxa"/>
            <w:shd w:val="clear" w:color="auto" w:fill="auto"/>
            <w:noWrap/>
            <w:vAlign w:val="bottom"/>
          </w:tcPr>
          <w:p w:rsidR="00643ADC" w:rsidRPr="00F079A2" w:rsidRDefault="00643ADC" w:rsidP="00643ADC">
            <w:pPr>
              <w:widowControl/>
              <w:ind w:firstLine="356"/>
              <w:rPr>
                <w:rFonts w:ascii="Calibri" w:hAnsi="Calibri" w:cs="Calibri"/>
                <w:snapToGrid/>
                <w:color w:val="000000"/>
                <w:sz w:val="24"/>
                <w:szCs w:val="24"/>
              </w:rPr>
            </w:pPr>
            <w:r>
              <w:rPr>
                <w:rFonts w:ascii="Calibri" w:hAnsi="Calibri" w:cs="Calibri"/>
                <w:snapToGrid/>
                <w:color w:val="000000"/>
                <w:sz w:val="24"/>
                <w:szCs w:val="24"/>
              </w:rPr>
              <w:t>(Ganho) / perda atuarial – mudança de premissas</w:t>
            </w:r>
          </w:p>
        </w:tc>
        <w:tc>
          <w:tcPr>
            <w:tcW w:w="1772" w:type="dxa"/>
            <w:shd w:val="clear" w:color="auto" w:fill="auto"/>
            <w:noWrap/>
            <w:vAlign w:val="bottom"/>
          </w:tcPr>
          <w:p w:rsidR="00643ADC" w:rsidRPr="002E7F4A" w:rsidRDefault="00643ADC"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55.173</w:t>
            </w:r>
          </w:p>
        </w:tc>
        <w:tc>
          <w:tcPr>
            <w:tcW w:w="1772" w:type="dxa"/>
            <w:shd w:val="clear" w:color="auto" w:fill="auto"/>
            <w:noWrap/>
            <w:vAlign w:val="bottom"/>
          </w:tcPr>
          <w:p w:rsidR="00643ADC" w:rsidRDefault="00643ADC"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54.031</w:t>
            </w:r>
          </w:p>
        </w:tc>
      </w:tr>
      <w:tr w:rsidR="00643ADC" w:rsidRPr="002E7F4A" w:rsidTr="00643ADC">
        <w:trPr>
          <w:trHeight w:val="315"/>
        </w:trPr>
        <w:tc>
          <w:tcPr>
            <w:tcW w:w="5387" w:type="dxa"/>
            <w:shd w:val="clear" w:color="auto" w:fill="auto"/>
            <w:noWrap/>
            <w:vAlign w:val="bottom"/>
          </w:tcPr>
          <w:p w:rsidR="00643ADC" w:rsidRPr="00F079A2" w:rsidRDefault="00643ADC" w:rsidP="00643ADC">
            <w:pPr>
              <w:widowControl/>
              <w:ind w:firstLine="356"/>
              <w:rPr>
                <w:rFonts w:ascii="Calibri" w:hAnsi="Calibri" w:cs="Calibri"/>
                <w:snapToGrid/>
                <w:color w:val="000000"/>
                <w:sz w:val="24"/>
                <w:szCs w:val="24"/>
              </w:rPr>
            </w:pPr>
            <w:r>
              <w:rPr>
                <w:rFonts w:ascii="Calibri" w:hAnsi="Calibri" w:cs="Calibri"/>
                <w:snapToGrid/>
                <w:color w:val="000000"/>
                <w:sz w:val="24"/>
                <w:szCs w:val="24"/>
              </w:rPr>
              <w:t>(Ganho) / perda atuarial – ajuste de experiência</w:t>
            </w:r>
          </w:p>
        </w:tc>
        <w:tc>
          <w:tcPr>
            <w:tcW w:w="1772" w:type="dxa"/>
            <w:shd w:val="clear" w:color="auto" w:fill="auto"/>
            <w:noWrap/>
            <w:vAlign w:val="bottom"/>
          </w:tcPr>
          <w:p w:rsidR="00643ADC" w:rsidRPr="002E7F4A" w:rsidRDefault="00643ADC"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(51.263)</w:t>
            </w:r>
          </w:p>
        </w:tc>
        <w:tc>
          <w:tcPr>
            <w:tcW w:w="1772" w:type="dxa"/>
            <w:shd w:val="clear" w:color="auto" w:fill="auto"/>
            <w:noWrap/>
            <w:vAlign w:val="bottom"/>
          </w:tcPr>
          <w:p w:rsidR="00643ADC" w:rsidRDefault="00643ADC"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7.463</w:t>
            </w:r>
          </w:p>
        </w:tc>
      </w:tr>
      <w:tr w:rsidR="00643ADC" w:rsidRPr="002E7F4A" w:rsidTr="00643ADC">
        <w:trPr>
          <w:trHeight w:val="315"/>
        </w:trPr>
        <w:tc>
          <w:tcPr>
            <w:tcW w:w="5387" w:type="dxa"/>
            <w:shd w:val="clear" w:color="auto" w:fill="auto"/>
            <w:noWrap/>
            <w:vAlign w:val="bottom"/>
          </w:tcPr>
          <w:p w:rsidR="00643ADC" w:rsidRPr="00F079A2" w:rsidRDefault="00643ADC" w:rsidP="00643ADC">
            <w:pPr>
              <w:widowControl/>
              <w:ind w:firstLine="356"/>
              <w:rPr>
                <w:rFonts w:ascii="Calibri" w:hAnsi="Calibri" w:cs="Calibri"/>
                <w:snapToGrid/>
                <w:color w:val="000000"/>
                <w:sz w:val="24"/>
                <w:szCs w:val="24"/>
              </w:rPr>
            </w:pPr>
            <w:r>
              <w:rPr>
                <w:rFonts w:ascii="Calibri" w:hAnsi="Calibri" w:cs="Calibri"/>
                <w:snapToGrid/>
                <w:color w:val="000000"/>
                <w:sz w:val="24"/>
                <w:szCs w:val="24"/>
              </w:rPr>
              <w:t>(Ganho) / perda atuarial – redução de direitos</w:t>
            </w:r>
          </w:p>
        </w:tc>
        <w:tc>
          <w:tcPr>
            <w:tcW w:w="1772" w:type="dxa"/>
            <w:shd w:val="clear" w:color="auto" w:fill="auto"/>
            <w:noWrap/>
            <w:vAlign w:val="bottom"/>
          </w:tcPr>
          <w:p w:rsidR="00643ADC" w:rsidRPr="002E7F4A" w:rsidRDefault="00643ADC"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(168.826)</w:t>
            </w:r>
          </w:p>
        </w:tc>
        <w:tc>
          <w:tcPr>
            <w:tcW w:w="1772" w:type="dxa"/>
            <w:shd w:val="clear" w:color="auto" w:fill="auto"/>
            <w:noWrap/>
            <w:vAlign w:val="bottom"/>
          </w:tcPr>
          <w:p w:rsidR="00643ADC" w:rsidRDefault="00643ADC"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(120.222)</w:t>
            </w:r>
          </w:p>
        </w:tc>
      </w:tr>
      <w:tr w:rsidR="00643ADC" w:rsidRPr="002E7F4A" w:rsidTr="00643ADC">
        <w:trPr>
          <w:trHeight w:val="315"/>
        </w:trPr>
        <w:tc>
          <w:tcPr>
            <w:tcW w:w="5387" w:type="dxa"/>
            <w:shd w:val="clear" w:color="auto" w:fill="auto"/>
            <w:noWrap/>
            <w:vAlign w:val="bottom"/>
          </w:tcPr>
          <w:p w:rsidR="00643ADC" w:rsidRPr="00F079A2" w:rsidRDefault="00643ADC" w:rsidP="00643ADC">
            <w:pPr>
              <w:widowControl/>
              <w:rPr>
                <w:rFonts w:ascii="Calibri" w:hAnsi="Calibri" w:cs="Calibri"/>
                <w:snapToGrid/>
                <w:color w:val="000000"/>
                <w:sz w:val="24"/>
                <w:szCs w:val="24"/>
              </w:rPr>
            </w:pPr>
            <w:r>
              <w:rPr>
                <w:rFonts w:ascii="Calibri" w:hAnsi="Calibri" w:cs="Calibri"/>
                <w:snapToGrid/>
                <w:color w:val="000000"/>
                <w:sz w:val="24"/>
                <w:szCs w:val="24"/>
              </w:rPr>
              <w:t>Obrigação de benefício definido no final do ano</w:t>
            </w:r>
          </w:p>
        </w:tc>
        <w:tc>
          <w:tcPr>
            <w:tcW w:w="1772" w:type="dxa"/>
            <w:shd w:val="clear" w:color="auto" w:fill="auto"/>
            <w:noWrap/>
            <w:vAlign w:val="bottom"/>
          </w:tcPr>
          <w:p w:rsidR="00643ADC" w:rsidRPr="002E7F4A" w:rsidRDefault="005E0B68"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229.861</w:t>
            </w:r>
          </w:p>
        </w:tc>
        <w:tc>
          <w:tcPr>
            <w:tcW w:w="1772" w:type="dxa"/>
            <w:shd w:val="clear" w:color="auto" w:fill="auto"/>
            <w:noWrap/>
            <w:vAlign w:val="bottom"/>
          </w:tcPr>
          <w:p w:rsidR="00643ADC" w:rsidRDefault="00643ADC"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294.691</w:t>
            </w:r>
          </w:p>
        </w:tc>
      </w:tr>
    </w:tbl>
    <w:p w:rsidR="005E0B68" w:rsidRDefault="005E0B68" w:rsidP="00E70A67">
      <w:pPr>
        <w:jc w:val="both"/>
        <w:rPr>
          <w:rFonts w:ascii="Calibri" w:hAnsi="Calibri" w:cs="Calibri"/>
          <w:sz w:val="24"/>
          <w:szCs w:val="24"/>
        </w:rPr>
      </w:pPr>
    </w:p>
    <w:p w:rsidR="005E0B68" w:rsidRDefault="005E0B68" w:rsidP="005E0B68">
      <w:pPr>
        <w:jc w:val="both"/>
        <w:rPr>
          <w:rFonts w:ascii="Calibri" w:hAnsi="Calibri" w:cs="Calibri"/>
          <w:sz w:val="24"/>
          <w:szCs w:val="24"/>
        </w:rPr>
      </w:pPr>
      <w:r>
        <w:rPr>
          <w:rFonts w:ascii="Calibri" w:hAnsi="Calibri" w:cs="Calibri"/>
          <w:sz w:val="24"/>
          <w:szCs w:val="24"/>
        </w:rPr>
        <w:t>Análises de Sensibilidade</w:t>
      </w:r>
      <w:r w:rsidR="00D414A4">
        <w:rPr>
          <w:rFonts w:ascii="Calibri" w:hAnsi="Calibri" w:cs="Calibri"/>
          <w:sz w:val="24"/>
          <w:szCs w:val="24"/>
        </w:rPr>
        <w:t>:</w:t>
      </w:r>
    </w:p>
    <w:p w:rsidR="00D414A4" w:rsidRDefault="00D414A4" w:rsidP="005E0B68">
      <w:pPr>
        <w:jc w:val="both"/>
        <w:rPr>
          <w:rFonts w:ascii="Calibri" w:hAnsi="Calibri" w:cs="Calibri"/>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3"/>
        <w:gridCol w:w="1205"/>
        <w:gridCol w:w="1205"/>
        <w:gridCol w:w="1205"/>
        <w:gridCol w:w="1205"/>
      </w:tblGrid>
      <w:tr w:rsidR="005C2D87" w:rsidRPr="00905BDE" w:rsidTr="00FC72C3">
        <w:trPr>
          <w:trHeight w:val="315"/>
        </w:trPr>
        <w:tc>
          <w:tcPr>
            <w:tcW w:w="5103" w:type="dxa"/>
            <w:vMerge w:val="restart"/>
            <w:shd w:val="clear" w:color="auto" w:fill="auto"/>
            <w:noWrap/>
            <w:vAlign w:val="center"/>
          </w:tcPr>
          <w:p w:rsidR="005C2D87" w:rsidRPr="005C2D87" w:rsidRDefault="005C2D87" w:rsidP="005C2D87">
            <w:pPr>
              <w:widowControl/>
              <w:rPr>
                <w:rFonts w:ascii="Calibri" w:hAnsi="Calibri" w:cs="Calibri"/>
                <w:b/>
                <w:snapToGrid/>
                <w:color w:val="000000"/>
                <w:sz w:val="24"/>
                <w:szCs w:val="24"/>
              </w:rPr>
            </w:pPr>
          </w:p>
        </w:tc>
        <w:tc>
          <w:tcPr>
            <w:tcW w:w="2410" w:type="dxa"/>
            <w:gridSpan w:val="2"/>
            <w:shd w:val="clear" w:color="auto" w:fill="auto"/>
            <w:noWrap/>
            <w:vAlign w:val="center"/>
          </w:tcPr>
          <w:p w:rsidR="005C2D87" w:rsidRPr="002E7F4A" w:rsidRDefault="005C2D87" w:rsidP="005C2D87">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Tábua Biométrica</w:t>
            </w:r>
          </w:p>
        </w:tc>
        <w:tc>
          <w:tcPr>
            <w:tcW w:w="2410" w:type="dxa"/>
            <w:gridSpan w:val="2"/>
            <w:vAlign w:val="center"/>
          </w:tcPr>
          <w:p w:rsidR="005C2D87" w:rsidRPr="002E7F4A" w:rsidRDefault="005C2D87" w:rsidP="005C2D87">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Taxa de Juros</w:t>
            </w:r>
          </w:p>
        </w:tc>
      </w:tr>
      <w:tr w:rsidR="005C2D87" w:rsidRPr="00905BDE" w:rsidTr="00C24B11">
        <w:trPr>
          <w:trHeight w:val="315"/>
        </w:trPr>
        <w:tc>
          <w:tcPr>
            <w:tcW w:w="5103" w:type="dxa"/>
            <w:vMerge/>
            <w:shd w:val="clear" w:color="auto" w:fill="auto"/>
            <w:noWrap/>
            <w:vAlign w:val="center"/>
          </w:tcPr>
          <w:p w:rsidR="005C2D87" w:rsidRPr="002E7F4A" w:rsidRDefault="005C2D87" w:rsidP="00FC72C3">
            <w:pPr>
              <w:widowControl/>
              <w:rPr>
                <w:rFonts w:ascii="Calibri" w:hAnsi="Calibri" w:cs="Calibri"/>
                <w:snapToGrid/>
                <w:color w:val="000000"/>
                <w:sz w:val="24"/>
                <w:szCs w:val="24"/>
              </w:rPr>
            </w:pPr>
          </w:p>
        </w:tc>
        <w:tc>
          <w:tcPr>
            <w:tcW w:w="1205" w:type="dxa"/>
            <w:shd w:val="clear" w:color="auto" w:fill="auto"/>
            <w:noWrap/>
            <w:vAlign w:val="center"/>
          </w:tcPr>
          <w:p w:rsidR="005C2D87" w:rsidRPr="00905BDE" w:rsidRDefault="005C2D87" w:rsidP="00FC72C3">
            <w:pPr>
              <w:widowControl/>
              <w:jc w:val="center"/>
              <w:rPr>
                <w:rFonts w:ascii="Calibri" w:hAnsi="Calibri" w:cs="Calibri"/>
                <w:bCs/>
                <w:snapToGrid/>
                <w:color w:val="000000"/>
                <w:sz w:val="24"/>
                <w:szCs w:val="24"/>
              </w:rPr>
            </w:pPr>
            <w:r>
              <w:rPr>
                <w:rFonts w:ascii="Calibri" w:hAnsi="Calibri" w:cs="Calibri"/>
                <w:bCs/>
                <w:snapToGrid/>
                <w:color w:val="000000"/>
                <w:sz w:val="24"/>
                <w:szCs w:val="24"/>
              </w:rPr>
              <w:t>10%</w:t>
            </w:r>
          </w:p>
        </w:tc>
        <w:tc>
          <w:tcPr>
            <w:tcW w:w="1205" w:type="dxa"/>
            <w:shd w:val="clear" w:color="auto" w:fill="auto"/>
            <w:noWrap/>
            <w:vAlign w:val="center"/>
          </w:tcPr>
          <w:p w:rsidR="005C2D87" w:rsidRPr="00905BDE" w:rsidRDefault="005C2D87" w:rsidP="00FC72C3">
            <w:pPr>
              <w:widowControl/>
              <w:jc w:val="center"/>
              <w:rPr>
                <w:rFonts w:ascii="Calibri" w:hAnsi="Calibri" w:cs="Calibri"/>
                <w:bCs/>
                <w:snapToGrid/>
                <w:color w:val="000000"/>
                <w:sz w:val="24"/>
                <w:szCs w:val="24"/>
              </w:rPr>
            </w:pPr>
            <w:r>
              <w:rPr>
                <w:rFonts w:ascii="Calibri" w:hAnsi="Calibri" w:cs="Calibri"/>
                <w:bCs/>
                <w:snapToGrid/>
                <w:color w:val="000000"/>
                <w:sz w:val="24"/>
                <w:szCs w:val="24"/>
              </w:rPr>
              <w:t>- 10%</w:t>
            </w:r>
          </w:p>
        </w:tc>
        <w:tc>
          <w:tcPr>
            <w:tcW w:w="1205" w:type="dxa"/>
            <w:vAlign w:val="center"/>
          </w:tcPr>
          <w:p w:rsidR="005C2D87" w:rsidRPr="00905BDE" w:rsidRDefault="005C2D87" w:rsidP="00FC72C3">
            <w:pPr>
              <w:widowControl/>
              <w:jc w:val="center"/>
              <w:rPr>
                <w:rFonts w:ascii="Calibri" w:hAnsi="Calibri" w:cs="Calibri"/>
                <w:bCs/>
                <w:snapToGrid/>
                <w:color w:val="000000"/>
                <w:sz w:val="24"/>
                <w:szCs w:val="24"/>
              </w:rPr>
            </w:pPr>
            <w:r>
              <w:rPr>
                <w:rFonts w:ascii="Calibri" w:hAnsi="Calibri" w:cs="Calibri"/>
                <w:bCs/>
                <w:snapToGrid/>
                <w:color w:val="000000"/>
                <w:sz w:val="24"/>
                <w:szCs w:val="24"/>
              </w:rPr>
              <w:t>0,25%</w:t>
            </w:r>
          </w:p>
        </w:tc>
        <w:tc>
          <w:tcPr>
            <w:tcW w:w="1205" w:type="dxa"/>
            <w:vAlign w:val="center"/>
          </w:tcPr>
          <w:p w:rsidR="005C2D87" w:rsidRPr="00905BDE" w:rsidRDefault="005C2D87" w:rsidP="00FC72C3">
            <w:pPr>
              <w:widowControl/>
              <w:jc w:val="center"/>
              <w:rPr>
                <w:rFonts w:ascii="Calibri" w:hAnsi="Calibri" w:cs="Calibri"/>
                <w:bCs/>
                <w:snapToGrid/>
                <w:color w:val="000000"/>
                <w:sz w:val="24"/>
                <w:szCs w:val="24"/>
              </w:rPr>
            </w:pPr>
            <w:r>
              <w:rPr>
                <w:rFonts w:ascii="Calibri" w:hAnsi="Calibri" w:cs="Calibri"/>
                <w:bCs/>
                <w:snapToGrid/>
                <w:color w:val="000000"/>
                <w:sz w:val="24"/>
                <w:szCs w:val="24"/>
              </w:rPr>
              <w:t>-0,25%</w:t>
            </w:r>
          </w:p>
        </w:tc>
      </w:tr>
      <w:tr w:rsidR="005E0B68" w:rsidRPr="002E7F4A" w:rsidTr="00C24B11">
        <w:trPr>
          <w:trHeight w:val="315"/>
        </w:trPr>
        <w:tc>
          <w:tcPr>
            <w:tcW w:w="5103" w:type="dxa"/>
            <w:shd w:val="clear" w:color="auto" w:fill="auto"/>
            <w:noWrap/>
            <w:vAlign w:val="center"/>
          </w:tcPr>
          <w:p w:rsidR="005E0B68" w:rsidRPr="00F079A2" w:rsidRDefault="005E0B68" w:rsidP="00FC72C3">
            <w:pPr>
              <w:widowControl/>
              <w:rPr>
                <w:rFonts w:ascii="Calibri" w:hAnsi="Calibri" w:cs="Calibri"/>
                <w:snapToGrid/>
                <w:color w:val="000000"/>
                <w:sz w:val="24"/>
                <w:szCs w:val="24"/>
              </w:rPr>
            </w:pPr>
            <w:r>
              <w:rPr>
                <w:rFonts w:ascii="Calibri" w:hAnsi="Calibri" w:cs="Calibri"/>
                <w:snapToGrid/>
                <w:color w:val="000000"/>
                <w:sz w:val="24"/>
                <w:szCs w:val="24"/>
              </w:rPr>
              <w:t>Valor presente da obrigação atuarial do plano</w:t>
            </w:r>
          </w:p>
        </w:tc>
        <w:tc>
          <w:tcPr>
            <w:tcW w:w="1205" w:type="dxa"/>
            <w:shd w:val="clear" w:color="auto" w:fill="auto"/>
            <w:noWrap/>
            <w:vAlign w:val="center"/>
          </w:tcPr>
          <w:p w:rsidR="005E0B68" w:rsidRPr="002E7F4A" w:rsidRDefault="005E0B6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513.658</w:t>
            </w:r>
          </w:p>
        </w:tc>
        <w:tc>
          <w:tcPr>
            <w:tcW w:w="1205" w:type="dxa"/>
            <w:shd w:val="clear" w:color="auto" w:fill="auto"/>
            <w:noWrap/>
            <w:vAlign w:val="center"/>
          </w:tcPr>
          <w:p w:rsidR="005E0B68" w:rsidRPr="002E7F4A" w:rsidRDefault="005E0B6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536.380</w:t>
            </w:r>
          </w:p>
        </w:tc>
        <w:tc>
          <w:tcPr>
            <w:tcW w:w="1205" w:type="dxa"/>
            <w:vAlign w:val="center"/>
          </w:tcPr>
          <w:p w:rsidR="005E0B68" w:rsidRPr="002E7F4A" w:rsidRDefault="005E0B6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513.502</w:t>
            </w:r>
          </w:p>
        </w:tc>
        <w:tc>
          <w:tcPr>
            <w:tcW w:w="1205" w:type="dxa"/>
            <w:vAlign w:val="center"/>
          </w:tcPr>
          <w:p w:rsidR="005E0B68" w:rsidRPr="002E7F4A" w:rsidRDefault="005E0B6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536.045</w:t>
            </w:r>
          </w:p>
        </w:tc>
      </w:tr>
      <w:tr w:rsidR="005E0B68" w:rsidRPr="002E7F4A" w:rsidTr="00C24B11">
        <w:trPr>
          <w:trHeight w:val="315"/>
        </w:trPr>
        <w:tc>
          <w:tcPr>
            <w:tcW w:w="5103" w:type="dxa"/>
            <w:shd w:val="clear" w:color="auto" w:fill="auto"/>
            <w:noWrap/>
            <w:vAlign w:val="center"/>
          </w:tcPr>
          <w:p w:rsidR="005E0B68" w:rsidRPr="00F079A2" w:rsidRDefault="005E0B68" w:rsidP="00FC72C3">
            <w:pPr>
              <w:widowControl/>
              <w:rPr>
                <w:rFonts w:ascii="Calibri" w:hAnsi="Calibri" w:cs="Calibri"/>
                <w:snapToGrid/>
                <w:color w:val="000000"/>
                <w:sz w:val="24"/>
                <w:szCs w:val="24"/>
              </w:rPr>
            </w:pPr>
            <w:r>
              <w:rPr>
                <w:rFonts w:ascii="Calibri" w:hAnsi="Calibri" w:cs="Calibri"/>
                <w:snapToGrid/>
                <w:color w:val="000000"/>
                <w:sz w:val="24"/>
                <w:szCs w:val="24"/>
              </w:rPr>
              <w:t>Valor justo dos ativos do plano</w:t>
            </w:r>
          </w:p>
        </w:tc>
        <w:tc>
          <w:tcPr>
            <w:tcW w:w="1205" w:type="dxa"/>
            <w:shd w:val="clear" w:color="auto" w:fill="auto"/>
            <w:noWrap/>
            <w:vAlign w:val="center"/>
          </w:tcPr>
          <w:p w:rsidR="005E0B68" w:rsidRPr="002E7F4A" w:rsidRDefault="005E0B6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37.247</w:t>
            </w:r>
          </w:p>
        </w:tc>
        <w:tc>
          <w:tcPr>
            <w:tcW w:w="1205" w:type="dxa"/>
            <w:shd w:val="clear" w:color="auto" w:fill="auto"/>
            <w:noWrap/>
            <w:vAlign w:val="center"/>
          </w:tcPr>
          <w:p w:rsidR="005E0B68" w:rsidRPr="002E7F4A" w:rsidRDefault="005E0B6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37.247</w:t>
            </w:r>
          </w:p>
        </w:tc>
        <w:tc>
          <w:tcPr>
            <w:tcW w:w="1205" w:type="dxa"/>
            <w:vAlign w:val="center"/>
          </w:tcPr>
          <w:p w:rsidR="005E0B68" w:rsidRPr="002E7F4A" w:rsidRDefault="005E0B6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37.247</w:t>
            </w:r>
          </w:p>
        </w:tc>
        <w:tc>
          <w:tcPr>
            <w:tcW w:w="1205" w:type="dxa"/>
            <w:vAlign w:val="center"/>
          </w:tcPr>
          <w:p w:rsidR="005E0B68" w:rsidRPr="002E7F4A" w:rsidRDefault="005E0B6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37.247</w:t>
            </w:r>
          </w:p>
        </w:tc>
      </w:tr>
      <w:tr w:rsidR="005E0B68" w:rsidRPr="002E7F4A" w:rsidTr="00C24B11">
        <w:trPr>
          <w:trHeight w:val="315"/>
        </w:trPr>
        <w:tc>
          <w:tcPr>
            <w:tcW w:w="5103" w:type="dxa"/>
            <w:shd w:val="clear" w:color="auto" w:fill="auto"/>
            <w:noWrap/>
            <w:vAlign w:val="center"/>
          </w:tcPr>
          <w:p w:rsidR="005E0B68" w:rsidRDefault="005E0B68" w:rsidP="00FC72C3">
            <w:pPr>
              <w:widowControl/>
              <w:rPr>
                <w:rFonts w:ascii="Calibri" w:hAnsi="Calibri" w:cs="Calibri"/>
                <w:snapToGrid/>
                <w:color w:val="000000"/>
                <w:sz w:val="24"/>
                <w:szCs w:val="24"/>
              </w:rPr>
            </w:pPr>
            <w:r>
              <w:rPr>
                <w:rFonts w:ascii="Calibri" w:hAnsi="Calibri" w:cs="Calibri"/>
                <w:snapToGrid/>
                <w:color w:val="000000"/>
                <w:sz w:val="24"/>
                <w:szCs w:val="24"/>
              </w:rPr>
              <w:t>(Passivo) / ativo líquido inicial</w:t>
            </w:r>
          </w:p>
        </w:tc>
        <w:tc>
          <w:tcPr>
            <w:tcW w:w="1205" w:type="dxa"/>
            <w:shd w:val="clear" w:color="auto" w:fill="auto"/>
            <w:noWrap/>
            <w:vAlign w:val="center"/>
          </w:tcPr>
          <w:p w:rsidR="005E0B68" w:rsidRPr="002E7F4A" w:rsidRDefault="00C24B11"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(476.411)</w:t>
            </w:r>
          </w:p>
        </w:tc>
        <w:tc>
          <w:tcPr>
            <w:tcW w:w="1205" w:type="dxa"/>
            <w:shd w:val="clear" w:color="auto" w:fill="auto"/>
            <w:noWrap/>
            <w:vAlign w:val="center"/>
          </w:tcPr>
          <w:p w:rsidR="005E0B68" w:rsidRPr="002E7F4A" w:rsidRDefault="00C24B11"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(499.133)</w:t>
            </w:r>
          </w:p>
        </w:tc>
        <w:tc>
          <w:tcPr>
            <w:tcW w:w="1205" w:type="dxa"/>
            <w:vAlign w:val="center"/>
          </w:tcPr>
          <w:p w:rsidR="005E0B68" w:rsidRPr="002E7F4A" w:rsidRDefault="00C24B11"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(476.255)</w:t>
            </w:r>
          </w:p>
        </w:tc>
        <w:tc>
          <w:tcPr>
            <w:tcW w:w="1205" w:type="dxa"/>
            <w:vAlign w:val="center"/>
          </w:tcPr>
          <w:p w:rsidR="005E0B68" w:rsidRPr="002E7F4A" w:rsidRDefault="00C24B11"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(498.798)</w:t>
            </w:r>
          </w:p>
        </w:tc>
      </w:tr>
      <w:tr w:rsidR="005E0B68" w:rsidRPr="002E7F4A" w:rsidTr="00C24B11">
        <w:trPr>
          <w:trHeight w:val="315"/>
        </w:trPr>
        <w:tc>
          <w:tcPr>
            <w:tcW w:w="5103" w:type="dxa"/>
            <w:shd w:val="clear" w:color="auto" w:fill="auto"/>
            <w:noWrap/>
            <w:vAlign w:val="center"/>
          </w:tcPr>
          <w:p w:rsidR="005E0B68" w:rsidRPr="00F079A2" w:rsidRDefault="005E0B68" w:rsidP="00FC72C3">
            <w:pPr>
              <w:widowControl/>
              <w:rPr>
                <w:rFonts w:ascii="Calibri" w:hAnsi="Calibri" w:cs="Calibri"/>
                <w:snapToGrid/>
                <w:color w:val="000000"/>
                <w:sz w:val="24"/>
                <w:szCs w:val="24"/>
              </w:rPr>
            </w:pPr>
            <w:r>
              <w:rPr>
                <w:rFonts w:ascii="Calibri" w:hAnsi="Calibri" w:cs="Calibri"/>
                <w:snapToGrid/>
                <w:color w:val="000000"/>
                <w:sz w:val="24"/>
                <w:szCs w:val="24"/>
              </w:rPr>
              <w:t>Passivo do patrocinador com redução de direitos</w:t>
            </w:r>
          </w:p>
        </w:tc>
        <w:tc>
          <w:tcPr>
            <w:tcW w:w="1205" w:type="dxa"/>
            <w:shd w:val="clear" w:color="auto" w:fill="auto"/>
            <w:noWrap/>
            <w:vAlign w:val="center"/>
          </w:tcPr>
          <w:p w:rsidR="005E0B68" w:rsidRPr="002E7F4A" w:rsidRDefault="00C24B11" w:rsidP="00C24B11">
            <w:pPr>
              <w:widowControl/>
              <w:jc w:val="right"/>
              <w:rPr>
                <w:rFonts w:ascii="Calibri" w:hAnsi="Calibri" w:cs="Calibri"/>
                <w:snapToGrid/>
                <w:color w:val="000000"/>
                <w:sz w:val="24"/>
                <w:szCs w:val="24"/>
              </w:rPr>
            </w:pPr>
            <w:r>
              <w:rPr>
                <w:rFonts w:ascii="Calibri" w:hAnsi="Calibri" w:cs="Calibri"/>
                <w:snapToGrid/>
                <w:color w:val="000000"/>
                <w:sz w:val="24"/>
                <w:szCs w:val="24"/>
              </w:rPr>
              <w:t>234.355</w:t>
            </w:r>
          </w:p>
        </w:tc>
        <w:tc>
          <w:tcPr>
            <w:tcW w:w="1205" w:type="dxa"/>
            <w:shd w:val="clear" w:color="auto" w:fill="auto"/>
            <w:noWrap/>
            <w:vAlign w:val="center"/>
          </w:tcPr>
          <w:p w:rsidR="005E0B68" w:rsidRDefault="00C24B11"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244.721</w:t>
            </w:r>
          </w:p>
        </w:tc>
        <w:tc>
          <w:tcPr>
            <w:tcW w:w="1205" w:type="dxa"/>
            <w:vAlign w:val="center"/>
          </w:tcPr>
          <w:p w:rsidR="005E0B68" w:rsidRDefault="00C24B11"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234.283</w:t>
            </w:r>
          </w:p>
        </w:tc>
        <w:tc>
          <w:tcPr>
            <w:tcW w:w="1205" w:type="dxa"/>
            <w:vAlign w:val="center"/>
          </w:tcPr>
          <w:p w:rsidR="005E0B68" w:rsidRDefault="00C24B11"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244.568</w:t>
            </w:r>
          </w:p>
        </w:tc>
      </w:tr>
      <w:tr w:rsidR="005E0B68" w:rsidRPr="002E7F4A" w:rsidTr="00C24B11">
        <w:trPr>
          <w:trHeight w:val="315"/>
        </w:trPr>
        <w:tc>
          <w:tcPr>
            <w:tcW w:w="5103" w:type="dxa"/>
            <w:shd w:val="clear" w:color="auto" w:fill="auto"/>
            <w:noWrap/>
            <w:vAlign w:val="center"/>
          </w:tcPr>
          <w:p w:rsidR="005E0B68" w:rsidRPr="00F079A2" w:rsidRDefault="005E0B68" w:rsidP="00FC72C3">
            <w:pPr>
              <w:widowControl/>
              <w:rPr>
                <w:rFonts w:ascii="Calibri" w:hAnsi="Calibri" w:cs="Calibri"/>
                <w:snapToGrid/>
                <w:color w:val="000000"/>
                <w:sz w:val="24"/>
                <w:szCs w:val="24"/>
              </w:rPr>
            </w:pPr>
            <w:r>
              <w:rPr>
                <w:rFonts w:ascii="Calibri" w:hAnsi="Calibri" w:cs="Calibri"/>
                <w:snapToGrid/>
                <w:color w:val="000000"/>
                <w:sz w:val="24"/>
                <w:szCs w:val="24"/>
              </w:rPr>
              <w:t>Passivo do patrocinador com contribuiç</w:t>
            </w:r>
            <w:r w:rsidR="00C24B11">
              <w:rPr>
                <w:rFonts w:ascii="Calibri" w:hAnsi="Calibri" w:cs="Calibri"/>
                <w:snapToGrid/>
                <w:color w:val="000000"/>
                <w:sz w:val="24"/>
                <w:szCs w:val="24"/>
              </w:rPr>
              <w:t>ões futuras</w:t>
            </w:r>
          </w:p>
        </w:tc>
        <w:tc>
          <w:tcPr>
            <w:tcW w:w="1205" w:type="dxa"/>
            <w:shd w:val="clear" w:color="auto" w:fill="auto"/>
            <w:noWrap/>
            <w:vAlign w:val="center"/>
          </w:tcPr>
          <w:p w:rsidR="005E0B68" w:rsidRPr="002E7F4A" w:rsidRDefault="00C24B11"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45.781</w:t>
            </w:r>
          </w:p>
        </w:tc>
        <w:tc>
          <w:tcPr>
            <w:tcW w:w="1205" w:type="dxa"/>
            <w:shd w:val="clear" w:color="auto" w:fill="auto"/>
            <w:noWrap/>
            <w:vAlign w:val="center"/>
          </w:tcPr>
          <w:p w:rsidR="005E0B68" w:rsidRPr="002E7F4A" w:rsidRDefault="00C24B11"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47.807</w:t>
            </w:r>
          </w:p>
        </w:tc>
        <w:tc>
          <w:tcPr>
            <w:tcW w:w="1205" w:type="dxa"/>
            <w:vAlign w:val="center"/>
          </w:tcPr>
          <w:p w:rsidR="005E0B68" w:rsidRDefault="00C24B11"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45.768</w:t>
            </w:r>
          </w:p>
        </w:tc>
        <w:tc>
          <w:tcPr>
            <w:tcW w:w="1205" w:type="dxa"/>
            <w:vAlign w:val="center"/>
          </w:tcPr>
          <w:p w:rsidR="005E0B68" w:rsidRDefault="00C24B11" w:rsidP="00C24B11">
            <w:pPr>
              <w:widowControl/>
              <w:jc w:val="right"/>
              <w:rPr>
                <w:rFonts w:ascii="Calibri" w:hAnsi="Calibri" w:cs="Calibri"/>
                <w:snapToGrid/>
                <w:color w:val="000000"/>
                <w:sz w:val="24"/>
                <w:szCs w:val="24"/>
              </w:rPr>
            </w:pPr>
            <w:r>
              <w:rPr>
                <w:rFonts w:ascii="Calibri" w:hAnsi="Calibri" w:cs="Calibri"/>
                <w:snapToGrid/>
                <w:color w:val="000000"/>
                <w:sz w:val="24"/>
                <w:szCs w:val="24"/>
              </w:rPr>
              <w:t>47.777</w:t>
            </w:r>
          </w:p>
        </w:tc>
      </w:tr>
      <w:tr w:rsidR="005E0B68" w:rsidRPr="002E7F4A" w:rsidTr="00C24B11">
        <w:trPr>
          <w:trHeight w:val="315"/>
        </w:trPr>
        <w:tc>
          <w:tcPr>
            <w:tcW w:w="5103" w:type="dxa"/>
            <w:shd w:val="clear" w:color="auto" w:fill="auto"/>
            <w:noWrap/>
            <w:vAlign w:val="center"/>
          </w:tcPr>
          <w:p w:rsidR="005E0B68" w:rsidRPr="00F079A2" w:rsidRDefault="005E0B68" w:rsidP="005E0B68">
            <w:pPr>
              <w:widowControl/>
              <w:rPr>
                <w:rFonts w:ascii="Calibri" w:hAnsi="Calibri" w:cs="Calibri"/>
                <w:snapToGrid/>
                <w:color w:val="000000"/>
                <w:sz w:val="24"/>
                <w:szCs w:val="24"/>
              </w:rPr>
            </w:pPr>
            <w:r>
              <w:rPr>
                <w:rFonts w:ascii="Calibri" w:hAnsi="Calibri" w:cs="Calibri"/>
                <w:snapToGrid/>
                <w:color w:val="000000"/>
                <w:sz w:val="24"/>
                <w:szCs w:val="24"/>
              </w:rPr>
              <w:t>(Passivo) / ativo líquido a ser compartilhado</w:t>
            </w:r>
          </w:p>
        </w:tc>
        <w:tc>
          <w:tcPr>
            <w:tcW w:w="1205" w:type="dxa"/>
            <w:shd w:val="clear" w:color="auto" w:fill="auto"/>
            <w:noWrap/>
            <w:vAlign w:val="center"/>
          </w:tcPr>
          <w:p w:rsidR="005E0B68" w:rsidRPr="002E7F4A" w:rsidRDefault="00C24B11"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(196.275)</w:t>
            </w:r>
          </w:p>
        </w:tc>
        <w:tc>
          <w:tcPr>
            <w:tcW w:w="1205" w:type="dxa"/>
            <w:shd w:val="clear" w:color="auto" w:fill="auto"/>
            <w:noWrap/>
            <w:vAlign w:val="center"/>
          </w:tcPr>
          <w:p w:rsidR="005E0B68" w:rsidRPr="002E7F4A" w:rsidRDefault="00C24B11"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(206.605)</w:t>
            </w:r>
          </w:p>
        </w:tc>
        <w:tc>
          <w:tcPr>
            <w:tcW w:w="1205" w:type="dxa"/>
            <w:vAlign w:val="center"/>
          </w:tcPr>
          <w:p w:rsidR="005E0B68" w:rsidRDefault="00C24B11"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(196.204)</w:t>
            </w:r>
          </w:p>
        </w:tc>
        <w:tc>
          <w:tcPr>
            <w:tcW w:w="1205" w:type="dxa"/>
            <w:vAlign w:val="center"/>
          </w:tcPr>
          <w:p w:rsidR="005E0B68" w:rsidRDefault="00C24B11"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(206.453)</w:t>
            </w:r>
          </w:p>
        </w:tc>
      </w:tr>
      <w:tr w:rsidR="005E0B68" w:rsidRPr="002E7F4A" w:rsidTr="00C24B11">
        <w:trPr>
          <w:trHeight w:val="315"/>
        </w:trPr>
        <w:tc>
          <w:tcPr>
            <w:tcW w:w="5103" w:type="dxa"/>
            <w:shd w:val="clear" w:color="auto" w:fill="auto"/>
            <w:noWrap/>
            <w:vAlign w:val="center"/>
          </w:tcPr>
          <w:p w:rsidR="005E0B68" w:rsidRPr="00F079A2" w:rsidRDefault="005E0B68" w:rsidP="005E0B68">
            <w:pPr>
              <w:widowControl/>
              <w:rPr>
                <w:rFonts w:ascii="Calibri" w:hAnsi="Calibri" w:cs="Calibri"/>
                <w:snapToGrid/>
                <w:color w:val="000000"/>
                <w:sz w:val="24"/>
                <w:szCs w:val="24"/>
              </w:rPr>
            </w:pPr>
            <w:r>
              <w:rPr>
                <w:rFonts w:ascii="Calibri" w:hAnsi="Calibri" w:cs="Calibri"/>
                <w:snapToGrid/>
                <w:color w:val="000000"/>
                <w:sz w:val="24"/>
                <w:szCs w:val="24"/>
              </w:rPr>
              <w:t>Efeito compartilhamento de riscos – participantes</w:t>
            </w:r>
          </w:p>
        </w:tc>
        <w:tc>
          <w:tcPr>
            <w:tcW w:w="1205" w:type="dxa"/>
            <w:shd w:val="clear" w:color="auto" w:fill="auto"/>
            <w:noWrap/>
            <w:vAlign w:val="center"/>
          </w:tcPr>
          <w:p w:rsidR="005E0B68" w:rsidRPr="002E7F4A" w:rsidRDefault="00C24B11"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101.258</w:t>
            </w:r>
          </w:p>
        </w:tc>
        <w:tc>
          <w:tcPr>
            <w:tcW w:w="1205" w:type="dxa"/>
            <w:shd w:val="clear" w:color="auto" w:fill="auto"/>
            <w:noWrap/>
            <w:vAlign w:val="center"/>
          </w:tcPr>
          <w:p w:rsidR="005E0B68" w:rsidRPr="002E7F4A" w:rsidRDefault="00C24B11"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106.588</w:t>
            </w:r>
          </w:p>
        </w:tc>
        <w:tc>
          <w:tcPr>
            <w:tcW w:w="1205" w:type="dxa"/>
            <w:vAlign w:val="center"/>
          </w:tcPr>
          <w:p w:rsidR="005E0B68" w:rsidRDefault="00C24B11"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101.222</w:t>
            </w:r>
          </w:p>
        </w:tc>
        <w:tc>
          <w:tcPr>
            <w:tcW w:w="1205" w:type="dxa"/>
            <w:vAlign w:val="center"/>
          </w:tcPr>
          <w:p w:rsidR="005E0B68" w:rsidRDefault="00C24B11"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106.509</w:t>
            </w:r>
          </w:p>
        </w:tc>
      </w:tr>
      <w:tr w:rsidR="005E0B68" w:rsidRPr="002E7F4A" w:rsidTr="00C24B11">
        <w:trPr>
          <w:trHeight w:val="315"/>
        </w:trPr>
        <w:tc>
          <w:tcPr>
            <w:tcW w:w="5103" w:type="dxa"/>
            <w:shd w:val="clear" w:color="auto" w:fill="auto"/>
            <w:noWrap/>
            <w:vAlign w:val="center"/>
          </w:tcPr>
          <w:p w:rsidR="005E0B68" w:rsidRPr="00F079A2" w:rsidRDefault="005E0B68" w:rsidP="00FC72C3">
            <w:pPr>
              <w:widowControl/>
              <w:rPr>
                <w:rFonts w:ascii="Calibri" w:hAnsi="Calibri" w:cs="Calibri"/>
                <w:snapToGrid/>
                <w:color w:val="000000"/>
                <w:sz w:val="24"/>
                <w:szCs w:val="24"/>
              </w:rPr>
            </w:pPr>
            <w:r>
              <w:rPr>
                <w:rFonts w:ascii="Calibri" w:hAnsi="Calibri" w:cs="Calibri"/>
                <w:snapToGrid/>
                <w:color w:val="000000"/>
                <w:sz w:val="24"/>
                <w:szCs w:val="24"/>
              </w:rPr>
              <w:t>(Passivo) / ativo líquido a ser reconhecido</w:t>
            </w:r>
          </w:p>
        </w:tc>
        <w:tc>
          <w:tcPr>
            <w:tcW w:w="1205" w:type="dxa"/>
            <w:shd w:val="clear" w:color="auto" w:fill="auto"/>
            <w:noWrap/>
            <w:vAlign w:val="center"/>
          </w:tcPr>
          <w:p w:rsidR="005E0B68" w:rsidRPr="002E7F4A" w:rsidRDefault="00C24B11"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(375.153)</w:t>
            </w:r>
          </w:p>
        </w:tc>
        <w:tc>
          <w:tcPr>
            <w:tcW w:w="1205" w:type="dxa"/>
            <w:shd w:val="clear" w:color="auto" w:fill="auto"/>
            <w:noWrap/>
            <w:vAlign w:val="center"/>
          </w:tcPr>
          <w:p w:rsidR="005E0B68" w:rsidRPr="002E7F4A" w:rsidRDefault="00C24B11" w:rsidP="00C24B11">
            <w:pPr>
              <w:widowControl/>
              <w:jc w:val="right"/>
              <w:rPr>
                <w:rFonts w:ascii="Calibri" w:hAnsi="Calibri" w:cs="Calibri"/>
                <w:snapToGrid/>
                <w:color w:val="000000"/>
                <w:sz w:val="24"/>
                <w:szCs w:val="24"/>
              </w:rPr>
            </w:pPr>
            <w:r>
              <w:rPr>
                <w:rFonts w:ascii="Calibri" w:hAnsi="Calibri" w:cs="Calibri"/>
                <w:snapToGrid/>
                <w:color w:val="000000"/>
                <w:sz w:val="24"/>
                <w:szCs w:val="24"/>
              </w:rPr>
              <w:t>(392.546)</w:t>
            </w:r>
          </w:p>
        </w:tc>
        <w:tc>
          <w:tcPr>
            <w:tcW w:w="1205" w:type="dxa"/>
            <w:vAlign w:val="center"/>
          </w:tcPr>
          <w:p w:rsidR="005E0B68" w:rsidRDefault="00C24B11"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(375.033)</w:t>
            </w:r>
          </w:p>
        </w:tc>
        <w:tc>
          <w:tcPr>
            <w:tcW w:w="1205" w:type="dxa"/>
            <w:vAlign w:val="center"/>
          </w:tcPr>
          <w:p w:rsidR="005E0B68" w:rsidRDefault="00C24B11"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(392.289)</w:t>
            </w:r>
          </w:p>
        </w:tc>
      </w:tr>
    </w:tbl>
    <w:p w:rsidR="00014E44" w:rsidRDefault="00014E44" w:rsidP="00E70A67">
      <w:pPr>
        <w:jc w:val="both"/>
        <w:rPr>
          <w:rFonts w:ascii="Calibri" w:hAnsi="Calibri" w:cs="Calibri"/>
          <w:sz w:val="24"/>
          <w:szCs w:val="24"/>
        </w:rPr>
      </w:pPr>
    </w:p>
    <w:p w:rsidR="008A71CD" w:rsidRDefault="008A71CD" w:rsidP="00E70A67">
      <w:pPr>
        <w:jc w:val="both"/>
        <w:rPr>
          <w:rFonts w:ascii="Calibri" w:hAnsi="Calibri" w:cs="Calibri"/>
          <w:sz w:val="24"/>
          <w:szCs w:val="24"/>
        </w:rPr>
      </w:pPr>
    </w:p>
    <w:p w:rsidR="00D414A4" w:rsidRDefault="00D414A4" w:rsidP="00E70A67">
      <w:pPr>
        <w:jc w:val="both"/>
        <w:rPr>
          <w:rFonts w:ascii="Calibri" w:hAnsi="Calibri" w:cs="Calibri"/>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3"/>
        <w:gridCol w:w="1205"/>
        <w:gridCol w:w="1205"/>
        <w:gridCol w:w="1205"/>
        <w:gridCol w:w="1205"/>
      </w:tblGrid>
      <w:tr w:rsidR="005C2D87" w:rsidRPr="002E7F4A" w:rsidTr="00FC72C3">
        <w:trPr>
          <w:trHeight w:val="315"/>
        </w:trPr>
        <w:tc>
          <w:tcPr>
            <w:tcW w:w="5103" w:type="dxa"/>
            <w:shd w:val="clear" w:color="auto" w:fill="auto"/>
            <w:noWrap/>
            <w:vAlign w:val="center"/>
          </w:tcPr>
          <w:p w:rsidR="005C2D87" w:rsidRPr="005C2D87" w:rsidRDefault="005C2D87" w:rsidP="005C2D87">
            <w:pPr>
              <w:widowControl/>
              <w:rPr>
                <w:rFonts w:ascii="Calibri" w:hAnsi="Calibri" w:cs="Calibri"/>
                <w:b/>
                <w:snapToGrid/>
                <w:color w:val="000000"/>
                <w:sz w:val="24"/>
                <w:szCs w:val="24"/>
              </w:rPr>
            </w:pPr>
            <w:r w:rsidRPr="005C2D87">
              <w:rPr>
                <w:rFonts w:ascii="Calibri" w:hAnsi="Calibri" w:cs="Calibri"/>
                <w:b/>
                <w:snapToGrid/>
                <w:color w:val="000000"/>
                <w:sz w:val="24"/>
                <w:szCs w:val="24"/>
              </w:rPr>
              <w:lastRenderedPageBreak/>
              <w:t>Variações</w:t>
            </w:r>
          </w:p>
        </w:tc>
        <w:tc>
          <w:tcPr>
            <w:tcW w:w="2410" w:type="dxa"/>
            <w:gridSpan w:val="2"/>
            <w:shd w:val="clear" w:color="auto" w:fill="auto"/>
            <w:noWrap/>
            <w:vAlign w:val="center"/>
          </w:tcPr>
          <w:p w:rsidR="005C2D87" w:rsidRPr="002E7F4A" w:rsidRDefault="005C2D87" w:rsidP="005C2D87">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Tábua Biométrica</w:t>
            </w:r>
          </w:p>
        </w:tc>
        <w:tc>
          <w:tcPr>
            <w:tcW w:w="2410" w:type="dxa"/>
            <w:gridSpan w:val="2"/>
            <w:vAlign w:val="center"/>
          </w:tcPr>
          <w:p w:rsidR="005C2D87" w:rsidRPr="002E7F4A" w:rsidRDefault="005C2D87" w:rsidP="005C2D87">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Taxa de Juros</w:t>
            </w:r>
          </w:p>
        </w:tc>
      </w:tr>
      <w:tr w:rsidR="005C2D87" w:rsidRPr="002E7F4A" w:rsidTr="00FC72C3">
        <w:trPr>
          <w:trHeight w:val="315"/>
        </w:trPr>
        <w:tc>
          <w:tcPr>
            <w:tcW w:w="5103" w:type="dxa"/>
            <w:shd w:val="clear" w:color="auto" w:fill="auto"/>
            <w:noWrap/>
            <w:vAlign w:val="center"/>
          </w:tcPr>
          <w:p w:rsidR="005C2D87" w:rsidRPr="00F079A2" w:rsidRDefault="005C2D87" w:rsidP="005C2D87">
            <w:pPr>
              <w:widowControl/>
              <w:rPr>
                <w:rFonts w:ascii="Calibri" w:hAnsi="Calibri" w:cs="Calibri"/>
                <w:snapToGrid/>
                <w:color w:val="000000"/>
                <w:sz w:val="24"/>
                <w:szCs w:val="24"/>
              </w:rPr>
            </w:pPr>
            <w:r>
              <w:rPr>
                <w:rFonts w:ascii="Calibri" w:hAnsi="Calibri" w:cs="Calibri"/>
                <w:snapToGrid/>
                <w:color w:val="000000"/>
                <w:sz w:val="24"/>
                <w:szCs w:val="24"/>
              </w:rPr>
              <w:t>Variação da obrigação atuarial</w:t>
            </w:r>
          </w:p>
        </w:tc>
        <w:tc>
          <w:tcPr>
            <w:tcW w:w="1205" w:type="dxa"/>
            <w:shd w:val="clear" w:color="auto" w:fill="auto"/>
            <w:noWrap/>
            <w:vAlign w:val="center"/>
          </w:tcPr>
          <w:p w:rsidR="005C2D87" w:rsidRPr="002E7F4A" w:rsidRDefault="005C2D87" w:rsidP="005C2D87">
            <w:pPr>
              <w:widowControl/>
              <w:jc w:val="right"/>
              <w:rPr>
                <w:rFonts w:ascii="Calibri" w:hAnsi="Calibri" w:cs="Calibri"/>
                <w:snapToGrid/>
                <w:color w:val="000000"/>
                <w:sz w:val="24"/>
                <w:szCs w:val="24"/>
              </w:rPr>
            </w:pPr>
            <w:r>
              <w:rPr>
                <w:rFonts w:ascii="Calibri" w:hAnsi="Calibri" w:cs="Calibri"/>
                <w:snapToGrid/>
                <w:color w:val="000000"/>
                <w:sz w:val="24"/>
                <w:szCs w:val="24"/>
              </w:rPr>
              <w:t>-2,08%</w:t>
            </w:r>
          </w:p>
        </w:tc>
        <w:tc>
          <w:tcPr>
            <w:tcW w:w="1205" w:type="dxa"/>
            <w:shd w:val="clear" w:color="auto" w:fill="auto"/>
            <w:noWrap/>
            <w:vAlign w:val="center"/>
          </w:tcPr>
          <w:p w:rsidR="005C2D87" w:rsidRPr="002E7F4A" w:rsidRDefault="005C2D87" w:rsidP="005C2D87">
            <w:pPr>
              <w:widowControl/>
              <w:jc w:val="right"/>
              <w:rPr>
                <w:rFonts w:ascii="Calibri" w:hAnsi="Calibri" w:cs="Calibri"/>
                <w:snapToGrid/>
                <w:color w:val="000000"/>
                <w:sz w:val="24"/>
                <w:szCs w:val="24"/>
              </w:rPr>
            </w:pPr>
            <w:r>
              <w:rPr>
                <w:rFonts w:ascii="Calibri" w:hAnsi="Calibri" w:cs="Calibri"/>
                <w:snapToGrid/>
                <w:color w:val="000000"/>
                <w:sz w:val="24"/>
                <w:szCs w:val="24"/>
              </w:rPr>
              <w:t>2,25%</w:t>
            </w:r>
          </w:p>
        </w:tc>
        <w:tc>
          <w:tcPr>
            <w:tcW w:w="1205" w:type="dxa"/>
            <w:vAlign w:val="center"/>
          </w:tcPr>
          <w:p w:rsidR="005C2D87" w:rsidRPr="002E7F4A" w:rsidRDefault="005C2D87" w:rsidP="005C2D87">
            <w:pPr>
              <w:widowControl/>
              <w:jc w:val="right"/>
              <w:rPr>
                <w:rFonts w:ascii="Calibri" w:hAnsi="Calibri" w:cs="Calibri"/>
                <w:snapToGrid/>
                <w:color w:val="000000"/>
                <w:sz w:val="24"/>
                <w:szCs w:val="24"/>
              </w:rPr>
            </w:pPr>
            <w:r>
              <w:rPr>
                <w:rFonts w:ascii="Calibri" w:hAnsi="Calibri" w:cs="Calibri"/>
                <w:snapToGrid/>
                <w:color w:val="000000"/>
                <w:sz w:val="24"/>
                <w:szCs w:val="24"/>
              </w:rPr>
              <w:t>-2,11%</w:t>
            </w:r>
          </w:p>
        </w:tc>
        <w:tc>
          <w:tcPr>
            <w:tcW w:w="1205" w:type="dxa"/>
            <w:vAlign w:val="center"/>
          </w:tcPr>
          <w:p w:rsidR="005C2D87" w:rsidRPr="002E7F4A" w:rsidRDefault="005C2D87" w:rsidP="005C2D87">
            <w:pPr>
              <w:widowControl/>
              <w:jc w:val="right"/>
              <w:rPr>
                <w:rFonts w:ascii="Calibri" w:hAnsi="Calibri" w:cs="Calibri"/>
                <w:snapToGrid/>
                <w:color w:val="000000"/>
                <w:sz w:val="24"/>
                <w:szCs w:val="24"/>
              </w:rPr>
            </w:pPr>
            <w:r>
              <w:rPr>
                <w:rFonts w:ascii="Calibri" w:hAnsi="Calibri" w:cs="Calibri"/>
                <w:snapToGrid/>
                <w:color w:val="000000"/>
                <w:sz w:val="24"/>
                <w:szCs w:val="24"/>
              </w:rPr>
              <w:t>2,19%</w:t>
            </w:r>
          </w:p>
        </w:tc>
      </w:tr>
      <w:tr w:rsidR="005C2D87" w:rsidRPr="002E7F4A" w:rsidTr="00FC72C3">
        <w:trPr>
          <w:trHeight w:val="315"/>
        </w:trPr>
        <w:tc>
          <w:tcPr>
            <w:tcW w:w="5103" w:type="dxa"/>
            <w:shd w:val="clear" w:color="auto" w:fill="auto"/>
            <w:noWrap/>
            <w:vAlign w:val="center"/>
          </w:tcPr>
          <w:p w:rsidR="005C2D87" w:rsidRPr="00F079A2" w:rsidRDefault="005C2D87" w:rsidP="005C2D87">
            <w:pPr>
              <w:widowControl/>
              <w:rPr>
                <w:rFonts w:ascii="Calibri" w:hAnsi="Calibri" w:cs="Calibri"/>
                <w:snapToGrid/>
                <w:color w:val="000000"/>
                <w:sz w:val="24"/>
                <w:szCs w:val="24"/>
              </w:rPr>
            </w:pPr>
            <w:r>
              <w:rPr>
                <w:rFonts w:ascii="Calibri" w:hAnsi="Calibri" w:cs="Calibri"/>
                <w:snapToGrid/>
                <w:color w:val="000000"/>
                <w:sz w:val="24"/>
                <w:szCs w:val="24"/>
              </w:rPr>
              <w:t>Variação do passivo / ativo líq. a ser reconhecido</w:t>
            </w:r>
          </w:p>
        </w:tc>
        <w:tc>
          <w:tcPr>
            <w:tcW w:w="1205" w:type="dxa"/>
            <w:shd w:val="clear" w:color="auto" w:fill="auto"/>
            <w:noWrap/>
            <w:vAlign w:val="center"/>
          </w:tcPr>
          <w:p w:rsidR="005C2D87" w:rsidRPr="002E7F4A" w:rsidRDefault="005C2D87" w:rsidP="005C2D87">
            <w:pPr>
              <w:widowControl/>
              <w:jc w:val="right"/>
              <w:rPr>
                <w:rFonts w:ascii="Calibri" w:hAnsi="Calibri" w:cs="Calibri"/>
                <w:snapToGrid/>
                <w:color w:val="000000"/>
                <w:sz w:val="24"/>
                <w:szCs w:val="24"/>
              </w:rPr>
            </w:pPr>
            <w:r>
              <w:rPr>
                <w:rFonts w:ascii="Calibri" w:hAnsi="Calibri" w:cs="Calibri"/>
                <w:snapToGrid/>
                <w:color w:val="000000"/>
                <w:sz w:val="24"/>
                <w:szCs w:val="24"/>
              </w:rPr>
              <w:t>-2,24%</w:t>
            </w:r>
          </w:p>
        </w:tc>
        <w:tc>
          <w:tcPr>
            <w:tcW w:w="1205" w:type="dxa"/>
            <w:shd w:val="clear" w:color="auto" w:fill="auto"/>
            <w:noWrap/>
            <w:vAlign w:val="center"/>
          </w:tcPr>
          <w:p w:rsidR="005C2D87" w:rsidRPr="002E7F4A" w:rsidRDefault="005C2D87" w:rsidP="005C2D87">
            <w:pPr>
              <w:widowControl/>
              <w:jc w:val="right"/>
              <w:rPr>
                <w:rFonts w:ascii="Calibri" w:hAnsi="Calibri" w:cs="Calibri"/>
                <w:snapToGrid/>
                <w:color w:val="000000"/>
                <w:sz w:val="24"/>
                <w:szCs w:val="24"/>
              </w:rPr>
            </w:pPr>
            <w:r>
              <w:rPr>
                <w:rFonts w:ascii="Calibri" w:hAnsi="Calibri" w:cs="Calibri"/>
                <w:snapToGrid/>
                <w:color w:val="000000"/>
                <w:sz w:val="24"/>
                <w:szCs w:val="24"/>
              </w:rPr>
              <w:t>2,43%</w:t>
            </w:r>
          </w:p>
        </w:tc>
        <w:tc>
          <w:tcPr>
            <w:tcW w:w="1205" w:type="dxa"/>
            <w:vAlign w:val="center"/>
          </w:tcPr>
          <w:p w:rsidR="005C2D87" w:rsidRPr="002E7F4A" w:rsidRDefault="005C2D87" w:rsidP="005C2D87">
            <w:pPr>
              <w:widowControl/>
              <w:jc w:val="right"/>
              <w:rPr>
                <w:rFonts w:ascii="Calibri" w:hAnsi="Calibri" w:cs="Calibri"/>
                <w:snapToGrid/>
                <w:color w:val="000000"/>
                <w:sz w:val="24"/>
                <w:szCs w:val="24"/>
              </w:rPr>
            </w:pPr>
            <w:r>
              <w:rPr>
                <w:rFonts w:ascii="Calibri" w:hAnsi="Calibri" w:cs="Calibri"/>
                <w:snapToGrid/>
                <w:color w:val="000000"/>
                <w:sz w:val="24"/>
                <w:szCs w:val="24"/>
              </w:rPr>
              <w:t>-2,27%</w:t>
            </w:r>
          </w:p>
        </w:tc>
        <w:tc>
          <w:tcPr>
            <w:tcW w:w="1205" w:type="dxa"/>
            <w:vAlign w:val="center"/>
          </w:tcPr>
          <w:p w:rsidR="005C2D87" w:rsidRPr="002E7F4A" w:rsidRDefault="005C2D87" w:rsidP="005C2D87">
            <w:pPr>
              <w:widowControl/>
              <w:jc w:val="right"/>
              <w:rPr>
                <w:rFonts w:ascii="Calibri" w:hAnsi="Calibri" w:cs="Calibri"/>
                <w:snapToGrid/>
                <w:color w:val="000000"/>
                <w:sz w:val="24"/>
                <w:szCs w:val="24"/>
              </w:rPr>
            </w:pPr>
            <w:r>
              <w:rPr>
                <w:rFonts w:ascii="Calibri" w:hAnsi="Calibri" w:cs="Calibri"/>
                <w:snapToGrid/>
                <w:color w:val="000000"/>
                <w:sz w:val="24"/>
                <w:szCs w:val="24"/>
              </w:rPr>
              <w:t>2,36%</w:t>
            </w:r>
          </w:p>
        </w:tc>
      </w:tr>
    </w:tbl>
    <w:p w:rsidR="00C24B11" w:rsidRDefault="00C24B11" w:rsidP="00E70A67">
      <w:pPr>
        <w:jc w:val="both"/>
        <w:rPr>
          <w:rFonts w:ascii="Calibri" w:hAnsi="Calibri" w:cs="Calibri"/>
          <w:sz w:val="24"/>
          <w:szCs w:val="24"/>
        </w:rPr>
      </w:pPr>
    </w:p>
    <w:p w:rsidR="00905BDE" w:rsidRDefault="00905BDE" w:rsidP="00E70A67">
      <w:pPr>
        <w:jc w:val="both"/>
        <w:rPr>
          <w:rFonts w:ascii="Calibri" w:hAnsi="Calibri" w:cs="Calibri"/>
          <w:sz w:val="24"/>
          <w:szCs w:val="24"/>
        </w:rPr>
      </w:pPr>
    </w:p>
    <w:p w:rsidR="00C16DDB" w:rsidRPr="00312424" w:rsidRDefault="002500FC" w:rsidP="00C16DDB">
      <w:pPr>
        <w:jc w:val="both"/>
        <w:rPr>
          <w:rFonts w:ascii="Calibri" w:hAnsi="Calibri" w:cs="Calibri"/>
          <w:b/>
          <w:sz w:val="24"/>
          <w:szCs w:val="24"/>
        </w:rPr>
      </w:pPr>
      <w:r>
        <w:rPr>
          <w:rFonts w:ascii="Calibri" w:hAnsi="Calibri" w:cs="Calibri"/>
          <w:b/>
          <w:sz w:val="24"/>
          <w:szCs w:val="24"/>
        </w:rPr>
        <w:t>18</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PROVISÃO PARA CONTINGÊNCIA</w:t>
      </w:r>
      <w:r w:rsidR="00D26FE5">
        <w:rPr>
          <w:rFonts w:ascii="Calibri" w:hAnsi="Calibri" w:cs="Calibri"/>
          <w:b/>
          <w:sz w:val="24"/>
          <w:szCs w:val="24"/>
          <w:u w:val="single"/>
        </w:rPr>
        <w:t>S</w:t>
      </w:r>
    </w:p>
    <w:p w:rsidR="00C16DDB" w:rsidRPr="00312424" w:rsidRDefault="00C16DDB" w:rsidP="00C16DDB">
      <w:pPr>
        <w:jc w:val="both"/>
        <w:rPr>
          <w:rFonts w:ascii="Calibri" w:hAnsi="Calibri" w:cs="Calibri"/>
          <w:b/>
          <w:sz w:val="24"/>
          <w:szCs w:val="24"/>
        </w:rPr>
      </w:pPr>
    </w:p>
    <w:p w:rsidR="00C16DDB" w:rsidRDefault="00C16DDB" w:rsidP="00C16DDB">
      <w:pPr>
        <w:jc w:val="both"/>
        <w:rPr>
          <w:rFonts w:ascii="Calibri" w:hAnsi="Calibri" w:cs="Calibri"/>
          <w:sz w:val="24"/>
          <w:szCs w:val="24"/>
        </w:rPr>
      </w:pPr>
      <w:r w:rsidRPr="00312424">
        <w:rPr>
          <w:rFonts w:ascii="Calibri" w:hAnsi="Calibri" w:cs="Calibri"/>
          <w:sz w:val="24"/>
          <w:szCs w:val="24"/>
        </w:rPr>
        <w:t xml:space="preserve">A CDRJ constitui provisões para processos trabalhistas, cíveis e tributários a valores considerados pela Superintendência Jurídica como sendo suficientes para cobrir perdas prováveis e </w:t>
      </w:r>
      <w:r w:rsidR="00D26FE5">
        <w:rPr>
          <w:rFonts w:ascii="Calibri" w:hAnsi="Calibri" w:cs="Calibri"/>
          <w:sz w:val="24"/>
          <w:szCs w:val="24"/>
        </w:rPr>
        <w:t>estão</w:t>
      </w:r>
      <w:r w:rsidRPr="00312424">
        <w:rPr>
          <w:rFonts w:ascii="Calibri" w:hAnsi="Calibri" w:cs="Calibri"/>
          <w:sz w:val="24"/>
          <w:szCs w:val="24"/>
        </w:rPr>
        <w:t xml:space="preserve"> compostas da seguinte maneira:</w:t>
      </w:r>
    </w:p>
    <w:p w:rsidR="00F10FEB" w:rsidRDefault="00F10FEB" w:rsidP="00C16DDB">
      <w:pPr>
        <w:jc w:val="both"/>
        <w:rPr>
          <w:rFonts w:ascii="Calibri" w:hAnsi="Calibri" w:cs="Calibri"/>
          <w:sz w:val="24"/>
          <w:szCs w:val="24"/>
        </w:rPr>
      </w:pPr>
    </w:p>
    <w:tbl>
      <w:tblPr>
        <w:tblW w:w="6380" w:type="dxa"/>
        <w:jc w:val="center"/>
        <w:tblCellMar>
          <w:left w:w="70" w:type="dxa"/>
          <w:right w:w="70" w:type="dxa"/>
        </w:tblCellMar>
        <w:tblLook w:val="04A0" w:firstRow="1" w:lastRow="0" w:firstColumn="1" w:lastColumn="0" w:noHBand="0" w:noVBand="1"/>
      </w:tblPr>
      <w:tblGrid>
        <w:gridCol w:w="2860"/>
        <w:gridCol w:w="1760"/>
        <w:gridCol w:w="1767"/>
      </w:tblGrid>
      <w:tr w:rsidR="004B7AFD" w:rsidRPr="004B7AFD" w:rsidTr="00787A16">
        <w:trPr>
          <w:trHeight w:val="284"/>
          <w:jc w:val="center"/>
        </w:trPr>
        <w:tc>
          <w:tcPr>
            <w:tcW w:w="2860" w:type="dxa"/>
            <w:tcBorders>
              <w:top w:val="nil"/>
              <w:left w:val="nil"/>
              <w:bottom w:val="single" w:sz="4" w:space="0" w:color="auto"/>
              <w:right w:val="single" w:sz="4" w:space="0" w:color="auto"/>
            </w:tcBorders>
            <w:shd w:val="clear" w:color="auto" w:fill="auto"/>
            <w:noWrap/>
            <w:vAlign w:val="center"/>
            <w:hideMark/>
          </w:tcPr>
          <w:p w:rsidR="004B7AFD" w:rsidRPr="004B7AFD" w:rsidRDefault="004B7AFD" w:rsidP="004B7AFD">
            <w:pPr>
              <w:widowControl/>
              <w:rPr>
                <w:rFonts w:ascii="Calibri" w:hAnsi="Calibri" w:cs="Calibri"/>
                <w:snapToGrid/>
                <w:color w:val="000000"/>
                <w:sz w:val="24"/>
                <w:szCs w:val="24"/>
              </w:rPr>
            </w:pPr>
            <w:r w:rsidRPr="004B7AFD">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AFD" w:rsidRPr="004B7AFD" w:rsidRDefault="00D0760C" w:rsidP="0021517B">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AFD" w:rsidRDefault="004B7AFD" w:rsidP="00C564B1">
            <w:pPr>
              <w:widowControl/>
              <w:jc w:val="center"/>
              <w:rPr>
                <w:rFonts w:ascii="Calibri" w:hAnsi="Calibri" w:cs="Calibri"/>
                <w:b/>
                <w:bCs/>
                <w:snapToGrid/>
                <w:color w:val="000000"/>
                <w:sz w:val="24"/>
                <w:szCs w:val="24"/>
              </w:rPr>
            </w:pPr>
            <w:r w:rsidRPr="004B7AFD">
              <w:rPr>
                <w:rFonts w:ascii="Calibri" w:hAnsi="Calibri" w:cs="Calibri"/>
                <w:b/>
                <w:bCs/>
                <w:snapToGrid/>
                <w:color w:val="000000"/>
                <w:sz w:val="24"/>
                <w:szCs w:val="24"/>
              </w:rPr>
              <w:t>31/12/201</w:t>
            </w:r>
            <w:r w:rsidR="00C564B1">
              <w:rPr>
                <w:rFonts w:ascii="Calibri" w:hAnsi="Calibri" w:cs="Calibri"/>
                <w:b/>
                <w:bCs/>
                <w:snapToGrid/>
                <w:color w:val="000000"/>
                <w:sz w:val="24"/>
                <w:szCs w:val="24"/>
              </w:rPr>
              <w:t>8</w:t>
            </w:r>
          </w:p>
          <w:p w:rsidR="002B76E9" w:rsidRPr="002B76E9" w:rsidRDefault="002B76E9" w:rsidP="00C564B1">
            <w:pPr>
              <w:widowControl/>
              <w:jc w:val="center"/>
              <w:rPr>
                <w:rFonts w:ascii="Calibri" w:hAnsi="Calibri" w:cs="Calibri"/>
                <w:bCs/>
                <w:snapToGrid/>
                <w:color w:val="000000"/>
                <w:sz w:val="24"/>
                <w:szCs w:val="24"/>
              </w:rPr>
            </w:pPr>
            <w:r w:rsidRPr="002B76E9">
              <w:rPr>
                <w:rFonts w:ascii="Calibri" w:hAnsi="Calibri" w:cs="Calibri"/>
                <w:bCs/>
                <w:snapToGrid/>
                <w:color w:val="000000"/>
                <w:sz w:val="24"/>
                <w:szCs w:val="24"/>
              </w:rPr>
              <w:t>(Reapresentado)</w:t>
            </w:r>
          </w:p>
        </w:tc>
      </w:tr>
      <w:tr w:rsidR="00C564B1" w:rsidRPr="004B7AFD" w:rsidTr="002B76E9">
        <w:trPr>
          <w:trHeight w:val="284"/>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64B1" w:rsidRPr="004B7AFD" w:rsidRDefault="00C564B1" w:rsidP="00C564B1">
            <w:pPr>
              <w:widowControl/>
              <w:rPr>
                <w:rFonts w:ascii="Calibri" w:hAnsi="Calibri" w:cs="Calibri"/>
                <w:snapToGrid/>
                <w:color w:val="000000"/>
                <w:sz w:val="24"/>
                <w:szCs w:val="24"/>
              </w:rPr>
            </w:pPr>
            <w:r w:rsidRPr="004B7AFD">
              <w:rPr>
                <w:rFonts w:ascii="Calibri" w:hAnsi="Calibri" w:cs="Calibri"/>
                <w:snapToGrid/>
                <w:color w:val="000000"/>
                <w:sz w:val="24"/>
                <w:szCs w:val="24"/>
              </w:rPr>
              <w:t>Trabalhistas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4B1" w:rsidRPr="004B7AFD" w:rsidRDefault="003E3069" w:rsidP="0021517B">
            <w:pPr>
              <w:widowControl/>
              <w:jc w:val="right"/>
              <w:rPr>
                <w:rFonts w:ascii="Calibri" w:hAnsi="Calibri" w:cs="Calibri"/>
                <w:snapToGrid/>
                <w:color w:val="000000"/>
                <w:sz w:val="24"/>
                <w:szCs w:val="24"/>
              </w:rPr>
            </w:pPr>
            <w:r>
              <w:rPr>
                <w:rFonts w:ascii="Calibri" w:hAnsi="Calibri" w:cs="Calibri"/>
                <w:snapToGrid/>
                <w:color w:val="000000"/>
                <w:sz w:val="24"/>
                <w:szCs w:val="24"/>
              </w:rPr>
              <w:t>246.196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4B1" w:rsidRPr="004B7AFD" w:rsidRDefault="00F3561F" w:rsidP="00F3561F">
            <w:pPr>
              <w:widowControl/>
              <w:jc w:val="right"/>
              <w:rPr>
                <w:rFonts w:ascii="Calibri" w:hAnsi="Calibri" w:cs="Calibri"/>
                <w:snapToGrid/>
                <w:color w:val="000000"/>
                <w:sz w:val="24"/>
                <w:szCs w:val="24"/>
              </w:rPr>
            </w:pPr>
            <w:r>
              <w:rPr>
                <w:rFonts w:ascii="Calibri" w:hAnsi="Calibri" w:cs="Calibri"/>
                <w:snapToGrid/>
                <w:color w:val="000000"/>
                <w:sz w:val="24"/>
                <w:szCs w:val="24"/>
              </w:rPr>
              <w:t>251.003</w:t>
            </w:r>
          </w:p>
        </w:tc>
      </w:tr>
      <w:tr w:rsidR="00C564B1" w:rsidRPr="004B7AFD" w:rsidTr="002B76E9">
        <w:trPr>
          <w:trHeight w:val="284"/>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64B1" w:rsidRPr="004B7AFD" w:rsidRDefault="00C564B1" w:rsidP="00C564B1">
            <w:pPr>
              <w:widowControl/>
              <w:rPr>
                <w:rFonts w:ascii="Calibri" w:hAnsi="Calibri" w:cs="Calibri"/>
                <w:snapToGrid/>
                <w:color w:val="000000"/>
                <w:sz w:val="24"/>
                <w:szCs w:val="24"/>
              </w:rPr>
            </w:pPr>
            <w:r w:rsidRPr="004B7AFD">
              <w:rPr>
                <w:rFonts w:ascii="Calibri" w:hAnsi="Calibri" w:cs="Calibri"/>
                <w:snapToGrid/>
                <w:color w:val="000000"/>
                <w:sz w:val="24"/>
                <w:szCs w:val="24"/>
              </w:rPr>
              <w:t>Cíveis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4B1" w:rsidRPr="004B7AFD" w:rsidRDefault="003E3069" w:rsidP="00C564B1">
            <w:pPr>
              <w:widowControl/>
              <w:jc w:val="right"/>
              <w:rPr>
                <w:rFonts w:ascii="Calibri" w:hAnsi="Calibri" w:cs="Calibri"/>
                <w:snapToGrid/>
                <w:color w:val="000000"/>
                <w:sz w:val="24"/>
                <w:szCs w:val="24"/>
              </w:rPr>
            </w:pPr>
            <w:r>
              <w:rPr>
                <w:rFonts w:ascii="Calibri" w:hAnsi="Calibri" w:cs="Calibri"/>
                <w:snapToGrid/>
                <w:color w:val="000000"/>
                <w:sz w:val="24"/>
                <w:szCs w:val="24"/>
              </w:rPr>
              <w:t>149.651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4B1" w:rsidRPr="004B7AFD" w:rsidRDefault="00F3561F" w:rsidP="00C564B1">
            <w:pPr>
              <w:widowControl/>
              <w:jc w:val="right"/>
              <w:rPr>
                <w:rFonts w:ascii="Calibri" w:hAnsi="Calibri" w:cs="Calibri"/>
                <w:snapToGrid/>
                <w:color w:val="000000"/>
                <w:sz w:val="24"/>
                <w:szCs w:val="24"/>
              </w:rPr>
            </w:pPr>
            <w:r>
              <w:rPr>
                <w:rFonts w:ascii="Calibri" w:hAnsi="Calibri" w:cs="Calibri"/>
                <w:snapToGrid/>
                <w:color w:val="000000"/>
                <w:sz w:val="24"/>
                <w:szCs w:val="24"/>
              </w:rPr>
              <w:t>1.203.057</w:t>
            </w:r>
          </w:p>
        </w:tc>
      </w:tr>
      <w:tr w:rsidR="00C564B1" w:rsidRPr="004B7AFD" w:rsidTr="002B76E9">
        <w:trPr>
          <w:trHeight w:val="284"/>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64B1" w:rsidRPr="004B7AFD" w:rsidRDefault="00C564B1" w:rsidP="00C564B1">
            <w:pPr>
              <w:widowControl/>
              <w:rPr>
                <w:rFonts w:ascii="Calibri" w:hAnsi="Calibri" w:cs="Calibri"/>
                <w:snapToGrid/>
                <w:color w:val="000000"/>
                <w:sz w:val="24"/>
                <w:szCs w:val="24"/>
              </w:rPr>
            </w:pPr>
            <w:r w:rsidRPr="004B7AFD">
              <w:rPr>
                <w:rFonts w:ascii="Calibri" w:hAnsi="Calibri" w:cs="Calibri"/>
                <w:snapToGrid/>
                <w:color w:val="000000"/>
                <w:sz w:val="24"/>
                <w:szCs w:val="24"/>
              </w:rPr>
              <w:t>Tributárias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4B1" w:rsidRPr="004B7AFD" w:rsidRDefault="003E3069" w:rsidP="00C564B1">
            <w:pPr>
              <w:widowControl/>
              <w:jc w:val="right"/>
              <w:rPr>
                <w:rFonts w:ascii="Calibri" w:hAnsi="Calibri" w:cs="Calibri"/>
                <w:snapToGrid/>
                <w:color w:val="000000"/>
                <w:sz w:val="24"/>
                <w:szCs w:val="24"/>
              </w:rPr>
            </w:pPr>
            <w:r>
              <w:rPr>
                <w:rFonts w:ascii="Calibri" w:hAnsi="Calibri" w:cs="Calibri"/>
                <w:snapToGrid/>
                <w:color w:val="000000"/>
                <w:sz w:val="24"/>
                <w:szCs w:val="24"/>
              </w:rPr>
              <w:t>302.974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4B1" w:rsidRPr="004B7AFD" w:rsidRDefault="00F3561F" w:rsidP="00C564B1">
            <w:pPr>
              <w:widowControl/>
              <w:jc w:val="right"/>
              <w:rPr>
                <w:rFonts w:ascii="Calibri" w:hAnsi="Calibri" w:cs="Calibri"/>
                <w:snapToGrid/>
                <w:color w:val="000000"/>
                <w:sz w:val="24"/>
                <w:szCs w:val="24"/>
              </w:rPr>
            </w:pPr>
            <w:r>
              <w:rPr>
                <w:rFonts w:ascii="Calibri" w:hAnsi="Calibri" w:cs="Calibri"/>
                <w:snapToGrid/>
                <w:color w:val="000000"/>
                <w:sz w:val="24"/>
                <w:szCs w:val="24"/>
              </w:rPr>
              <w:t>273.726</w:t>
            </w:r>
          </w:p>
        </w:tc>
      </w:tr>
      <w:tr w:rsidR="00C564B1" w:rsidRPr="004B7AFD" w:rsidTr="00697525">
        <w:trPr>
          <w:trHeight w:val="284"/>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64B1" w:rsidRPr="004B7AFD" w:rsidRDefault="00C564B1" w:rsidP="00C564B1">
            <w:pPr>
              <w:widowControl/>
              <w:rPr>
                <w:rFonts w:ascii="Calibri" w:hAnsi="Calibri" w:cs="Calibri"/>
                <w:b/>
                <w:bCs/>
                <w:snapToGrid/>
                <w:color w:val="000000"/>
                <w:sz w:val="24"/>
                <w:szCs w:val="24"/>
              </w:rPr>
            </w:pPr>
            <w:r w:rsidRPr="004B7AFD">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4B1" w:rsidRPr="004B7AFD" w:rsidRDefault="003E3069" w:rsidP="00C564B1">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698.818</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64B1" w:rsidRPr="004B7AFD" w:rsidRDefault="00F3561F" w:rsidP="00C564B1">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1.727.786</w:t>
            </w:r>
          </w:p>
        </w:tc>
      </w:tr>
    </w:tbl>
    <w:p w:rsidR="004A7359" w:rsidRDefault="004A7359" w:rsidP="00C16DDB">
      <w:pPr>
        <w:jc w:val="both"/>
        <w:rPr>
          <w:rFonts w:ascii="Calibri" w:hAnsi="Calibri" w:cs="Calibri"/>
          <w:sz w:val="24"/>
          <w:szCs w:val="24"/>
        </w:rPr>
      </w:pPr>
    </w:p>
    <w:p w:rsidR="00FE514C" w:rsidRDefault="00A60029" w:rsidP="00C16DDB">
      <w:pPr>
        <w:jc w:val="both"/>
        <w:rPr>
          <w:rFonts w:ascii="Calibri" w:hAnsi="Calibri" w:cs="Calibri"/>
          <w:sz w:val="24"/>
          <w:szCs w:val="24"/>
        </w:rPr>
      </w:pPr>
      <w:r>
        <w:rPr>
          <w:rFonts w:ascii="Calibri" w:hAnsi="Calibri" w:cs="Calibri"/>
          <w:sz w:val="24"/>
          <w:szCs w:val="24"/>
        </w:rPr>
        <w:t>Segundo informações da Superintendência Jurídica da CDRJ, a</w:t>
      </w:r>
      <w:r w:rsidR="00C16DDB" w:rsidRPr="00312424">
        <w:rPr>
          <w:rFonts w:ascii="Calibri" w:hAnsi="Calibri" w:cs="Calibri"/>
          <w:sz w:val="24"/>
          <w:szCs w:val="24"/>
        </w:rPr>
        <w:t>s Provisões são reconhecidas tendo como base as opiniões dos advogados sobre o valor a</w:t>
      </w:r>
      <w:r>
        <w:rPr>
          <w:rFonts w:ascii="Calibri" w:hAnsi="Calibri" w:cs="Calibri"/>
          <w:sz w:val="24"/>
          <w:szCs w:val="24"/>
        </w:rPr>
        <w:t xml:space="preserve"> ser desembolsado em cada ação, considerando a fase processual em que se encontram, levando em consideração os valores depositados, levantamentos e cálculos homologados. </w:t>
      </w:r>
    </w:p>
    <w:p w:rsidR="00FE514C" w:rsidRDefault="00FE514C" w:rsidP="00C16DDB">
      <w:pPr>
        <w:jc w:val="both"/>
        <w:rPr>
          <w:rFonts w:ascii="Calibri" w:hAnsi="Calibri" w:cs="Calibri"/>
          <w:sz w:val="24"/>
          <w:szCs w:val="24"/>
        </w:rPr>
      </w:pPr>
    </w:p>
    <w:p w:rsidR="00A60029" w:rsidRDefault="00A60029" w:rsidP="00C16DDB">
      <w:pPr>
        <w:jc w:val="both"/>
        <w:rPr>
          <w:rFonts w:ascii="Calibri" w:hAnsi="Calibri" w:cs="Calibri"/>
          <w:sz w:val="24"/>
          <w:szCs w:val="24"/>
        </w:rPr>
      </w:pPr>
      <w:r>
        <w:rPr>
          <w:rFonts w:ascii="Calibri" w:hAnsi="Calibri" w:cs="Calibri"/>
          <w:sz w:val="24"/>
          <w:szCs w:val="24"/>
        </w:rPr>
        <w:t>Os valores foram atualizados pelos índices dos respectivos tribunais em que tramitam as ações, acrescidos de juros de mora, conforme legislação vigente. Os processos classificados como perda remota foram calculados com base nos pedidos apresentados na inicial. Aqueles considerados como perda possível tiveram seus valores definidos com base em decisões na primeira instância. Os processos classificados como perdas prováveis foram calculados com base na decisão em segunda instância.</w:t>
      </w:r>
    </w:p>
    <w:p w:rsidR="00FE514C" w:rsidRDefault="00FE514C" w:rsidP="00C16DDB">
      <w:pPr>
        <w:jc w:val="both"/>
        <w:rPr>
          <w:rFonts w:ascii="Calibri" w:hAnsi="Calibri" w:cs="Calibri"/>
          <w:sz w:val="24"/>
          <w:szCs w:val="24"/>
        </w:rPr>
      </w:pPr>
    </w:p>
    <w:p w:rsidR="00AD1802" w:rsidRDefault="00AD1802" w:rsidP="00AD1802">
      <w:pPr>
        <w:jc w:val="both"/>
        <w:rPr>
          <w:rFonts w:ascii="Calibri" w:hAnsi="Calibri" w:cs="Calibri"/>
          <w:sz w:val="24"/>
          <w:szCs w:val="24"/>
        </w:rPr>
      </w:pPr>
      <w:r>
        <w:rPr>
          <w:rFonts w:ascii="Calibri" w:hAnsi="Calibri" w:cs="Calibri"/>
          <w:sz w:val="24"/>
          <w:szCs w:val="24"/>
        </w:rPr>
        <w:t>Destacam-se as seguintes ações classificadas, pela Superintendência Jurídica, com perda</w:t>
      </w:r>
      <w:r w:rsidR="00A60029">
        <w:rPr>
          <w:rFonts w:ascii="Calibri" w:hAnsi="Calibri" w:cs="Calibri"/>
          <w:sz w:val="24"/>
          <w:szCs w:val="24"/>
        </w:rPr>
        <w:t>s</w:t>
      </w:r>
      <w:r>
        <w:rPr>
          <w:rFonts w:ascii="Calibri" w:hAnsi="Calibri" w:cs="Calibri"/>
          <w:sz w:val="24"/>
          <w:szCs w:val="24"/>
        </w:rPr>
        <w:t xml:space="preserve"> prováveis:</w:t>
      </w:r>
    </w:p>
    <w:p w:rsidR="00AD1802" w:rsidRDefault="00AD1802" w:rsidP="00AD1802">
      <w:pPr>
        <w:jc w:val="both"/>
        <w:rPr>
          <w:rFonts w:ascii="Calibri" w:hAnsi="Calibri" w:cs="Calibri"/>
          <w:sz w:val="24"/>
          <w:szCs w:val="24"/>
        </w:rPr>
      </w:pPr>
    </w:p>
    <w:p w:rsidR="00AD1802" w:rsidRPr="00FE514C" w:rsidRDefault="00AD1802" w:rsidP="00AD1802">
      <w:pPr>
        <w:jc w:val="both"/>
        <w:rPr>
          <w:rFonts w:ascii="Calibri" w:hAnsi="Calibri" w:cs="Calibri"/>
          <w:b/>
          <w:sz w:val="24"/>
          <w:szCs w:val="24"/>
        </w:rPr>
      </w:pPr>
      <w:r w:rsidRPr="00FE514C">
        <w:rPr>
          <w:rFonts w:ascii="Calibri" w:hAnsi="Calibri" w:cs="Calibri"/>
          <w:b/>
          <w:sz w:val="24"/>
          <w:szCs w:val="24"/>
        </w:rPr>
        <w:t>Ações Cíveis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9"/>
        <w:gridCol w:w="3158"/>
        <w:gridCol w:w="2977"/>
        <w:gridCol w:w="1185"/>
      </w:tblGrid>
      <w:tr w:rsidR="00AD1802" w:rsidTr="00707B6E">
        <w:tc>
          <w:tcPr>
            <w:tcW w:w="2649" w:type="dxa"/>
          </w:tcPr>
          <w:p w:rsidR="00AD1802" w:rsidRPr="00FC72C3" w:rsidRDefault="00AD1802" w:rsidP="00707B6E">
            <w:pPr>
              <w:jc w:val="center"/>
              <w:rPr>
                <w:rFonts w:ascii="Calibri" w:hAnsi="Calibri" w:cs="Calibri"/>
                <w:sz w:val="22"/>
                <w:szCs w:val="22"/>
              </w:rPr>
            </w:pPr>
            <w:r w:rsidRPr="00FC72C3">
              <w:rPr>
                <w:rFonts w:ascii="Calibri" w:hAnsi="Calibri" w:cs="Calibri"/>
                <w:sz w:val="22"/>
                <w:szCs w:val="22"/>
              </w:rPr>
              <w:t>Processo</w:t>
            </w:r>
          </w:p>
        </w:tc>
        <w:tc>
          <w:tcPr>
            <w:tcW w:w="3158" w:type="dxa"/>
          </w:tcPr>
          <w:p w:rsidR="00AD1802" w:rsidRPr="00FC72C3" w:rsidRDefault="00AD1802" w:rsidP="00707B6E">
            <w:pPr>
              <w:jc w:val="center"/>
              <w:rPr>
                <w:rFonts w:ascii="Calibri" w:hAnsi="Calibri" w:cs="Calibri"/>
                <w:sz w:val="22"/>
                <w:szCs w:val="22"/>
              </w:rPr>
            </w:pPr>
            <w:r w:rsidRPr="00FC72C3">
              <w:rPr>
                <w:rFonts w:ascii="Calibri" w:hAnsi="Calibri" w:cs="Calibri"/>
                <w:sz w:val="22"/>
                <w:szCs w:val="22"/>
              </w:rPr>
              <w:t>Parte</w:t>
            </w:r>
          </w:p>
        </w:tc>
        <w:tc>
          <w:tcPr>
            <w:tcW w:w="2977" w:type="dxa"/>
          </w:tcPr>
          <w:p w:rsidR="00AD1802" w:rsidRPr="00FC72C3" w:rsidRDefault="00AD1802" w:rsidP="00707B6E">
            <w:pPr>
              <w:jc w:val="center"/>
              <w:rPr>
                <w:rFonts w:ascii="Calibri" w:hAnsi="Calibri" w:cs="Calibri"/>
                <w:sz w:val="22"/>
                <w:szCs w:val="22"/>
              </w:rPr>
            </w:pPr>
            <w:r w:rsidRPr="00FC72C3">
              <w:rPr>
                <w:rFonts w:ascii="Calibri" w:hAnsi="Calibri" w:cs="Calibri"/>
                <w:sz w:val="22"/>
                <w:szCs w:val="22"/>
              </w:rPr>
              <w:t>Tipo</w:t>
            </w:r>
          </w:p>
        </w:tc>
        <w:tc>
          <w:tcPr>
            <w:tcW w:w="1185" w:type="dxa"/>
          </w:tcPr>
          <w:p w:rsidR="00AD1802" w:rsidRPr="00FC72C3" w:rsidRDefault="00AD1802" w:rsidP="00707B6E">
            <w:pPr>
              <w:jc w:val="center"/>
              <w:rPr>
                <w:rFonts w:ascii="Calibri" w:hAnsi="Calibri" w:cs="Calibri"/>
                <w:sz w:val="22"/>
                <w:szCs w:val="22"/>
              </w:rPr>
            </w:pPr>
            <w:r w:rsidRPr="00FC72C3">
              <w:rPr>
                <w:rFonts w:ascii="Calibri" w:hAnsi="Calibri" w:cs="Calibri"/>
                <w:sz w:val="22"/>
                <w:szCs w:val="22"/>
              </w:rPr>
              <w:t>Valor</w:t>
            </w:r>
          </w:p>
        </w:tc>
      </w:tr>
      <w:tr w:rsidR="00DF3D4B" w:rsidTr="00707B6E">
        <w:tc>
          <w:tcPr>
            <w:tcW w:w="2649" w:type="dxa"/>
            <w:vAlign w:val="center"/>
          </w:tcPr>
          <w:p w:rsidR="00DF3D4B" w:rsidRPr="00DF3D4B" w:rsidRDefault="00DF3D4B" w:rsidP="00DF3D4B">
            <w:pPr>
              <w:jc w:val="center"/>
              <w:rPr>
                <w:rFonts w:asciiTheme="minorHAnsi" w:hAnsiTheme="minorHAnsi" w:cstheme="minorHAnsi"/>
                <w:sz w:val="22"/>
                <w:szCs w:val="22"/>
              </w:rPr>
            </w:pPr>
            <w:r w:rsidRPr="00DF3D4B">
              <w:rPr>
                <w:rFonts w:asciiTheme="minorHAnsi" w:hAnsiTheme="minorHAnsi" w:cstheme="minorHAnsi"/>
                <w:sz w:val="22"/>
                <w:szCs w:val="22"/>
              </w:rPr>
              <w:t>01055945920048190001</w:t>
            </w:r>
          </w:p>
        </w:tc>
        <w:tc>
          <w:tcPr>
            <w:tcW w:w="3158" w:type="dxa"/>
            <w:vAlign w:val="center"/>
          </w:tcPr>
          <w:p w:rsidR="00DF3D4B" w:rsidRPr="00FC72C3" w:rsidRDefault="00DF3D4B" w:rsidP="00DF3D4B">
            <w:pPr>
              <w:widowControl/>
              <w:rPr>
                <w:rFonts w:asciiTheme="minorHAnsi" w:hAnsiTheme="minorHAnsi" w:cstheme="minorHAnsi"/>
                <w:snapToGrid/>
                <w:sz w:val="22"/>
                <w:szCs w:val="22"/>
              </w:rPr>
            </w:pPr>
            <w:proofErr w:type="spellStart"/>
            <w:r>
              <w:rPr>
                <w:rFonts w:asciiTheme="minorHAnsi" w:hAnsiTheme="minorHAnsi" w:cstheme="minorHAnsi"/>
                <w:snapToGrid/>
                <w:sz w:val="22"/>
                <w:szCs w:val="22"/>
              </w:rPr>
              <w:t>Portus</w:t>
            </w:r>
            <w:proofErr w:type="spellEnd"/>
            <w:r>
              <w:rPr>
                <w:rFonts w:asciiTheme="minorHAnsi" w:hAnsiTheme="minorHAnsi" w:cstheme="minorHAnsi"/>
                <w:snapToGrid/>
                <w:sz w:val="22"/>
                <w:szCs w:val="22"/>
              </w:rPr>
              <w:t xml:space="preserve"> – Instituto de Seguridade</w:t>
            </w:r>
          </w:p>
        </w:tc>
        <w:tc>
          <w:tcPr>
            <w:tcW w:w="2977" w:type="dxa"/>
            <w:vAlign w:val="center"/>
          </w:tcPr>
          <w:p w:rsidR="00DF3D4B" w:rsidRPr="00FC72C3" w:rsidRDefault="00DF3D4B" w:rsidP="00DF3D4B">
            <w:pPr>
              <w:widowControl/>
              <w:rPr>
                <w:rFonts w:asciiTheme="minorHAnsi" w:hAnsiTheme="minorHAnsi" w:cstheme="minorHAnsi"/>
                <w:snapToGrid/>
                <w:sz w:val="22"/>
                <w:szCs w:val="22"/>
              </w:rPr>
            </w:pPr>
            <w:r>
              <w:rPr>
                <w:rFonts w:asciiTheme="minorHAnsi" w:hAnsiTheme="minorHAnsi" w:cstheme="minorHAnsi"/>
                <w:sz w:val="22"/>
                <w:szCs w:val="22"/>
              </w:rPr>
              <w:t>Cobrança</w:t>
            </w:r>
          </w:p>
        </w:tc>
        <w:tc>
          <w:tcPr>
            <w:tcW w:w="1185" w:type="dxa"/>
            <w:vAlign w:val="center"/>
          </w:tcPr>
          <w:p w:rsidR="00DF3D4B" w:rsidRPr="00FC72C3" w:rsidRDefault="00DF3D4B" w:rsidP="00DF3D4B">
            <w:pPr>
              <w:widowControl/>
              <w:jc w:val="right"/>
              <w:rPr>
                <w:rFonts w:asciiTheme="minorHAnsi" w:hAnsiTheme="minorHAnsi" w:cstheme="minorHAnsi"/>
                <w:snapToGrid/>
                <w:sz w:val="22"/>
                <w:szCs w:val="22"/>
              </w:rPr>
            </w:pPr>
            <w:r>
              <w:rPr>
                <w:rFonts w:asciiTheme="minorHAnsi" w:hAnsiTheme="minorHAnsi" w:cstheme="minorHAnsi"/>
                <w:snapToGrid/>
                <w:sz w:val="22"/>
                <w:szCs w:val="22"/>
              </w:rPr>
              <w:t>62.249</w:t>
            </w:r>
          </w:p>
        </w:tc>
      </w:tr>
      <w:tr w:rsidR="00DF3D4B" w:rsidTr="00707B6E">
        <w:tc>
          <w:tcPr>
            <w:tcW w:w="2649" w:type="dxa"/>
            <w:vAlign w:val="center"/>
          </w:tcPr>
          <w:p w:rsidR="00DF3D4B" w:rsidRPr="00DF3D4B" w:rsidRDefault="00DF3D4B" w:rsidP="00DF3D4B">
            <w:pPr>
              <w:jc w:val="center"/>
              <w:rPr>
                <w:rFonts w:asciiTheme="minorHAnsi" w:hAnsiTheme="minorHAnsi" w:cstheme="minorHAnsi"/>
                <w:sz w:val="22"/>
                <w:szCs w:val="22"/>
              </w:rPr>
            </w:pPr>
            <w:r w:rsidRPr="00DF3D4B">
              <w:rPr>
                <w:rFonts w:asciiTheme="minorHAnsi" w:hAnsiTheme="minorHAnsi" w:cstheme="minorHAnsi"/>
                <w:sz w:val="22"/>
                <w:szCs w:val="22"/>
              </w:rPr>
              <w:t>00059858319974025101</w:t>
            </w:r>
          </w:p>
        </w:tc>
        <w:tc>
          <w:tcPr>
            <w:tcW w:w="3158" w:type="dxa"/>
            <w:vAlign w:val="center"/>
          </w:tcPr>
          <w:p w:rsidR="00DF3D4B" w:rsidRPr="00FC72C3" w:rsidRDefault="00DF3D4B" w:rsidP="00DF3D4B">
            <w:pPr>
              <w:rPr>
                <w:rFonts w:asciiTheme="minorHAnsi" w:hAnsiTheme="minorHAnsi" w:cstheme="minorHAnsi"/>
                <w:sz w:val="22"/>
                <w:szCs w:val="22"/>
              </w:rPr>
            </w:pPr>
            <w:r>
              <w:rPr>
                <w:rFonts w:asciiTheme="minorHAnsi" w:hAnsiTheme="minorHAnsi" w:cstheme="minorHAnsi"/>
                <w:sz w:val="22"/>
                <w:szCs w:val="22"/>
              </w:rPr>
              <w:t>Banco J.P. Morgan</w:t>
            </w:r>
          </w:p>
        </w:tc>
        <w:tc>
          <w:tcPr>
            <w:tcW w:w="2977" w:type="dxa"/>
            <w:vAlign w:val="center"/>
          </w:tcPr>
          <w:p w:rsidR="00DF3D4B" w:rsidRPr="00FC72C3" w:rsidRDefault="00DF3D4B" w:rsidP="00DF3D4B">
            <w:pPr>
              <w:rPr>
                <w:rFonts w:asciiTheme="minorHAnsi" w:hAnsiTheme="minorHAnsi" w:cstheme="minorHAnsi"/>
                <w:sz w:val="22"/>
                <w:szCs w:val="22"/>
              </w:rPr>
            </w:pPr>
            <w:r>
              <w:rPr>
                <w:rFonts w:asciiTheme="minorHAnsi" w:hAnsiTheme="minorHAnsi" w:cstheme="minorHAnsi"/>
                <w:sz w:val="22"/>
                <w:szCs w:val="22"/>
              </w:rPr>
              <w:t>Execução</w:t>
            </w:r>
          </w:p>
        </w:tc>
        <w:tc>
          <w:tcPr>
            <w:tcW w:w="1185" w:type="dxa"/>
            <w:vAlign w:val="center"/>
          </w:tcPr>
          <w:p w:rsidR="00DF3D4B" w:rsidRPr="00FC72C3" w:rsidRDefault="00DF3D4B" w:rsidP="00DF3D4B">
            <w:pPr>
              <w:jc w:val="right"/>
              <w:rPr>
                <w:rFonts w:asciiTheme="minorHAnsi" w:hAnsiTheme="minorHAnsi" w:cstheme="minorHAnsi"/>
                <w:sz w:val="22"/>
                <w:szCs w:val="22"/>
              </w:rPr>
            </w:pPr>
            <w:r>
              <w:rPr>
                <w:rFonts w:asciiTheme="minorHAnsi" w:hAnsiTheme="minorHAnsi" w:cstheme="minorHAnsi"/>
                <w:sz w:val="22"/>
                <w:szCs w:val="22"/>
              </w:rPr>
              <w:t>43.251</w:t>
            </w:r>
          </w:p>
        </w:tc>
      </w:tr>
      <w:tr w:rsidR="00DF3D4B" w:rsidTr="00707B6E">
        <w:tc>
          <w:tcPr>
            <w:tcW w:w="2649" w:type="dxa"/>
            <w:vAlign w:val="center"/>
          </w:tcPr>
          <w:p w:rsidR="00DF3D4B" w:rsidRPr="00DF3D4B" w:rsidRDefault="00DF3D4B" w:rsidP="00DF3D4B">
            <w:pPr>
              <w:jc w:val="center"/>
              <w:rPr>
                <w:rFonts w:asciiTheme="minorHAnsi" w:hAnsiTheme="minorHAnsi" w:cstheme="minorHAnsi"/>
                <w:sz w:val="22"/>
                <w:szCs w:val="22"/>
              </w:rPr>
            </w:pPr>
            <w:r w:rsidRPr="00DF3D4B">
              <w:rPr>
                <w:rFonts w:asciiTheme="minorHAnsi" w:hAnsiTheme="minorHAnsi" w:cstheme="minorHAnsi"/>
                <w:sz w:val="22"/>
                <w:szCs w:val="22"/>
              </w:rPr>
              <w:t>00224729519978190001</w:t>
            </w:r>
          </w:p>
        </w:tc>
        <w:tc>
          <w:tcPr>
            <w:tcW w:w="3158" w:type="dxa"/>
            <w:vAlign w:val="center"/>
          </w:tcPr>
          <w:p w:rsidR="00DF3D4B" w:rsidRPr="00FC72C3" w:rsidRDefault="00DF3D4B" w:rsidP="00DF3D4B">
            <w:pPr>
              <w:rPr>
                <w:rFonts w:asciiTheme="minorHAnsi" w:hAnsiTheme="minorHAnsi" w:cstheme="minorHAnsi"/>
                <w:sz w:val="22"/>
                <w:szCs w:val="22"/>
              </w:rPr>
            </w:pPr>
            <w:proofErr w:type="spellStart"/>
            <w:r>
              <w:rPr>
                <w:rFonts w:asciiTheme="minorHAnsi" w:hAnsiTheme="minorHAnsi" w:cstheme="minorHAnsi"/>
                <w:sz w:val="22"/>
                <w:szCs w:val="22"/>
              </w:rPr>
              <w:t>Portus</w:t>
            </w:r>
            <w:proofErr w:type="spellEnd"/>
            <w:r>
              <w:rPr>
                <w:rFonts w:asciiTheme="minorHAnsi" w:hAnsiTheme="minorHAnsi" w:cstheme="minorHAnsi"/>
                <w:sz w:val="22"/>
                <w:szCs w:val="22"/>
              </w:rPr>
              <w:t xml:space="preserve"> – Instituto de Seguridade</w:t>
            </w:r>
          </w:p>
        </w:tc>
        <w:tc>
          <w:tcPr>
            <w:tcW w:w="2977" w:type="dxa"/>
            <w:vAlign w:val="center"/>
          </w:tcPr>
          <w:p w:rsidR="00DF3D4B" w:rsidRPr="00FC72C3" w:rsidRDefault="00DF3D4B" w:rsidP="00DF3D4B">
            <w:pPr>
              <w:rPr>
                <w:rFonts w:asciiTheme="minorHAnsi" w:hAnsiTheme="minorHAnsi" w:cstheme="minorHAnsi"/>
                <w:sz w:val="22"/>
                <w:szCs w:val="22"/>
              </w:rPr>
            </w:pPr>
            <w:r>
              <w:rPr>
                <w:rFonts w:asciiTheme="minorHAnsi" w:hAnsiTheme="minorHAnsi" w:cstheme="minorHAnsi"/>
                <w:sz w:val="22"/>
                <w:szCs w:val="22"/>
              </w:rPr>
              <w:t>Execução</w:t>
            </w:r>
          </w:p>
        </w:tc>
        <w:tc>
          <w:tcPr>
            <w:tcW w:w="1185" w:type="dxa"/>
            <w:vAlign w:val="center"/>
          </w:tcPr>
          <w:p w:rsidR="00DF3D4B" w:rsidRPr="00FC72C3" w:rsidRDefault="00DF3D4B" w:rsidP="00DF3D4B">
            <w:pPr>
              <w:jc w:val="right"/>
              <w:rPr>
                <w:rFonts w:asciiTheme="minorHAnsi" w:hAnsiTheme="minorHAnsi" w:cstheme="minorHAnsi"/>
                <w:sz w:val="22"/>
                <w:szCs w:val="22"/>
              </w:rPr>
            </w:pPr>
            <w:r>
              <w:rPr>
                <w:rFonts w:asciiTheme="minorHAnsi" w:hAnsiTheme="minorHAnsi" w:cstheme="minorHAnsi"/>
                <w:sz w:val="22"/>
                <w:szCs w:val="22"/>
              </w:rPr>
              <w:t>19.297</w:t>
            </w:r>
          </w:p>
        </w:tc>
      </w:tr>
      <w:tr w:rsidR="00DF3D4B" w:rsidTr="00707B6E">
        <w:tc>
          <w:tcPr>
            <w:tcW w:w="2649" w:type="dxa"/>
            <w:vAlign w:val="center"/>
          </w:tcPr>
          <w:p w:rsidR="00DF3D4B" w:rsidRPr="00DF3D4B" w:rsidRDefault="00DF3D4B" w:rsidP="00DF3D4B">
            <w:pPr>
              <w:jc w:val="center"/>
              <w:rPr>
                <w:rFonts w:asciiTheme="minorHAnsi" w:hAnsiTheme="minorHAnsi" w:cstheme="minorHAnsi"/>
                <w:sz w:val="22"/>
                <w:szCs w:val="22"/>
              </w:rPr>
            </w:pPr>
            <w:r w:rsidRPr="00DF3D4B">
              <w:rPr>
                <w:rFonts w:asciiTheme="minorHAnsi" w:hAnsiTheme="minorHAnsi" w:cstheme="minorHAnsi"/>
                <w:sz w:val="22"/>
                <w:szCs w:val="22"/>
              </w:rPr>
              <w:t>00446082719944025101</w:t>
            </w:r>
          </w:p>
        </w:tc>
        <w:tc>
          <w:tcPr>
            <w:tcW w:w="3158" w:type="dxa"/>
            <w:vAlign w:val="center"/>
          </w:tcPr>
          <w:p w:rsidR="00DF3D4B" w:rsidRPr="00FC72C3" w:rsidRDefault="00DF3D4B" w:rsidP="00DF3D4B">
            <w:pPr>
              <w:rPr>
                <w:rFonts w:asciiTheme="minorHAnsi" w:hAnsiTheme="minorHAnsi" w:cstheme="minorHAnsi"/>
                <w:sz w:val="22"/>
                <w:szCs w:val="22"/>
              </w:rPr>
            </w:pPr>
            <w:proofErr w:type="spellStart"/>
            <w:r>
              <w:rPr>
                <w:rFonts w:asciiTheme="minorHAnsi" w:hAnsiTheme="minorHAnsi" w:cstheme="minorHAnsi"/>
                <w:sz w:val="22"/>
                <w:szCs w:val="22"/>
              </w:rPr>
              <w:t>Dibens</w:t>
            </w:r>
            <w:proofErr w:type="spellEnd"/>
            <w:r>
              <w:rPr>
                <w:rFonts w:asciiTheme="minorHAnsi" w:hAnsiTheme="minorHAnsi" w:cstheme="minorHAnsi"/>
                <w:sz w:val="22"/>
                <w:szCs w:val="22"/>
              </w:rPr>
              <w:t xml:space="preserve"> Leasing</w:t>
            </w:r>
          </w:p>
        </w:tc>
        <w:tc>
          <w:tcPr>
            <w:tcW w:w="2977" w:type="dxa"/>
            <w:vAlign w:val="center"/>
          </w:tcPr>
          <w:p w:rsidR="00DF3D4B" w:rsidRPr="00FC72C3" w:rsidRDefault="00DF3D4B" w:rsidP="00DF3D4B">
            <w:pPr>
              <w:rPr>
                <w:rFonts w:asciiTheme="minorHAnsi" w:hAnsiTheme="minorHAnsi" w:cstheme="minorHAnsi"/>
                <w:sz w:val="22"/>
                <w:szCs w:val="22"/>
              </w:rPr>
            </w:pPr>
            <w:r>
              <w:rPr>
                <w:rFonts w:asciiTheme="minorHAnsi" w:hAnsiTheme="minorHAnsi" w:cstheme="minorHAnsi"/>
                <w:sz w:val="22"/>
                <w:szCs w:val="22"/>
              </w:rPr>
              <w:t>Execução</w:t>
            </w:r>
          </w:p>
        </w:tc>
        <w:tc>
          <w:tcPr>
            <w:tcW w:w="1185" w:type="dxa"/>
            <w:vAlign w:val="center"/>
          </w:tcPr>
          <w:p w:rsidR="00DF3D4B" w:rsidRPr="00FC72C3" w:rsidRDefault="00DF3D4B" w:rsidP="00DF3D4B">
            <w:pPr>
              <w:jc w:val="right"/>
              <w:rPr>
                <w:rFonts w:asciiTheme="minorHAnsi" w:hAnsiTheme="minorHAnsi" w:cstheme="minorHAnsi"/>
                <w:sz w:val="22"/>
                <w:szCs w:val="22"/>
              </w:rPr>
            </w:pPr>
            <w:r>
              <w:rPr>
                <w:rFonts w:asciiTheme="minorHAnsi" w:hAnsiTheme="minorHAnsi" w:cstheme="minorHAnsi"/>
                <w:sz w:val="22"/>
                <w:szCs w:val="22"/>
              </w:rPr>
              <w:t>7.601</w:t>
            </w:r>
          </w:p>
        </w:tc>
      </w:tr>
      <w:tr w:rsidR="00DF3D4B" w:rsidTr="00707B6E">
        <w:tc>
          <w:tcPr>
            <w:tcW w:w="2649" w:type="dxa"/>
            <w:vAlign w:val="center"/>
          </w:tcPr>
          <w:p w:rsidR="00DF3D4B" w:rsidRPr="00DF3D4B" w:rsidRDefault="00DF3D4B" w:rsidP="00DF3D4B">
            <w:pPr>
              <w:jc w:val="center"/>
              <w:rPr>
                <w:rFonts w:asciiTheme="minorHAnsi" w:hAnsiTheme="minorHAnsi" w:cstheme="minorHAnsi"/>
                <w:sz w:val="22"/>
                <w:szCs w:val="22"/>
              </w:rPr>
            </w:pPr>
            <w:r w:rsidRPr="00DF3D4B">
              <w:rPr>
                <w:rFonts w:asciiTheme="minorHAnsi" w:hAnsiTheme="minorHAnsi" w:cstheme="minorHAnsi"/>
                <w:sz w:val="22"/>
                <w:szCs w:val="22"/>
              </w:rPr>
              <w:t>00793175420148190001</w:t>
            </w:r>
          </w:p>
        </w:tc>
        <w:tc>
          <w:tcPr>
            <w:tcW w:w="3158" w:type="dxa"/>
            <w:vAlign w:val="center"/>
          </w:tcPr>
          <w:p w:rsidR="00DF3D4B" w:rsidRPr="00FC72C3" w:rsidRDefault="00DF3D4B" w:rsidP="00DF3D4B">
            <w:pPr>
              <w:rPr>
                <w:rFonts w:asciiTheme="minorHAnsi" w:hAnsiTheme="minorHAnsi" w:cstheme="minorHAnsi"/>
                <w:sz w:val="22"/>
                <w:szCs w:val="22"/>
              </w:rPr>
            </w:pPr>
            <w:proofErr w:type="spellStart"/>
            <w:r>
              <w:rPr>
                <w:rFonts w:asciiTheme="minorHAnsi" w:hAnsiTheme="minorHAnsi" w:cstheme="minorHAnsi"/>
                <w:sz w:val="22"/>
                <w:szCs w:val="22"/>
              </w:rPr>
              <w:t>Portus</w:t>
            </w:r>
            <w:proofErr w:type="spellEnd"/>
            <w:r>
              <w:rPr>
                <w:rFonts w:asciiTheme="minorHAnsi" w:hAnsiTheme="minorHAnsi" w:cstheme="minorHAnsi"/>
                <w:sz w:val="22"/>
                <w:szCs w:val="22"/>
              </w:rPr>
              <w:t xml:space="preserve"> – Instituto de Seguridade</w:t>
            </w:r>
          </w:p>
        </w:tc>
        <w:tc>
          <w:tcPr>
            <w:tcW w:w="2977" w:type="dxa"/>
            <w:vAlign w:val="center"/>
          </w:tcPr>
          <w:p w:rsidR="00DF3D4B" w:rsidRPr="00FC72C3" w:rsidRDefault="00DF3D4B" w:rsidP="00DF3D4B">
            <w:pPr>
              <w:rPr>
                <w:rFonts w:asciiTheme="minorHAnsi" w:hAnsiTheme="minorHAnsi" w:cstheme="minorHAnsi"/>
                <w:sz w:val="22"/>
                <w:szCs w:val="22"/>
              </w:rPr>
            </w:pPr>
            <w:r>
              <w:rPr>
                <w:rFonts w:asciiTheme="minorHAnsi" w:hAnsiTheme="minorHAnsi" w:cstheme="minorHAnsi"/>
                <w:sz w:val="22"/>
                <w:szCs w:val="22"/>
              </w:rPr>
              <w:t>Impugnação</w:t>
            </w:r>
          </w:p>
        </w:tc>
        <w:tc>
          <w:tcPr>
            <w:tcW w:w="1185" w:type="dxa"/>
            <w:vAlign w:val="center"/>
          </w:tcPr>
          <w:p w:rsidR="00DF3D4B" w:rsidRPr="00FC72C3" w:rsidRDefault="00DF3D4B" w:rsidP="00DF3D4B">
            <w:pPr>
              <w:jc w:val="right"/>
              <w:rPr>
                <w:rFonts w:asciiTheme="minorHAnsi" w:hAnsiTheme="minorHAnsi" w:cstheme="minorHAnsi"/>
                <w:sz w:val="22"/>
                <w:szCs w:val="22"/>
              </w:rPr>
            </w:pPr>
            <w:r>
              <w:rPr>
                <w:rFonts w:asciiTheme="minorHAnsi" w:hAnsiTheme="minorHAnsi" w:cstheme="minorHAnsi"/>
                <w:sz w:val="22"/>
                <w:szCs w:val="22"/>
              </w:rPr>
              <w:t>6.225</w:t>
            </w:r>
          </w:p>
        </w:tc>
      </w:tr>
    </w:tbl>
    <w:p w:rsidR="00AD1802" w:rsidRDefault="00AD1802" w:rsidP="00AD1802">
      <w:pPr>
        <w:jc w:val="both"/>
        <w:rPr>
          <w:rFonts w:ascii="Calibri" w:hAnsi="Calibri" w:cs="Calibri"/>
          <w:sz w:val="24"/>
          <w:szCs w:val="24"/>
        </w:rPr>
      </w:pPr>
    </w:p>
    <w:p w:rsidR="00AD1802" w:rsidRDefault="00AD1802" w:rsidP="00AD1802">
      <w:pPr>
        <w:jc w:val="both"/>
        <w:rPr>
          <w:rFonts w:ascii="Calibri" w:hAnsi="Calibri" w:cs="Calibri"/>
          <w:sz w:val="24"/>
          <w:szCs w:val="24"/>
        </w:rPr>
      </w:pPr>
    </w:p>
    <w:p w:rsidR="00AD1802" w:rsidRPr="00FE514C" w:rsidRDefault="00AD1802" w:rsidP="00AD1802">
      <w:pPr>
        <w:jc w:val="both"/>
        <w:rPr>
          <w:rFonts w:ascii="Calibri" w:hAnsi="Calibri" w:cs="Calibri"/>
          <w:b/>
          <w:sz w:val="24"/>
          <w:szCs w:val="24"/>
        </w:rPr>
      </w:pPr>
      <w:r w:rsidRPr="00FE514C">
        <w:rPr>
          <w:rFonts w:ascii="Calibri" w:hAnsi="Calibri" w:cs="Calibri"/>
          <w:b/>
          <w:sz w:val="24"/>
          <w:szCs w:val="24"/>
        </w:rPr>
        <w:t>Ações Tributárias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9"/>
        <w:gridCol w:w="3158"/>
        <w:gridCol w:w="2977"/>
        <w:gridCol w:w="1185"/>
      </w:tblGrid>
      <w:tr w:rsidR="00AD1802" w:rsidRPr="00FC72C3" w:rsidTr="00707B6E">
        <w:tc>
          <w:tcPr>
            <w:tcW w:w="2649" w:type="dxa"/>
          </w:tcPr>
          <w:p w:rsidR="00AD1802" w:rsidRPr="00FC72C3" w:rsidRDefault="00AD1802" w:rsidP="00707B6E">
            <w:pPr>
              <w:jc w:val="center"/>
              <w:rPr>
                <w:rFonts w:ascii="Calibri" w:hAnsi="Calibri" w:cs="Calibri"/>
                <w:sz w:val="22"/>
                <w:szCs w:val="22"/>
              </w:rPr>
            </w:pPr>
            <w:r w:rsidRPr="00FC72C3">
              <w:rPr>
                <w:rFonts w:ascii="Calibri" w:hAnsi="Calibri" w:cs="Calibri"/>
                <w:sz w:val="22"/>
                <w:szCs w:val="22"/>
              </w:rPr>
              <w:t>Processo</w:t>
            </w:r>
          </w:p>
        </w:tc>
        <w:tc>
          <w:tcPr>
            <w:tcW w:w="3158" w:type="dxa"/>
          </w:tcPr>
          <w:p w:rsidR="00AD1802" w:rsidRPr="00FC72C3" w:rsidRDefault="00AD1802" w:rsidP="00707B6E">
            <w:pPr>
              <w:jc w:val="center"/>
              <w:rPr>
                <w:rFonts w:ascii="Calibri" w:hAnsi="Calibri" w:cs="Calibri"/>
                <w:sz w:val="22"/>
                <w:szCs w:val="22"/>
              </w:rPr>
            </w:pPr>
            <w:r w:rsidRPr="00FC72C3">
              <w:rPr>
                <w:rFonts w:ascii="Calibri" w:hAnsi="Calibri" w:cs="Calibri"/>
                <w:sz w:val="22"/>
                <w:szCs w:val="22"/>
              </w:rPr>
              <w:t>Parte</w:t>
            </w:r>
          </w:p>
        </w:tc>
        <w:tc>
          <w:tcPr>
            <w:tcW w:w="2977" w:type="dxa"/>
          </w:tcPr>
          <w:p w:rsidR="00AD1802" w:rsidRPr="00FC72C3" w:rsidRDefault="00AD1802" w:rsidP="00707B6E">
            <w:pPr>
              <w:jc w:val="center"/>
              <w:rPr>
                <w:rFonts w:ascii="Calibri" w:hAnsi="Calibri" w:cs="Calibri"/>
                <w:sz w:val="22"/>
                <w:szCs w:val="22"/>
              </w:rPr>
            </w:pPr>
            <w:r w:rsidRPr="00FC72C3">
              <w:rPr>
                <w:rFonts w:ascii="Calibri" w:hAnsi="Calibri" w:cs="Calibri"/>
                <w:sz w:val="22"/>
                <w:szCs w:val="22"/>
              </w:rPr>
              <w:t>Tipo</w:t>
            </w:r>
          </w:p>
        </w:tc>
        <w:tc>
          <w:tcPr>
            <w:tcW w:w="1185" w:type="dxa"/>
          </w:tcPr>
          <w:p w:rsidR="00AD1802" w:rsidRPr="00FC72C3" w:rsidRDefault="00AD1802" w:rsidP="00707B6E">
            <w:pPr>
              <w:jc w:val="center"/>
              <w:rPr>
                <w:rFonts w:ascii="Calibri" w:hAnsi="Calibri" w:cs="Calibri"/>
                <w:sz w:val="22"/>
                <w:szCs w:val="22"/>
              </w:rPr>
            </w:pPr>
            <w:r w:rsidRPr="00FC72C3">
              <w:rPr>
                <w:rFonts w:ascii="Calibri" w:hAnsi="Calibri" w:cs="Calibri"/>
                <w:sz w:val="22"/>
                <w:szCs w:val="22"/>
              </w:rPr>
              <w:t>Valor</w:t>
            </w:r>
          </w:p>
        </w:tc>
      </w:tr>
      <w:tr w:rsidR="00DF3D4B" w:rsidRPr="00FC72C3" w:rsidTr="00707B6E">
        <w:tc>
          <w:tcPr>
            <w:tcW w:w="2649" w:type="dxa"/>
            <w:vAlign w:val="center"/>
          </w:tcPr>
          <w:p w:rsidR="00DF3D4B" w:rsidRPr="00DF3D4B" w:rsidRDefault="00DF3D4B" w:rsidP="00DF3D4B">
            <w:pPr>
              <w:jc w:val="center"/>
              <w:rPr>
                <w:rFonts w:asciiTheme="minorHAnsi" w:hAnsiTheme="minorHAnsi" w:cstheme="minorHAnsi"/>
                <w:sz w:val="22"/>
                <w:szCs w:val="22"/>
              </w:rPr>
            </w:pPr>
            <w:r w:rsidRPr="00DF3D4B">
              <w:rPr>
                <w:rFonts w:asciiTheme="minorHAnsi" w:hAnsiTheme="minorHAnsi" w:cstheme="minorHAnsi"/>
                <w:sz w:val="22"/>
                <w:szCs w:val="22"/>
              </w:rPr>
              <w:t>01627345620018190001</w:t>
            </w:r>
          </w:p>
        </w:tc>
        <w:tc>
          <w:tcPr>
            <w:tcW w:w="3158" w:type="dxa"/>
            <w:vAlign w:val="center"/>
          </w:tcPr>
          <w:p w:rsidR="00DF3D4B" w:rsidRPr="00FC72C3" w:rsidRDefault="00DF3D4B" w:rsidP="00DF3D4B">
            <w:pPr>
              <w:widowControl/>
              <w:rPr>
                <w:rFonts w:asciiTheme="minorHAnsi" w:hAnsiTheme="minorHAnsi" w:cstheme="minorHAnsi"/>
                <w:snapToGrid/>
                <w:sz w:val="22"/>
                <w:szCs w:val="22"/>
              </w:rPr>
            </w:pPr>
            <w:r>
              <w:rPr>
                <w:rFonts w:asciiTheme="minorHAnsi" w:hAnsiTheme="minorHAnsi" w:cstheme="minorHAnsi"/>
                <w:sz w:val="22"/>
                <w:szCs w:val="22"/>
              </w:rPr>
              <w:t>Município do Rio de Janeiro</w:t>
            </w:r>
          </w:p>
        </w:tc>
        <w:tc>
          <w:tcPr>
            <w:tcW w:w="2977" w:type="dxa"/>
            <w:vAlign w:val="center"/>
          </w:tcPr>
          <w:p w:rsidR="00DF3D4B" w:rsidRPr="00FC72C3" w:rsidRDefault="00DF3D4B" w:rsidP="00DF3D4B">
            <w:pPr>
              <w:rPr>
                <w:rFonts w:asciiTheme="minorHAnsi" w:hAnsiTheme="minorHAnsi" w:cstheme="minorHAnsi"/>
                <w:sz w:val="22"/>
                <w:szCs w:val="22"/>
              </w:rPr>
            </w:pPr>
            <w:r>
              <w:rPr>
                <w:rFonts w:asciiTheme="minorHAnsi" w:hAnsiTheme="minorHAnsi" w:cstheme="minorHAnsi"/>
                <w:sz w:val="22"/>
                <w:szCs w:val="22"/>
              </w:rPr>
              <w:t>Execução Fiscal</w:t>
            </w:r>
          </w:p>
        </w:tc>
        <w:tc>
          <w:tcPr>
            <w:tcW w:w="1185" w:type="dxa"/>
            <w:vAlign w:val="center"/>
          </w:tcPr>
          <w:p w:rsidR="00DF3D4B" w:rsidRPr="00FC72C3" w:rsidRDefault="00DF3D4B" w:rsidP="00DF3D4B">
            <w:pPr>
              <w:widowControl/>
              <w:jc w:val="right"/>
              <w:rPr>
                <w:rFonts w:asciiTheme="minorHAnsi" w:hAnsiTheme="minorHAnsi" w:cstheme="minorHAnsi"/>
                <w:snapToGrid/>
                <w:sz w:val="22"/>
                <w:szCs w:val="22"/>
              </w:rPr>
            </w:pPr>
            <w:r>
              <w:rPr>
                <w:rFonts w:asciiTheme="minorHAnsi" w:hAnsiTheme="minorHAnsi" w:cstheme="minorHAnsi"/>
                <w:snapToGrid/>
                <w:sz w:val="22"/>
                <w:szCs w:val="22"/>
              </w:rPr>
              <w:t>123.176</w:t>
            </w:r>
          </w:p>
        </w:tc>
      </w:tr>
      <w:tr w:rsidR="00DF3D4B" w:rsidRPr="00FC72C3" w:rsidTr="00707B6E">
        <w:tc>
          <w:tcPr>
            <w:tcW w:w="2649" w:type="dxa"/>
            <w:vAlign w:val="center"/>
          </w:tcPr>
          <w:p w:rsidR="00DF3D4B" w:rsidRPr="00DF3D4B" w:rsidRDefault="00DF3D4B" w:rsidP="00DF3D4B">
            <w:pPr>
              <w:jc w:val="center"/>
              <w:rPr>
                <w:rFonts w:asciiTheme="minorHAnsi" w:hAnsiTheme="minorHAnsi" w:cstheme="minorHAnsi"/>
                <w:sz w:val="22"/>
                <w:szCs w:val="22"/>
              </w:rPr>
            </w:pPr>
            <w:r w:rsidRPr="00DF3D4B">
              <w:rPr>
                <w:rFonts w:asciiTheme="minorHAnsi" w:hAnsiTheme="minorHAnsi" w:cstheme="minorHAnsi"/>
                <w:sz w:val="22"/>
                <w:szCs w:val="22"/>
              </w:rPr>
              <w:t>01648780320018190001</w:t>
            </w:r>
          </w:p>
        </w:tc>
        <w:tc>
          <w:tcPr>
            <w:tcW w:w="3158" w:type="dxa"/>
            <w:vAlign w:val="center"/>
          </w:tcPr>
          <w:p w:rsidR="00DF3D4B" w:rsidRPr="00FC72C3" w:rsidRDefault="00DF3D4B" w:rsidP="00DF3D4B">
            <w:pPr>
              <w:rPr>
                <w:rFonts w:asciiTheme="minorHAnsi" w:hAnsiTheme="minorHAnsi" w:cstheme="minorHAnsi"/>
                <w:sz w:val="22"/>
                <w:szCs w:val="22"/>
              </w:rPr>
            </w:pPr>
            <w:r>
              <w:rPr>
                <w:rFonts w:asciiTheme="minorHAnsi" w:hAnsiTheme="minorHAnsi" w:cstheme="minorHAnsi"/>
                <w:sz w:val="22"/>
                <w:szCs w:val="22"/>
              </w:rPr>
              <w:t>Município do Rio de Janeiro</w:t>
            </w:r>
          </w:p>
        </w:tc>
        <w:tc>
          <w:tcPr>
            <w:tcW w:w="2977" w:type="dxa"/>
            <w:vAlign w:val="center"/>
          </w:tcPr>
          <w:p w:rsidR="00DF3D4B" w:rsidRPr="00FC72C3" w:rsidRDefault="00DF3D4B" w:rsidP="00DF3D4B">
            <w:pPr>
              <w:rPr>
                <w:rFonts w:asciiTheme="minorHAnsi" w:hAnsiTheme="minorHAnsi" w:cstheme="minorHAnsi"/>
                <w:sz w:val="22"/>
                <w:szCs w:val="22"/>
              </w:rPr>
            </w:pPr>
            <w:r>
              <w:rPr>
                <w:rFonts w:asciiTheme="minorHAnsi" w:hAnsiTheme="minorHAnsi" w:cstheme="minorHAnsi"/>
                <w:sz w:val="22"/>
                <w:szCs w:val="22"/>
              </w:rPr>
              <w:t>Execução Fiscal</w:t>
            </w:r>
          </w:p>
        </w:tc>
        <w:tc>
          <w:tcPr>
            <w:tcW w:w="1185" w:type="dxa"/>
            <w:vAlign w:val="center"/>
          </w:tcPr>
          <w:p w:rsidR="00DF3D4B" w:rsidRPr="00FC72C3" w:rsidRDefault="00DF3D4B" w:rsidP="00DF3D4B">
            <w:pPr>
              <w:jc w:val="right"/>
              <w:rPr>
                <w:rFonts w:asciiTheme="minorHAnsi" w:hAnsiTheme="minorHAnsi" w:cstheme="minorHAnsi"/>
                <w:sz w:val="22"/>
                <w:szCs w:val="22"/>
              </w:rPr>
            </w:pPr>
            <w:r>
              <w:rPr>
                <w:rFonts w:asciiTheme="minorHAnsi" w:hAnsiTheme="minorHAnsi" w:cstheme="minorHAnsi"/>
                <w:sz w:val="22"/>
                <w:szCs w:val="22"/>
              </w:rPr>
              <w:t>42.302</w:t>
            </w:r>
          </w:p>
        </w:tc>
      </w:tr>
      <w:tr w:rsidR="00DF3D4B" w:rsidRPr="00FC72C3" w:rsidTr="00707B6E">
        <w:tc>
          <w:tcPr>
            <w:tcW w:w="2649" w:type="dxa"/>
            <w:vAlign w:val="center"/>
          </w:tcPr>
          <w:p w:rsidR="00DF3D4B" w:rsidRPr="00DF3D4B" w:rsidRDefault="00DF3D4B" w:rsidP="00DF3D4B">
            <w:pPr>
              <w:jc w:val="center"/>
              <w:rPr>
                <w:rFonts w:asciiTheme="minorHAnsi" w:hAnsiTheme="minorHAnsi" w:cstheme="minorHAnsi"/>
                <w:sz w:val="22"/>
                <w:szCs w:val="22"/>
              </w:rPr>
            </w:pPr>
            <w:r w:rsidRPr="00DF3D4B">
              <w:rPr>
                <w:rFonts w:asciiTheme="minorHAnsi" w:hAnsiTheme="minorHAnsi" w:cstheme="minorHAnsi"/>
                <w:sz w:val="22"/>
                <w:szCs w:val="22"/>
              </w:rPr>
              <w:t>02737979119988190001</w:t>
            </w:r>
          </w:p>
        </w:tc>
        <w:tc>
          <w:tcPr>
            <w:tcW w:w="3158" w:type="dxa"/>
            <w:vAlign w:val="center"/>
          </w:tcPr>
          <w:p w:rsidR="00DF3D4B" w:rsidRPr="00FC72C3" w:rsidRDefault="00DF3D4B" w:rsidP="00DF3D4B">
            <w:pPr>
              <w:rPr>
                <w:rFonts w:asciiTheme="minorHAnsi" w:hAnsiTheme="minorHAnsi" w:cstheme="minorHAnsi"/>
                <w:sz w:val="22"/>
                <w:szCs w:val="22"/>
              </w:rPr>
            </w:pPr>
            <w:r>
              <w:rPr>
                <w:rFonts w:asciiTheme="minorHAnsi" w:hAnsiTheme="minorHAnsi" w:cstheme="minorHAnsi"/>
                <w:sz w:val="22"/>
                <w:szCs w:val="22"/>
              </w:rPr>
              <w:t>Município do Rio de Janeiro</w:t>
            </w:r>
          </w:p>
        </w:tc>
        <w:tc>
          <w:tcPr>
            <w:tcW w:w="2977" w:type="dxa"/>
            <w:vAlign w:val="center"/>
          </w:tcPr>
          <w:p w:rsidR="00DF3D4B" w:rsidRPr="00FC72C3" w:rsidRDefault="00DF3D4B" w:rsidP="00DF3D4B">
            <w:pPr>
              <w:rPr>
                <w:rFonts w:asciiTheme="minorHAnsi" w:hAnsiTheme="minorHAnsi" w:cstheme="minorHAnsi"/>
                <w:sz w:val="22"/>
                <w:szCs w:val="22"/>
              </w:rPr>
            </w:pPr>
            <w:r>
              <w:rPr>
                <w:rFonts w:asciiTheme="minorHAnsi" w:hAnsiTheme="minorHAnsi" w:cstheme="minorHAnsi"/>
                <w:sz w:val="22"/>
                <w:szCs w:val="22"/>
              </w:rPr>
              <w:t>Execução Fiscal</w:t>
            </w:r>
          </w:p>
        </w:tc>
        <w:tc>
          <w:tcPr>
            <w:tcW w:w="1185" w:type="dxa"/>
            <w:vAlign w:val="center"/>
          </w:tcPr>
          <w:p w:rsidR="00DF3D4B" w:rsidRPr="00FC72C3" w:rsidRDefault="00DF3D4B" w:rsidP="00DF3D4B">
            <w:pPr>
              <w:jc w:val="right"/>
              <w:rPr>
                <w:rFonts w:asciiTheme="minorHAnsi" w:hAnsiTheme="minorHAnsi" w:cstheme="minorHAnsi"/>
                <w:sz w:val="22"/>
                <w:szCs w:val="22"/>
              </w:rPr>
            </w:pPr>
            <w:r>
              <w:rPr>
                <w:rFonts w:asciiTheme="minorHAnsi" w:hAnsiTheme="minorHAnsi" w:cstheme="minorHAnsi"/>
                <w:sz w:val="22"/>
                <w:szCs w:val="22"/>
              </w:rPr>
              <w:t>34.083</w:t>
            </w:r>
          </w:p>
        </w:tc>
      </w:tr>
      <w:tr w:rsidR="00DF3D4B" w:rsidRPr="00FC72C3" w:rsidTr="00707B6E">
        <w:tc>
          <w:tcPr>
            <w:tcW w:w="2649" w:type="dxa"/>
            <w:vAlign w:val="center"/>
          </w:tcPr>
          <w:p w:rsidR="00DF3D4B" w:rsidRPr="00DF3D4B" w:rsidRDefault="00DF3D4B" w:rsidP="00DF3D4B">
            <w:pPr>
              <w:jc w:val="center"/>
              <w:rPr>
                <w:rFonts w:asciiTheme="minorHAnsi" w:hAnsiTheme="minorHAnsi" w:cstheme="minorHAnsi"/>
                <w:sz w:val="22"/>
                <w:szCs w:val="22"/>
              </w:rPr>
            </w:pPr>
            <w:r w:rsidRPr="00DF3D4B">
              <w:rPr>
                <w:rFonts w:asciiTheme="minorHAnsi" w:hAnsiTheme="minorHAnsi" w:cstheme="minorHAnsi"/>
                <w:sz w:val="22"/>
                <w:szCs w:val="22"/>
              </w:rPr>
              <w:t>02683699419998190001</w:t>
            </w:r>
          </w:p>
        </w:tc>
        <w:tc>
          <w:tcPr>
            <w:tcW w:w="3158" w:type="dxa"/>
            <w:vAlign w:val="center"/>
          </w:tcPr>
          <w:p w:rsidR="00DF3D4B" w:rsidRPr="00FC72C3" w:rsidRDefault="00DF3D4B" w:rsidP="00DF3D4B">
            <w:pPr>
              <w:rPr>
                <w:rFonts w:asciiTheme="minorHAnsi" w:hAnsiTheme="minorHAnsi" w:cstheme="minorHAnsi"/>
                <w:sz w:val="22"/>
                <w:szCs w:val="22"/>
              </w:rPr>
            </w:pPr>
            <w:r>
              <w:rPr>
                <w:rFonts w:asciiTheme="minorHAnsi" w:hAnsiTheme="minorHAnsi" w:cstheme="minorHAnsi"/>
                <w:sz w:val="22"/>
                <w:szCs w:val="22"/>
              </w:rPr>
              <w:t>Município do Rio de Janeiro</w:t>
            </w:r>
          </w:p>
        </w:tc>
        <w:tc>
          <w:tcPr>
            <w:tcW w:w="2977" w:type="dxa"/>
            <w:vAlign w:val="center"/>
          </w:tcPr>
          <w:p w:rsidR="00DF3D4B" w:rsidRPr="00FC72C3" w:rsidRDefault="00DF3D4B" w:rsidP="00DF3D4B">
            <w:pPr>
              <w:rPr>
                <w:rFonts w:asciiTheme="minorHAnsi" w:hAnsiTheme="minorHAnsi" w:cstheme="minorHAnsi"/>
                <w:sz w:val="22"/>
                <w:szCs w:val="22"/>
              </w:rPr>
            </w:pPr>
            <w:r>
              <w:rPr>
                <w:rFonts w:asciiTheme="minorHAnsi" w:hAnsiTheme="minorHAnsi" w:cstheme="minorHAnsi"/>
                <w:sz w:val="22"/>
                <w:szCs w:val="22"/>
              </w:rPr>
              <w:t>Execução Fiscal</w:t>
            </w:r>
          </w:p>
        </w:tc>
        <w:tc>
          <w:tcPr>
            <w:tcW w:w="1185" w:type="dxa"/>
            <w:vAlign w:val="center"/>
          </w:tcPr>
          <w:p w:rsidR="00DF3D4B" w:rsidRPr="00FC72C3" w:rsidRDefault="00DF3D4B" w:rsidP="00DF3D4B">
            <w:pPr>
              <w:jc w:val="right"/>
              <w:rPr>
                <w:rFonts w:asciiTheme="minorHAnsi" w:hAnsiTheme="minorHAnsi" w:cstheme="minorHAnsi"/>
                <w:sz w:val="22"/>
                <w:szCs w:val="22"/>
              </w:rPr>
            </w:pPr>
            <w:r>
              <w:rPr>
                <w:rFonts w:asciiTheme="minorHAnsi" w:hAnsiTheme="minorHAnsi" w:cstheme="minorHAnsi"/>
                <w:sz w:val="22"/>
                <w:szCs w:val="22"/>
              </w:rPr>
              <w:t>27.803</w:t>
            </w:r>
          </w:p>
        </w:tc>
      </w:tr>
      <w:tr w:rsidR="00DF3D4B" w:rsidRPr="00FC72C3" w:rsidTr="00707B6E">
        <w:tc>
          <w:tcPr>
            <w:tcW w:w="2649" w:type="dxa"/>
            <w:vAlign w:val="center"/>
          </w:tcPr>
          <w:p w:rsidR="00DF3D4B" w:rsidRPr="00DF3D4B" w:rsidRDefault="00DF3D4B" w:rsidP="00DF3D4B">
            <w:pPr>
              <w:jc w:val="center"/>
              <w:rPr>
                <w:rFonts w:asciiTheme="minorHAnsi" w:hAnsiTheme="minorHAnsi" w:cstheme="minorHAnsi"/>
                <w:sz w:val="22"/>
                <w:szCs w:val="22"/>
              </w:rPr>
            </w:pPr>
            <w:r w:rsidRPr="00DF3D4B">
              <w:rPr>
                <w:rFonts w:asciiTheme="minorHAnsi" w:hAnsiTheme="minorHAnsi" w:cstheme="minorHAnsi"/>
                <w:sz w:val="22"/>
                <w:szCs w:val="22"/>
              </w:rPr>
              <w:t>03430243719998190001</w:t>
            </w:r>
          </w:p>
        </w:tc>
        <w:tc>
          <w:tcPr>
            <w:tcW w:w="3158" w:type="dxa"/>
            <w:vAlign w:val="center"/>
          </w:tcPr>
          <w:p w:rsidR="00DF3D4B" w:rsidRDefault="00DF3D4B" w:rsidP="00DF3D4B">
            <w:pPr>
              <w:rPr>
                <w:rFonts w:asciiTheme="minorHAnsi" w:hAnsiTheme="minorHAnsi" w:cstheme="minorHAnsi"/>
                <w:sz w:val="22"/>
                <w:szCs w:val="22"/>
              </w:rPr>
            </w:pPr>
            <w:r>
              <w:rPr>
                <w:rFonts w:asciiTheme="minorHAnsi" w:hAnsiTheme="minorHAnsi" w:cstheme="minorHAnsi"/>
                <w:sz w:val="22"/>
                <w:szCs w:val="22"/>
              </w:rPr>
              <w:t>Município do Rio de Janeiro</w:t>
            </w:r>
          </w:p>
        </w:tc>
        <w:tc>
          <w:tcPr>
            <w:tcW w:w="2977" w:type="dxa"/>
            <w:vAlign w:val="center"/>
          </w:tcPr>
          <w:p w:rsidR="00DF3D4B" w:rsidRPr="00FC72C3" w:rsidRDefault="00DF3D4B" w:rsidP="00DF3D4B">
            <w:pPr>
              <w:rPr>
                <w:rFonts w:asciiTheme="minorHAnsi" w:hAnsiTheme="minorHAnsi" w:cstheme="minorHAnsi"/>
                <w:sz w:val="22"/>
                <w:szCs w:val="22"/>
              </w:rPr>
            </w:pPr>
            <w:r>
              <w:rPr>
                <w:rFonts w:asciiTheme="minorHAnsi" w:hAnsiTheme="minorHAnsi" w:cstheme="minorHAnsi"/>
                <w:sz w:val="22"/>
                <w:szCs w:val="22"/>
              </w:rPr>
              <w:t>Execução Fiscal</w:t>
            </w:r>
          </w:p>
        </w:tc>
        <w:tc>
          <w:tcPr>
            <w:tcW w:w="1185" w:type="dxa"/>
            <w:vAlign w:val="center"/>
          </w:tcPr>
          <w:p w:rsidR="00DF3D4B" w:rsidRDefault="00DF3D4B" w:rsidP="00DF3D4B">
            <w:pPr>
              <w:jc w:val="right"/>
              <w:rPr>
                <w:rFonts w:asciiTheme="minorHAnsi" w:hAnsiTheme="minorHAnsi" w:cstheme="minorHAnsi"/>
                <w:sz w:val="22"/>
                <w:szCs w:val="22"/>
              </w:rPr>
            </w:pPr>
            <w:r>
              <w:rPr>
                <w:rFonts w:asciiTheme="minorHAnsi" w:hAnsiTheme="minorHAnsi" w:cstheme="minorHAnsi"/>
                <w:sz w:val="22"/>
                <w:szCs w:val="22"/>
              </w:rPr>
              <w:t>26.013</w:t>
            </w:r>
          </w:p>
        </w:tc>
      </w:tr>
    </w:tbl>
    <w:p w:rsidR="00AD1802" w:rsidRPr="00FE514C" w:rsidRDefault="00AD1802" w:rsidP="00AD1802">
      <w:pPr>
        <w:jc w:val="both"/>
        <w:rPr>
          <w:rFonts w:ascii="Calibri" w:hAnsi="Calibri" w:cs="Calibri"/>
          <w:b/>
          <w:sz w:val="24"/>
          <w:szCs w:val="24"/>
        </w:rPr>
      </w:pPr>
      <w:r w:rsidRPr="00FE514C">
        <w:rPr>
          <w:rFonts w:ascii="Calibri" w:hAnsi="Calibri" w:cs="Calibri"/>
          <w:b/>
          <w:sz w:val="24"/>
          <w:szCs w:val="24"/>
        </w:rPr>
        <w:lastRenderedPageBreak/>
        <w:t>Ações Trabalhistas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9"/>
        <w:gridCol w:w="3158"/>
        <w:gridCol w:w="2977"/>
        <w:gridCol w:w="1185"/>
      </w:tblGrid>
      <w:tr w:rsidR="00AD1802" w:rsidRPr="00FC72C3" w:rsidTr="00707B6E">
        <w:tc>
          <w:tcPr>
            <w:tcW w:w="2649" w:type="dxa"/>
          </w:tcPr>
          <w:p w:rsidR="00AD1802" w:rsidRPr="00FC72C3" w:rsidRDefault="00AD1802" w:rsidP="00707B6E">
            <w:pPr>
              <w:jc w:val="center"/>
              <w:rPr>
                <w:rFonts w:ascii="Calibri" w:hAnsi="Calibri" w:cs="Calibri"/>
                <w:sz w:val="22"/>
                <w:szCs w:val="22"/>
              </w:rPr>
            </w:pPr>
            <w:r w:rsidRPr="00FC72C3">
              <w:rPr>
                <w:rFonts w:ascii="Calibri" w:hAnsi="Calibri" w:cs="Calibri"/>
                <w:sz w:val="22"/>
                <w:szCs w:val="22"/>
              </w:rPr>
              <w:t>Processo</w:t>
            </w:r>
          </w:p>
        </w:tc>
        <w:tc>
          <w:tcPr>
            <w:tcW w:w="3158" w:type="dxa"/>
          </w:tcPr>
          <w:p w:rsidR="00AD1802" w:rsidRPr="00FC72C3" w:rsidRDefault="00AD1802" w:rsidP="00707B6E">
            <w:pPr>
              <w:jc w:val="center"/>
              <w:rPr>
                <w:rFonts w:ascii="Calibri" w:hAnsi="Calibri" w:cs="Calibri"/>
                <w:sz w:val="22"/>
                <w:szCs w:val="22"/>
              </w:rPr>
            </w:pPr>
            <w:r w:rsidRPr="00FC72C3">
              <w:rPr>
                <w:rFonts w:ascii="Calibri" w:hAnsi="Calibri" w:cs="Calibri"/>
                <w:sz w:val="22"/>
                <w:szCs w:val="22"/>
              </w:rPr>
              <w:t>Parte</w:t>
            </w:r>
          </w:p>
        </w:tc>
        <w:tc>
          <w:tcPr>
            <w:tcW w:w="2977" w:type="dxa"/>
          </w:tcPr>
          <w:p w:rsidR="00AD1802" w:rsidRPr="00FC72C3" w:rsidRDefault="00AD1802" w:rsidP="00707B6E">
            <w:pPr>
              <w:jc w:val="center"/>
              <w:rPr>
                <w:rFonts w:ascii="Calibri" w:hAnsi="Calibri" w:cs="Calibri"/>
                <w:sz w:val="22"/>
                <w:szCs w:val="22"/>
              </w:rPr>
            </w:pPr>
            <w:r w:rsidRPr="00FC72C3">
              <w:rPr>
                <w:rFonts w:ascii="Calibri" w:hAnsi="Calibri" w:cs="Calibri"/>
                <w:sz w:val="22"/>
                <w:szCs w:val="22"/>
              </w:rPr>
              <w:t>Tipo</w:t>
            </w:r>
          </w:p>
        </w:tc>
        <w:tc>
          <w:tcPr>
            <w:tcW w:w="1185" w:type="dxa"/>
          </w:tcPr>
          <w:p w:rsidR="00AD1802" w:rsidRPr="00FC72C3" w:rsidRDefault="00AD1802" w:rsidP="00707B6E">
            <w:pPr>
              <w:jc w:val="center"/>
              <w:rPr>
                <w:rFonts w:ascii="Calibri" w:hAnsi="Calibri" w:cs="Calibri"/>
                <w:sz w:val="22"/>
                <w:szCs w:val="22"/>
              </w:rPr>
            </w:pPr>
            <w:r w:rsidRPr="00FC72C3">
              <w:rPr>
                <w:rFonts w:ascii="Calibri" w:hAnsi="Calibri" w:cs="Calibri"/>
                <w:sz w:val="22"/>
                <w:szCs w:val="22"/>
              </w:rPr>
              <w:t>Valor</w:t>
            </w:r>
          </w:p>
        </w:tc>
      </w:tr>
      <w:tr w:rsidR="00CD010C" w:rsidRPr="00FC72C3" w:rsidTr="00707B6E">
        <w:tc>
          <w:tcPr>
            <w:tcW w:w="2649" w:type="dxa"/>
            <w:vAlign w:val="center"/>
          </w:tcPr>
          <w:p w:rsidR="00CD010C" w:rsidRPr="00CD010C" w:rsidRDefault="00CD010C" w:rsidP="00CD010C">
            <w:pPr>
              <w:jc w:val="center"/>
              <w:rPr>
                <w:rFonts w:asciiTheme="minorHAnsi" w:hAnsiTheme="minorHAnsi" w:cstheme="minorHAnsi"/>
                <w:sz w:val="22"/>
                <w:szCs w:val="22"/>
              </w:rPr>
            </w:pPr>
            <w:r w:rsidRPr="00CD010C">
              <w:rPr>
                <w:rFonts w:asciiTheme="minorHAnsi" w:hAnsiTheme="minorHAnsi" w:cstheme="minorHAnsi"/>
                <w:sz w:val="22"/>
                <w:szCs w:val="22"/>
              </w:rPr>
              <w:t>01637009519915010041</w:t>
            </w:r>
          </w:p>
        </w:tc>
        <w:tc>
          <w:tcPr>
            <w:tcW w:w="3158" w:type="dxa"/>
            <w:vAlign w:val="center"/>
          </w:tcPr>
          <w:p w:rsidR="00CD010C" w:rsidRPr="00FC72C3" w:rsidRDefault="00CD010C" w:rsidP="00CD010C">
            <w:pPr>
              <w:widowControl/>
              <w:rPr>
                <w:rFonts w:asciiTheme="minorHAnsi" w:hAnsiTheme="minorHAnsi" w:cstheme="minorHAnsi"/>
                <w:snapToGrid/>
                <w:sz w:val="22"/>
                <w:szCs w:val="22"/>
              </w:rPr>
            </w:pPr>
            <w:r>
              <w:rPr>
                <w:rFonts w:asciiTheme="minorHAnsi" w:hAnsiTheme="minorHAnsi" w:cstheme="minorHAnsi"/>
                <w:snapToGrid/>
                <w:sz w:val="22"/>
                <w:szCs w:val="22"/>
              </w:rPr>
              <w:t>Sindicato dos Portuários</w:t>
            </w:r>
          </w:p>
        </w:tc>
        <w:tc>
          <w:tcPr>
            <w:tcW w:w="2977" w:type="dxa"/>
            <w:vAlign w:val="center"/>
          </w:tcPr>
          <w:p w:rsidR="00CD010C" w:rsidRPr="00FC72C3" w:rsidRDefault="00CD010C" w:rsidP="00CD010C">
            <w:pPr>
              <w:widowControl/>
              <w:rPr>
                <w:rFonts w:asciiTheme="minorHAnsi" w:hAnsiTheme="minorHAnsi" w:cstheme="minorHAnsi"/>
                <w:snapToGrid/>
                <w:sz w:val="22"/>
                <w:szCs w:val="22"/>
              </w:rPr>
            </w:pPr>
            <w:r>
              <w:rPr>
                <w:rFonts w:asciiTheme="minorHAnsi" w:hAnsiTheme="minorHAnsi" w:cstheme="minorHAnsi"/>
                <w:snapToGrid/>
                <w:sz w:val="22"/>
                <w:szCs w:val="22"/>
              </w:rPr>
              <w:t>Horas Extras</w:t>
            </w:r>
          </w:p>
        </w:tc>
        <w:tc>
          <w:tcPr>
            <w:tcW w:w="1185" w:type="dxa"/>
            <w:vAlign w:val="center"/>
          </w:tcPr>
          <w:p w:rsidR="00CD010C" w:rsidRPr="00FC72C3" w:rsidRDefault="00CD010C" w:rsidP="00CD010C">
            <w:pPr>
              <w:widowControl/>
              <w:jc w:val="right"/>
              <w:rPr>
                <w:rFonts w:asciiTheme="minorHAnsi" w:hAnsiTheme="minorHAnsi" w:cstheme="minorHAnsi"/>
                <w:snapToGrid/>
                <w:sz w:val="22"/>
                <w:szCs w:val="22"/>
              </w:rPr>
            </w:pPr>
            <w:r>
              <w:rPr>
                <w:rFonts w:asciiTheme="minorHAnsi" w:hAnsiTheme="minorHAnsi" w:cstheme="minorHAnsi"/>
                <w:snapToGrid/>
                <w:sz w:val="22"/>
                <w:szCs w:val="22"/>
              </w:rPr>
              <w:t>100.180</w:t>
            </w:r>
          </w:p>
        </w:tc>
      </w:tr>
      <w:tr w:rsidR="00CD010C" w:rsidRPr="00FC72C3" w:rsidTr="00707B6E">
        <w:tc>
          <w:tcPr>
            <w:tcW w:w="2649" w:type="dxa"/>
            <w:vAlign w:val="center"/>
          </w:tcPr>
          <w:p w:rsidR="00CD010C" w:rsidRPr="00CD010C" w:rsidRDefault="00CD010C" w:rsidP="00CD010C">
            <w:pPr>
              <w:jc w:val="center"/>
              <w:rPr>
                <w:rFonts w:asciiTheme="minorHAnsi" w:hAnsiTheme="minorHAnsi" w:cstheme="minorHAnsi"/>
                <w:sz w:val="22"/>
                <w:szCs w:val="22"/>
              </w:rPr>
            </w:pPr>
            <w:r w:rsidRPr="00CD010C">
              <w:rPr>
                <w:rFonts w:asciiTheme="minorHAnsi" w:hAnsiTheme="minorHAnsi" w:cstheme="minorHAnsi"/>
                <w:sz w:val="22"/>
                <w:szCs w:val="22"/>
              </w:rPr>
              <w:t>00473006219905010031</w:t>
            </w:r>
          </w:p>
        </w:tc>
        <w:tc>
          <w:tcPr>
            <w:tcW w:w="3158" w:type="dxa"/>
            <w:vAlign w:val="center"/>
          </w:tcPr>
          <w:p w:rsidR="00CD010C" w:rsidRPr="00FC72C3" w:rsidRDefault="00CD010C" w:rsidP="00CD010C">
            <w:pPr>
              <w:widowControl/>
              <w:rPr>
                <w:rFonts w:asciiTheme="minorHAnsi" w:hAnsiTheme="minorHAnsi" w:cstheme="minorHAnsi"/>
                <w:snapToGrid/>
                <w:sz w:val="22"/>
                <w:szCs w:val="22"/>
              </w:rPr>
            </w:pPr>
            <w:r>
              <w:rPr>
                <w:rFonts w:asciiTheme="minorHAnsi" w:hAnsiTheme="minorHAnsi" w:cstheme="minorHAnsi"/>
                <w:snapToGrid/>
                <w:sz w:val="22"/>
                <w:szCs w:val="22"/>
              </w:rPr>
              <w:t>Sindicato dos Portuários</w:t>
            </w:r>
          </w:p>
        </w:tc>
        <w:tc>
          <w:tcPr>
            <w:tcW w:w="2977" w:type="dxa"/>
            <w:vAlign w:val="center"/>
          </w:tcPr>
          <w:p w:rsidR="00CD010C" w:rsidRPr="00FC72C3" w:rsidRDefault="00CD010C" w:rsidP="00CD010C">
            <w:pPr>
              <w:rPr>
                <w:rFonts w:asciiTheme="minorHAnsi" w:hAnsiTheme="minorHAnsi" w:cstheme="minorHAnsi"/>
                <w:sz w:val="22"/>
                <w:szCs w:val="22"/>
              </w:rPr>
            </w:pPr>
            <w:r>
              <w:rPr>
                <w:rFonts w:asciiTheme="minorHAnsi" w:hAnsiTheme="minorHAnsi" w:cstheme="minorHAnsi"/>
                <w:sz w:val="22"/>
                <w:szCs w:val="22"/>
              </w:rPr>
              <w:t xml:space="preserve">Horas Extras </w:t>
            </w:r>
          </w:p>
        </w:tc>
        <w:tc>
          <w:tcPr>
            <w:tcW w:w="1185" w:type="dxa"/>
            <w:vAlign w:val="center"/>
          </w:tcPr>
          <w:p w:rsidR="00CD010C" w:rsidRPr="00FC72C3" w:rsidRDefault="00CD010C" w:rsidP="00CD010C">
            <w:pPr>
              <w:jc w:val="right"/>
              <w:rPr>
                <w:rFonts w:asciiTheme="minorHAnsi" w:hAnsiTheme="minorHAnsi" w:cstheme="minorHAnsi"/>
                <w:sz w:val="22"/>
                <w:szCs w:val="22"/>
              </w:rPr>
            </w:pPr>
            <w:r>
              <w:rPr>
                <w:rFonts w:asciiTheme="minorHAnsi" w:hAnsiTheme="minorHAnsi" w:cstheme="minorHAnsi"/>
                <w:sz w:val="22"/>
                <w:szCs w:val="22"/>
              </w:rPr>
              <w:t>20.000</w:t>
            </w:r>
          </w:p>
        </w:tc>
      </w:tr>
      <w:tr w:rsidR="00CD010C" w:rsidRPr="00FC72C3" w:rsidTr="00707B6E">
        <w:tc>
          <w:tcPr>
            <w:tcW w:w="2649" w:type="dxa"/>
            <w:vAlign w:val="center"/>
          </w:tcPr>
          <w:p w:rsidR="00CD010C" w:rsidRPr="00CD010C" w:rsidRDefault="00CD010C" w:rsidP="00CD010C">
            <w:pPr>
              <w:jc w:val="center"/>
              <w:rPr>
                <w:rFonts w:asciiTheme="minorHAnsi" w:hAnsiTheme="minorHAnsi" w:cstheme="minorHAnsi"/>
                <w:sz w:val="22"/>
                <w:szCs w:val="22"/>
              </w:rPr>
            </w:pPr>
            <w:r w:rsidRPr="00CD010C">
              <w:rPr>
                <w:rFonts w:asciiTheme="minorHAnsi" w:hAnsiTheme="minorHAnsi" w:cstheme="minorHAnsi"/>
                <w:sz w:val="22"/>
                <w:szCs w:val="22"/>
              </w:rPr>
              <w:t>01010407320165010046</w:t>
            </w:r>
          </w:p>
        </w:tc>
        <w:tc>
          <w:tcPr>
            <w:tcW w:w="3158" w:type="dxa"/>
            <w:vAlign w:val="center"/>
          </w:tcPr>
          <w:p w:rsidR="00CD010C" w:rsidRPr="00FC72C3" w:rsidRDefault="00CD010C" w:rsidP="00CD010C">
            <w:pPr>
              <w:rPr>
                <w:rFonts w:asciiTheme="minorHAnsi" w:hAnsiTheme="minorHAnsi" w:cstheme="minorHAnsi"/>
                <w:sz w:val="22"/>
                <w:szCs w:val="22"/>
              </w:rPr>
            </w:pPr>
            <w:r>
              <w:rPr>
                <w:rFonts w:asciiTheme="minorHAnsi" w:hAnsiTheme="minorHAnsi" w:cstheme="minorHAnsi"/>
                <w:sz w:val="22"/>
                <w:szCs w:val="22"/>
              </w:rPr>
              <w:t>Fernando Vasconcellos de Sá</w:t>
            </w:r>
          </w:p>
        </w:tc>
        <w:tc>
          <w:tcPr>
            <w:tcW w:w="2977" w:type="dxa"/>
            <w:vAlign w:val="center"/>
          </w:tcPr>
          <w:p w:rsidR="00CD010C" w:rsidRPr="00FC72C3" w:rsidRDefault="00CD010C" w:rsidP="00CD010C">
            <w:pPr>
              <w:rPr>
                <w:rFonts w:asciiTheme="minorHAnsi" w:hAnsiTheme="minorHAnsi" w:cstheme="minorHAnsi"/>
                <w:sz w:val="22"/>
                <w:szCs w:val="22"/>
              </w:rPr>
            </w:pPr>
            <w:r>
              <w:rPr>
                <w:rFonts w:asciiTheme="minorHAnsi" w:hAnsiTheme="minorHAnsi" w:cstheme="minorHAnsi"/>
                <w:sz w:val="22"/>
                <w:szCs w:val="22"/>
              </w:rPr>
              <w:t>Reenquadramento PCES</w:t>
            </w:r>
          </w:p>
        </w:tc>
        <w:tc>
          <w:tcPr>
            <w:tcW w:w="1185" w:type="dxa"/>
            <w:vAlign w:val="center"/>
          </w:tcPr>
          <w:p w:rsidR="00CD010C" w:rsidRPr="00FC72C3" w:rsidRDefault="00CD010C" w:rsidP="00CD010C">
            <w:pPr>
              <w:jc w:val="right"/>
              <w:rPr>
                <w:rFonts w:asciiTheme="minorHAnsi" w:hAnsiTheme="minorHAnsi" w:cstheme="minorHAnsi"/>
                <w:sz w:val="22"/>
                <w:szCs w:val="22"/>
              </w:rPr>
            </w:pPr>
            <w:r>
              <w:rPr>
                <w:rFonts w:asciiTheme="minorHAnsi" w:hAnsiTheme="minorHAnsi" w:cstheme="minorHAnsi"/>
                <w:sz w:val="22"/>
                <w:szCs w:val="22"/>
              </w:rPr>
              <w:t>4.154</w:t>
            </w:r>
          </w:p>
        </w:tc>
      </w:tr>
      <w:tr w:rsidR="00CD010C" w:rsidRPr="00FC72C3" w:rsidTr="00707B6E">
        <w:tc>
          <w:tcPr>
            <w:tcW w:w="2649" w:type="dxa"/>
            <w:vAlign w:val="center"/>
          </w:tcPr>
          <w:p w:rsidR="00CD010C" w:rsidRPr="00CD010C" w:rsidRDefault="00CD010C" w:rsidP="00CD010C">
            <w:pPr>
              <w:jc w:val="center"/>
              <w:rPr>
                <w:rFonts w:asciiTheme="minorHAnsi" w:hAnsiTheme="minorHAnsi" w:cstheme="minorHAnsi"/>
                <w:sz w:val="22"/>
                <w:szCs w:val="22"/>
              </w:rPr>
            </w:pPr>
            <w:r w:rsidRPr="00CD010C">
              <w:rPr>
                <w:rFonts w:asciiTheme="minorHAnsi" w:hAnsiTheme="minorHAnsi" w:cstheme="minorHAnsi"/>
                <w:sz w:val="22"/>
                <w:szCs w:val="22"/>
              </w:rPr>
              <w:t>00648003419955010010</w:t>
            </w:r>
          </w:p>
        </w:tc>
        <w:tc>
          <w:tcPr>
            <w:tcW w:w="3158" w:type="dxa"/>
            <w:vAlign w:val="center"/>
          </w:tcPr>
          <w:p w:rsidR="00CD010C" w:rsidRPr="00FC72C3" w:rsidRDefault="00CD010C" w:rsidP="00CD010C">
            <w:pPr>
              <w:rPr>
                <w:rFonts w:asciiTheme="minorHAnsi" w:hAnsiTheme="minorHAnsi" w:cstheme="minorHAnsi"/>
                <w:sz w:val="22"/>
                <w:szCs w:val="22"/>
              </w:rPr>
            </w:pPr>
            <w:proofErr w:type="spellStart"/>
            <w:r>
              <w:rPr>
                <w:rFonts w:asciiTheme="minorHAnsi" w:hAnsiTheme="minorHAnsi" w:cstheme="minorHAnsi"/>
                <w:sz w:val="22"/>
                <w:szCs w:val="22"/>
              </w:rPr>
              <w:t>Izaias</w:t>
            </w:r>
            <w:proofErr w:type="spellEnd"/>
            <w:r>
              <w:rPr>
                <w:rFonts w:asciiTheme="minorHAnsi" w:hAnsiTheme="minorHAnsi" w:cstheme="minorHAnsi"/>
                <w:sz w:val="22"/>
                <w:szCs w:val="22"/>
              </w:rPr>
              <w:t xml:space="preserve"> J </w:t>
            </w:r>
            <w:proofErr w:type="spellStart"/>
            <w:r>
              <w:rPr>
                <w:rFonts w:asciiTheme="minorHAnsi" w:hAnsiTheme="minorHAnsi" w:cstheme="minorHAnsi"/>
                <w:sz w:val="22"/>
                <w:szCs w:val="22"/>
              </w:rPr>
              <w:t>Passarelli</w:t>
            </w:r>
            <w:proofErr w:type="spellEnd"/>
            <w:r>
              <w:rPr>
                <w:rFonts w:asciiTheme="minorHAnsi" w:hAnsiTheme="minorHAnsi" w:cstheme="minorHAnsi"/>
                <w:sz w:val="22"/>
                <w:szCs w:val="22"/>
              </w:rPr>
              <w:t xml:space="preserve"> e outros</w:t>
            </w:r>
          </w:p>
        </w:tc>
        <w:tc>
          <w:tcPr>
            <w:tcW w:w="2977" w:type="dxa"/>
            <w:vAlign w:val="center"/>
          </w:tcPr>
          <w:p w:rsidR="00CD010C" w:rsidRPr="00FC72C3" w:rsidRDefault="00CD010C" w:rsidP="00CD010C">
            <w:pPr>
              <w:rPr>
                <w:rFonts w:asciiTheme="minorHAnsi" w:hAnsiTheme="minorHAnsi" w:cstheme="minorHAnsi"/>
                <w:sz w:val="22"/>
                <w:szCs w:val="22"/>
              </w:rPr>
            </w:pPr>
            <w:r>
              <w:rPr>
                <w:rFonts w:asciiTheme="minorHAnsi" w:hAnsiTheme="minorHAnsi" w:cstheme="minorHAnsi"/>
                <w:sz w:val="22"/>
                <w:szCs w:val="22"/>
              </w:rPr>
              <w:t>Reintegração ao Emprego</w:t>
            </w:r>
          </w:p>
        </w:tc>
        <w:tc>
          <w:tcPr>
            <w:tcW w:w="1185" w:type="dxa"/>
            <w:vAlign w:val="center"/>
          </w:tcPr>
          <w:p w:rsidR="00CD010C" w:rsidRPr="00FC72C3" w:rsidRDefault="00CD010C" w:rsidP="00CD010C">
            <w:pPr>
              <w:jc w:val="right"/>
              <w:rPr>
                <w:rFonts w:asciiTheme="minorHAnsi" w:hAnsiTheme="minorHAnsi" w:cstheme="minorHAnsi"/>
                <w:sz w:val="22"/>
                <w:szCs w:val="22"/>
              </w:rPr>
            </w:pPr>
            <w:r>
              <w:rPr>
                <w:rFonts w:asciiTheme="minorHAnsi" w:hAnsiTheme="minorHAnsi" w:cstheme="minorHAnsi"/>
                <w:sz w:val="22"/>
                <w:szCs w:val="22"/>
              </w:rPr>
              <w:t>3.400</w:t>
            </w:r>
          </w:p>
        </w:tc>
      </w:tr>
      <w:tr w:rsidR="00CD010C" w:rsidRPr="00FC72C3" w:rsidTr="00707B6E">
        <w:tc>
          <w:tcPr>
            <w:tcW w:w="2649" w:type="dxa"/>
            <w:vAlign w:val="center"/>
          </w:tcPr>
          <w:p w:rsidR="00CD010C" w:rsidRPr="00CD010C" w:rsidRDefault="00CD010C" w:rsidP="00CD010C">
            <w:pPr>
              <w:jc w:val="center"/>
              <w:rPr>
                <w:rFonts w:asciiTheme="minorHAnsi" w:hAnsiTheme="minorHAnsi" w:cstheme="minorHAnsi"/>
                <w:sz w:val="22"/>
                <w:szCs w:val="22"/>
              </w:rPr>
            </w:pPr>
            <w:r w:rsidRPr="00CD010C">
              <w:rPr>
                <w:rFonts w:asciiTheme="minorHAnsi" w:hAnsiTheme="minorHAnsi" w:cstheme="minorHAnsi"/>
                <w:sz w:val="22"/>
                <w:szCs w:val="22"/>
              </w:rPr>
              <w:t>00015723120115010461</w:t>
            </w:r>
          </w:p>
        </w:tc>
        <w:tc>
          <w:tcPr>
            <w:tcW w:w="3158" w:type="dxa"/>
            <w:vAlign w:val="center"/>
          </w:tcPr>
          <w:p w:rsidR="00CD010C" w:rsidRDefault="00CD010C" w:rsidP="00CD010C">
            <w:pPr>
              <w:rPr>
                <w:rFonts w:asciiTheme="minorHAnsi" w:hAnsiTheme="minorHAnsi" w:cstheme="minorHAnsi"/>
                <w:sz w:val="22"/>
                <w:szCs w:val="22"/>
              </w:rPr>
            </w:pPr>
            <w:r>
              <w:rPr>
                <w:rFonts w:asciiTheme="minorHAnsi" w:hAnsiTheme="minorHAnsi" w:cstheme="minorHAnsi"/>
                <w:sz w:val="22"/>
                <w:szCs w:val="22"/>
              </w:rPr>
              <w:t>Amaro L da Silveira e outros</w:t>
            </w:r>
          </w:p>
        </w:tc>
        <w:tc>
          <w:tcPr>
            <w:tcW w:w="2977" w:type="dxa"/>
            <w:vAlign w:val="center"/>
          </w:tcPr>
          <w:p w:rsidR="00CD010C" w:rsidRDefault="00CD010C" w:rsidP="00CD010C">
            <w:pPr>
              <w:rPr>
                <w:rFonts w:asciiTheme="minorHAnsi" w:hAnsiTheme="minorHAnsi" w:cstheme="minorHAnsi"/>
                <w:sz w:val="22"/>
                <w:szCs w:val="22"/>
              </w:rPr>
            </w:pPr>
            <w:r>
              <w:rPr>
                <w:rFonts w:asciiTheme="minorHAnsi" w:hAnsiTheme="minorHAnsi" w:cstheme="minorHAnsi"/>
                <w:sz w:val="22"/>
                <w:szCs w:val="22"/>
              </w:rPr>
              <w:t>Adicional de Risco</w:t>
            </w:r>
          </w:p>
        </w:tc>
        <w:tc>
          <w:tcPr>
            <w:tcW w:w="1185" w:type="dxa"/>
            <w:vAlign w:val="center"/>
          </w:tcPr>
          <w:p w:rsidR="00CD010C" w:rsidRDefault="00CD010C" w:rsidP="00CD010C">
            <w:pPr>
              <w:jc w:val="right"/>
              <w:rPr>
                <w:rFonts w:asciiTheme="minorHAnsi" w:hAnsiTheme="minorHAnsi" w:cstheme="minorHAnsi"/>
                <w:sz w:val="22"/>
                <w:szCs w:val="22"/>
              </w:rPr>
            </w:pPr>
            <w:r>
              <w:rPr>
                <w:rFonts w:asciiTheme="minorHAnsi" w:hAnsiTheme="minorHAnsi" w:cstheme="minorHAnsi"/>
                <w:sz w:val="22"/>
                <w:szCs w:val="22"/>
              </w:rPr>
              <w:t>3.000</w:t>
            </w:r>
          </w:p>
        </w:tc>
      </w:tr>
    </w:tbl>
    <w:p w:rsidR="00CD010C" w:rsidRDefault="00CD010C" w:rsidP="00C16DDB">
      <w:pPr>
        <w:jc w:val="both"/>
        <w:rPr>
          <w:rFonts w:ascii="Calibri" w:hAnsi="Calibri" w:cs="Calibri"/>
          <w:sz w:val="24"/>
          <w:szCs w:val="24"/>
        </w:rPr>
      </w:pPr>
    </w:p>
    <w:p w:rsidR="004B7AFD" w:rsidRPr="00FE514C" w:rsidRDefault="004B7AFD" w:rsidP="002500FC">
      <w:pPr>
        <w:pStyle w:val="Recuodecorpodetexto"/>
        <w:widowControl/>
        <w:numPr>
          <w:ilvl w:val="1"/>
          <w:numId w:val="19"/>
        </w:numPr>
        <w:autoSpaceDE w:val="0"/>
        <w:autoSpaceDN w:val="0"/>
        <w:rPr>
          <w:rFonts w:ascii="Calibri" w:hAnsi="Calibri" w:cs="Calibri"/>
          <w:b/>
          <w:szCs w:val="24"/>
        </w:rPr>
      </w:pPr>
      <w:r>
        <w:rPr>
          <w:rFonts w:ascii="Calibri" w:hAnsi="Calibri" w:cs="Calibri"/>
          <w:b/>
          <w:szCs w:val="24"/>
          <w:lang w:val="pt-BR"/>
        </w:rPr>
        <w:t xml:space="preserve"> Perdas Possíveis Não Provisionadas no Balanço</w:t>
      </w:r>
    </w:p>
    <w:p w:rsidR="00FE514C" w:rsidRDefault="00FE514C" w:rsidP="00FE514C">
      <w:pPr>
        <w:pStyle w:val="Recuodecorpodetexto"/>
        <w:widowControl/>
        <w:autoSpaceDE w:val="0"/>
        <w:autoSpaceDN w:val="0"/>
        <w:ind w:left="420"/>
        <w:rPr>
          <w:rFonts w:ascii="Calibri" w:hAnsi="Calibri" w:cs="Calibri"/>
          <w:b/>
          <w:szCs w:val="24"/>
          <w:lang w:val="pt-BR"/>
        </w:rPr>
      </w:pPr>
    </w:p>
    <w:p w:rsidR="00FE514C" w:rsidRDefault="00FE514C" w:rsidP="00FE514C">
      <w:pPr>
        <w:pStyle w:val="Ttulo3"/>
        <w:ind w:left="851"/>
        <w:jc w:val="both"/>
        <w:rPr>
          <w:rFonts w:ascii="Calibri" w:hAnsi="Calibri" w:cs="Calibri"/>
          <w:sz w:val="24"/>
          <w:szCs w:val="24"/>
        </w:rPr>
      </w:pPr>
      <w:r>
        <w:rPr>
          <w:rFonts w:ascii="Calibri" w:hAnsi="Calibri" w:cs="Calibri"/>
          <w:sz w:val="24"/>
          <w:szCs w:val="24"/>
        </w:rPr>
        <w:t>A Companhia possui outras contingências nas quais, conforme opinião dos advogados, as probabilidades de perdas são remotas ou até possíveis. Contudo, há contingências que, devido ao valor das ações, podem propiciar perdas relevantes à CDRJ em R$ 858.263 mil (R$ 831.336 mil em 2018), sendo:</w:t>
      </w:r>
    </w:p>
    <w:p w:rsidR="00FE514C" w:rsidRDefault="00FE514C" w:rsidP="00FE514C">
      <w:pPr>
        <w:pStyle w:val="Ttulo3"/>
        <w:ind w:left="851"/>
        <w:jc w:val="both"/>
        <w:rPr>
          <w:rFonts w:ascii="Calibri" w:hAnsi="Calibri" w:cs="Calibri"/>
          <w:sz w:val="24"/>
          <w:szCs w:val="24"/>
        </w:rPr>
      </w:pPr>
      <w:r>
        <w:rPr>
          <w:rFonts w:ascii="Calibri" w:hAnsi="Calibri" w:cs="Calibri"/>
          <w:sz w:val="24"/>
          <w:szCs w:val="24"/>
        </w:rPr>
        <w:t>- Ações Trabalhistas</w:t>
      </w:r>
      <w:r>
        <w:rPr>
          <w:rFonts w:ascii="Calibri" w:hAnsi="Calibri" w:cs="Calibri"/>
          <w:sz w:val="24"/>
          <w:szCs w:val="24"/>
        </w:rPr>
        <w:tab/>
        <w:t>- R$   38.726</w:t>
      </w:r>
      <w:r>
        <w:rPr>
          <w:rFonts w:ascii="Calibri" w:hAnsi="Calibri" w:cs="Calibri"/>
          <w:sz w:val="24"/>
          <w:szCs w:val="24"/>
        </w:rPr>
        <w:tab/>
      </w:r>
    </w:p>
    <w:p w:rsidR="00FE514C" w:rsidRDefault="00FE514C" w:rsidP="00FE514C">
      <w:pPr>
        <w:pStyle w:val="Ttulo3"/>
        <w:ind w:left="851"/>
        <w:jc w:val="both"/>
        <w:rPr>
          <w:rFonts w:ascii="Calibri" w:hAnsi="Calibri" w:cs="Calibri"/>
          <w:sz w:val="24"/>
          <w:szCs w:val="24"/>
        </w:rPr>
      </w:pPr>
      <w:r>
        <w:rPr>
          <w:rFonts w:ascii="Calibri" w:hAnsi="Calibri" w:cs="Calibri"/>
          <w:sz w:val="24"/>
          <w:szCs w:val="24"/>
        </w:rPr>
        <w:t>- Ações Cíveis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R$ 675.231</w:t>
      </w:r>
    </w:p>
    <w:p w:rsidR="00FE514C" w:rsidRDefault="00FE514C" w:rsidP="00FE514C">
      <w:pPr>
        <w:pStyle w:val="Ttulo3"/>
        <w:ind w:left="851"/>
        <w:jc w:val="both"/>
        <w:rPr>
          <w:rFonts w:ascii="Calibri" w:hAnsi="Calibri" w:cs="Calibri"/>
          <w:sz w:val="24"/>
          <w:szCs w:val="24"/>
        </w:rPr>
      </w:pPr>
      <w:r>
        <w:rPr>
          <w:rFonts w:ascii="Calibri" w:hAnsi="Calibri" w:cs="Calibri"/>
          <w:sz w:val="24"/>
          <w:szCs w:val="24"/>
        </w:rPr>
        <w:t>- Ações Tributárias</w:t>
      </w:r>
      <w:r w:rsidRPr="00D15E30">
        <w:rPr>
          <w:rFonts w:ascii="Calibri" w:hAnsi="Calibri" w:cs="Calibri"/>
          <w:sz w:val="24"/>
          <w:szCs w:val="24"/>
        </w:rPr>
        <w:t xml:space="preserve"> </w:t>
      </w:r>
      <w:r>
        <w:rPr>
          <w:rFonts w:ascii="Calibri" w:hAnsi="Calibri" w:cs="Calibri"/>
          <w:sz w:val="24"/>
          <w:szCs w:val="24"/>
        </w:rPr>
        <w:tab/>
        <w:t>- R$ 144.306</w:t>
      </w:r>
    </w:p>
    <w:p w:rsidR="00E43C77" w:rsidRDefault="00E43C77" w:rsidP="00E43C77"/>
    <w:p w:rsidR="00E43C77" w:rsidRPr="00E43C77" w:rsidRDefault="00B97F7E" w:rsidP="00E1507D">
      <w:pPr>
        <w:pStyle w:val="Ttulo3"/>
        <w:ind w:left="851"/>
        <w:jc w:val="both"/>
      </w:pPr>
      <w:r>
        <w:rPr>
          <w:rFonts w:ascii="Calibri" w:hAnsi="Calibri" w:cs="Calibri"/>
          <w:sz w:val="24"/>
          <w:szCs w:val="24"/>
        </w:rPr>
        <w:t xml:space="preserve">Segundo à Superintendência Jurídica, apesar de os valores das ações classificadas como perdas possíveis não terem sofrido a correção monetária, os valores atualizados são </w:t>
      </w:r>
      <w:r w:rsidR="00E1507D">
        <w:rPr>
          <w:rFonts w:ascii="Calibri" w:hAnsi="Calibri" w:cs="Calibri"/>
          <w:sz w:val="24"/>
          <w:szCs w:val="24"/>
        </w:rPr>
        <w:t>R$ 1.040.169 mil, para as ações cíveis, e R$ 190.540</w:t>
      </w:r>
      <w:r w:rsidR="003B4A4C">
        <w:rPr>
          <w:rFonts w:ascii="Calibri" w:hAnsi="Calibri" w:cs="Calibri"/>
          <w:sz w:val="24"/>
          <w:szCs w:val="24"/>
        </w:rPr>
        <w:t xml:space="preserve"> mil, para as ações tributárias, conforme explicado no item 18.2, a seguir.</w:t>
      </w:r>
    </w:p>
    <w:p w:rsidR="00FE514C" w:rsidRDefault="00FE514C" w:rsidP="00FE514C">
      <w:pPr>
        <w:jc w:val="both"/>
        <w:rPr>
          <w:rFonts w:ascii="Calibri" w:hAnsi="Calibri" w:cs="Calibri"/>
          <w:sz w:val="24"/>
          <w:szCs w:val="24"/>
        </w:rPr>
      </w:pPr>
    </w:p>
    <w:p w:rsidR="00FE514C" w:rsidRDefault="00FE514C" w:rsidP="00E1507D">
      <w:pPr>
        <w:ind w:left="851"/>
        <w:jc w:val="both"/>
        <w:rPr>
          <w:rFonts w:ascii="Calibri" w:hAnsi="Calibri" w:cs="Calibri"/>
          <w:sz w:val="24"/>
          <w:szCs w:val="24"/>
        </w:rPr>
      </w:pPr>
      <w:r>
        <w:rPr>
          <w:rFonts w:ascii="Calibri" w:hAnsi="Calibri" w:cs="Calibri"/>
          <w:sz w:val="24"/>
          <w:szCs w:val="24"/>
        </w:rPr>
        <w:t>Destacam-se as seguintes ações classificadas com</w:t>
      </w:r>
      <w:r w:rsidR="001C4695">
        <w:rPr>
          <w:rFonts w:ascii="Calibri" w:hAnsi="Calibri" w:cs="Calibri"/>
          <w:sz w:val="24"/>
          <w:szCs w:val="24"/>
        </w:rPr>
        <w:t>o</w:t>
      </w:r>
      <w:r>
        <w:rPr>
          <w:rFonts w:ascii="Calibri" w:hAnsi="Calibri" w:cs="Calibri"/>
          <w:sz w:val="24"/>
          <w:szCs w:val="24"/>
        </w:rPr>
        <w:t xml:space="preserve"> perdas possíveis:</w:t>
      </w:r>
    </w:p>
    <w:p w:rsidR="00FE514C" w:rsidRDefault="00FE514C" w:rsidP="00FE514C">
      <w:pPr>
        <w:jc w:val="both"/>
        <w:rPr>
          <w:rFonts w:ascii="Calibri" w:hAnsi="Calibri" w:cs="Calibri"/>
          <w:sz w:val="24"/>
          <w:szCs w:val="24"/>
        </w:rPr>
      </w:pPr>
    </w:p>
    <w:p w:rsidR="00FE514C" w:rsidRPr="00FE514C" w:rsidRDefault="00FE514C" w:rsidP="00FE514C">
      <w:pPr>
        <w:jc w:val="both"/>
        <w:rPr>
          <w:rFonts w:ascii="Calibri" w:hAnsi="Calibri" w:cs="Calibri"/>
          <w:b/>
          <w:sz w:val="24"/>
          <w:szCs w:val="24"/>
        </w:rPr>
      </w:pPr>
      <w:r w:rsidRPr="00FE514C">
        <w:rPr>
          <w:rFonts w:ascii="Calibri" w:hAnsi="Calibri" w:cs="Calibri"/>
          <w:b/>
          <w:sz w:val="24"/>
          <w:szCs w:val="24"/>
        </w:rPr>
        <w:t>Ações Cíveis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9"/>
        <w:gridCol w:w="3158"/>
        <w:gridCol w:w="2977"/>
        <w:gridCol w:w="1185"/>
      </w:tblGrid>
      <w:tr w:rsidR="00FE514C" w:rsidTr="008738AC">
        <w:tc>
          <w:tcPr>
            <w:tcW w:w="2649" w:type="dxa"/>
          </w:tcPr>
          <w:p w:rsidR="00FE514C" w:rsidRPr="00FC72C3" w:rsidRDefault="00FE514C" w:rsidP="008738AC">
            <w:pPr>
              <w:jc w:val="center"/>
              <w:rPr>
                <w:rFonts w:ascii="Calibri" w:hAnsi="Calibri" w:cs="Calibri"/>
                <w:sz w:val="22"/>
                <w:szCs w:val="22"/>
              </w:rPr>
            </w:pPr>
            <w:r w:rsidRPr="00FC72C3">
              <w:rPr>
                <w:rFonts w:ascii="Calibri" w:hAnsi="Calibri" w:cs="Calibri"/>
                <w:sz w:val="22"/>
                <w:szCs w:val="22"/>
              </w:rPr>
              <w:t>Processo</w:t>
            </w:r>
          </w:p>
        </w:tc>
        <w:tc>
          <w:tcPr>
            <w:tcW w:w="3158" w:type="dxa"/>
          </w:tcPr>
          <w:p w:rsidR="00FE514C" w:rsidRPr="00FC72C3" w:rsidRDefault="00FE514C" w:rsidP="008738AC">
            <w:pPr>
              <w:jc w:val="center"/>
              <w:rPr>
                <w:rFonts w:ascii="Calibri" w:hAnsi="Calibri" w:cs="Calibri"/>
                <w:sz w:val="22"/>
                <w:szCs w:val="22"/>
              </w:rPr>
            </w:pPr>
            <w:r w:rsidRPr="00FC72C3">
              <w:rPr>
                <w:rFonts w:ascii="Calibri" w:hAnsi="Calibri" w:cs="Calibri"/>
                <w:sz w:val="22"/>
                <w:szCs w:val="22"/>
              </w:rPr>
              <w:t>Parte</w:t>
            </w:r>
          </w:p>
        </w:tc>
        <w:tc>
          <w:tcPr>
            <w:tcW w:w="2977" w:type="dxa"/>
          </w:tcPr>
          <w:p w:rsidR="00FE514C" w:rsidRPr="00FC72C3" w:rsidRDefault="00FE514C" w:rsidP="008738AC">
            <w:pPr>
              <w:jc w:val="center"/>
              <w:rPr>
                <w:rFonts w:ascii="Calibri" w:hAnsi="Calibri" w:cs="Calibri"/>
                <w:sz w:val="22"/>
                <w:szCs w:val="22"/>
              </w:rPr>
            </w:pPr>
            <w:r w:rsidRPr="00FC72C3">
              <w:rPr>
                <w:rFonts w:ascii="Calibri" w:hAnsi="Calibri" w:cs="Calibri"/>
                <w:sz w:val="22"/>
                <w:szCs w:val="22"/>
              </w:rPr>
              <w:t>Tipo</w:t>
            </w:r>
          </w:p>
        </w:tc>
        <w:tc>
          <w:tcPr>
            <w:tcW w:w="1185" w:type="dxa"/>
          </w:tcPr>
          <w:p w:rsidR="00FE514C" w:rsidRPr="00FC72C3" w:rsidRDefault="00FE514C" w:rsidP="008738AC">
            <w:pPr>
              <w:jc w:val="center"/>
              <w:rPr>
                <w:rFonts w:ascii="Calibri" w:hAnsi="Calibri" w:cs="Calibri"/>
                <w:sz w:val="22"/>
                <w:szCs w:val="22"/>
              </w:rPr>
            </w:pPr>
            <w:r w:rsidRPr="00FC72C3">
              <w:rPr>
                <w:rFonts w:ascii="Calibri" w:hAnsi="Calibri" w:cs="Calibri"/>
                <w:sz w:val="22"/>
                <w:szCs w:val="22"/>
              </w:rPr>
              <w:t>Valor</w:t>
            </w:r>
          </w:p>
        </w:tc>
      </w:tr>
      <w:tr w:rsidR="00FE514C" w:rsidTr="008738AC">
        <w:tc>
          <w:tcPr>
            <w:tcW w:w="2649" w:type="dxa"/>
            <w:vAlign w:val="center"/>
          </w:tcPr>
          <w:p w:rsidR="00FE514C" w:rsidRPr="00FC72C3" w:rsidRDefault="00FE514C" w:rsidP="008738AC">
            <w:pPr>
              <w:widowControl/>
              <w:jc w:val="center"/>
              <w:rPr>
                <w:rFonts w:asciiTheme="minorHAnsi" w:hAnsiTheme="minorHAnsi" w:cstheme="minorHAnsi"/>
                <w:snapToGrid/>
                <w:sz w:val="22"/>
                <w:szCs w:val="22"/>
              </w:rPr>
            </w:pPr>
            <w:r w:rsidRPr="00FC72C3">
              <w:rPr>
                <w:rFonts w:asciiTheme="minorHAnsi" w:hAnsiTheme="minorHAnsi" w:cstheme="minorHAnsi"/>
                <w:sz w:val="22"/>
                <w:szCs w:val="22"/>
              </w:rPr>
              <w:t>00066406920084025101</w:t>
            </w:r>
          </w:p>
        </w:tc>
        <w:tc>
          <w:tcPr>
            <w:tcW w:w="3158" w:type="dxa"/>
            <w:vAlign w:val="center"/>
          </w:tcPr>
          <w:p w:rsidR="00FE514C" w:rsidRPr="00FC72C3" w:rsidRDefault="00FE514C" w:rsidP="008738AC">
            <w:pPr>
              <w:widowControl/>
              <w:rPr>
                <w:rFonts w:asciiTheme="minorHAnsi" w:hAnsiTheme="minorHAnsi" w:cstheme="minorHAnsi"/>
                <w:snapToGrid/>
                <w:sz w:val="22"/>
                <w:szCs w:val="22"/>
              </w:rPr>
            </w:pPr>
            <w:r w:rsidRPr="00FC72C3">
              <w:rPr>
                <w:rFonts w:asciiTheme="minorHAnsi" w:hAnsiTheme="minorHAnsi" w:cstheme="minorHAnsi"/>
                <w:sz w:val="22"/>
                <w:szCs w:val="22"/>
              </w:rPr>
              <w:t>DM Construtora de Obras</w:t>
            </w:r>
          </w:p>
        </w:tc>
        <w:tc>
          <w:tcPr>
            <w:tcW w:w="2977" w:type="dxa"/>
            <w:vAlign w:val="center"/>
          </w:tcPr>
          <w:p w:rsidR="00FE514C" w:rsidRPr="00FC72C3" w:rsidRDefault="00FE514C" w:rsidP="008738AC">
            <w:pPr>
              <w:widowControl/>
              <w:rPr>
                <w:rFonts w:asciiTheme="minorHAnsi" w:hAnsiTheme="minorHAnsi" w:cstheme="minorHAnsi"/>
                <w:snapToGrid/>
                <w:sz w:val="22"/>
                <w:szCs w:val="22"/>
              </w:rPr>
            </w:pPr>
            <w:r w:rsidRPr="00FC72C3">
              <w:rPr>
                <w:rFonts w:asciiTheme="minorHAnsi" w:hAnsiTheme="minorHAnsi" w:cstheme="minorHAnsi"/>
                <w:sz w:val="22"/>
                <w:szCs w:val="22"/>
              </w:rPr>
              <w:t>Cautelar</w:t>
            </w:r>
          </w:p>
        </w:tc>
        <w:tc>
          <w:tcPr>
            <w:tcW w:w="1185" w:type="dxa"/>
            <w:vAlign w:val="center"/>
          </w:tcPr>
          <w:p w:rsidR="00FE514C" w:rsidRPr="00FC72C3" w:rsidRDefault="00FE514C" w:rsidP="008738AC">
            <w:pPr>
              <w:widowControl/>
              <w:jc w:val="right"/>
              <w:rPr>
                <w:rFonts w:asciiTheme="minorHAnsi" w:hAnsiTheme="minorHAnsi" w:cstheme="minorHAnsi"/>
                <w:snapToGrid/>
                <w:sz w:val="22"/>
                <w:szCs w:val="22"/>
              </w:rPr>
            </w:pPr>
            <w:r w:rsidRPr="00FC72C3">
              <w:rPr>
                <w:rFonts w:asciiTheme="minorHAnsi" w:hAnsiTheme="minorHAnsi" w:cstheme="minorHAnsi"/>
                <w:sz w:val="22"/>
                <w:szCs w:val="22"/>
              </w:rPr>
              <w:t>250.000</w:t>
            </w:r>
          </w:p>
        </w:tc>
      </w:tr>
      <w:tr w:rsidR="00FE514C" w:rsidTr="008738AC">
        <w:tc>
          <w:tcPr>
            <w:tcW w:w="2649" w:type="dxa"/>
            <w:vAlign w:val="center"/>
          </w:tcPr>
          <w:p w:rsidR="00FE514C" w:rsidRPr="00FC72C3" w:rsidRDefault="00FE514C" w:rsidP="008738AC">
            <w:pPr>
              <w:jc w:val="center"/>
              <w:rPr>
                <w:rFonts w:asciiTheme="minorHAnsi" w:hAnsiTheme="minorHAnsi" w:cstheme="minorHAnsi"/>
                <w:sz w:val="22"/>
                <w:szCs w:val="22"/>
              </w:rPr>
            </w:pPr>
            <w:r w:rsidRPr="00FC72C3">
              <w:rPr>
                <w:rFonts w:asciiTheme="minorHAnsi" w:hAnsiTheme="minorHAnsi" w:cstheme="minorHAnsi"/>
                <w:sz w:val="22"/>
                <w:szCs w:val="22"/>
              </w:rPr>
              <w:t>00137391720134025101</w:t>
            </w:r>
          </w:p>
        </w:tc>
        <w:tc>
          <w:tcPr>
            <w:tcW w:w="3158" w:type="dxa"/>
            <w:vAlign w:val="center"/>
          </w:tcPr>
          <w:p w:rsidR="00FE514C" w:rsidRPr="00FC72C3" w:rsidRDefault="00FE514C" w:rsidP="008738AC">
            <w:pPr>
              <w:rPr>
                <w:rFonts w:asciiTheme="minorHAnsi" w:hAnsiTheme="minorHAnsi" w:cstheme="minorHAnsi"/>
                <w:sz w:val="22"/>
                <w:szCs w:val="22"/>
              </w:rPr>
            </w:pPr>
            <w:r w:rsidRPr="00FC72C3">
              <w:rPr>
                <w:rFonts w:asciiTheme="minorHAnsi" w:hAnsiTheme="minorHAnsi" w:cstheme="minorHAnsi"/>
                <w:sz w:val="22"/>
                <w:szCs w:val="22"/>
              </w:rPr>
              <w:t>Ministério Público Federal</w:t>
            </w:r>
          </w:p>
        </w:tc>
        <w:tc>
          <w:tcPr>
            <w:tcW w:w="2977" w:type="dxa"/>
            <w:vAlign w:val="center"/>
          </w:tcPr>
          <w:p w:rsidR="00FE514C" w:rsidRPr="00FC72C3" w:rsidRDefault="00FE514C" w:rsidP="008738AC">
            <w:pPr>
              <w:rPr>
                <w:rFonts w:asciiTheme="minorHAnsi" w:hAnsiTheme="minorHAnsi" w:cstheme="minorHAnsi"/>
                <w:sz w:val="22"/>
                <w:szCs w:val="22"/>
              </w:rPr>
            </w:pPr>
            <w:r w:rsidRPr="00FC72C3">
              <w:rPr>
                <w:rFonts w:asciiTheme="minorHAnsi" w:hAnsiTheme="minorHAnsi" w:cstheme="minorHAnsi"/>
                <w:sz w:val="22"/>
                <w:szCs w:val="22"/>
              </w:rPr>
              <w:t>Improbidade Administrativa</w:t>
            </w:r>
          </w:p>
        </w:tc>
        <w:tc>
          <w:tcPr>
            <w:tcW w:w="1185" w:type="dxa"/>
            <w:vAlign w:val="center"/>
          </w:tcPr>
          <w:p w:rsidR="00FE514C" w:rsidRPr="00FC72C3" w:rsidRDefault="00FE514C" w:rsidP="008738AC">
            <w:pPr>
              <w:jc w:val="right"/>
              <w:rPr>
                <w:rFonts w:asciiTheme="minorHAnsi" w:hAnsiTheme="minorHAnsi" w:cstheme="minorHAnsi"/>
                <w:sz w:val="22"/>
                <w:szCs w:val="22"/>
              </w:rPr>
            </w:pPr>
            <w:r w:rsidRPr="00FC72C3">
              <w:rPr>
                <w:rFonts w:asciiTheme="minorHAnsi" w:hAnsiTheme="minorHAnsi" w:cstheme="minorHAnsi"/>
                <w:sz w:val="22"/>
                <w:szCs w:val="22"/>
              </w:rPr>
              <w:t>82.018</w:t>
            </w:r>
          </w:p>
        </w:tc>
      </w:tr>
      <w:tr w:rsidR="00FE514C" w:rsidTr="008738AC">
        <w:tc>
          <w:tcPr>
            <w:tcW w:w="2649" w:type="dxa"/>
            <w:vAlign w:val="center"/>
          </w:tcPr>
          <w:p w:rsidR="00FE514C" w:rsidRPr="00FC72C3" w:rsidRDefault="00FE514C" w:rsidP="008738AC">
            <w:pPr>
              <w:jc w:val="center"/>
              <w:rPr>
                <w:rFonts w:asciiTheme="minorHAnsi" w:hAnsiTheme="minorHAnsi" w:cstheme="minorHAnsi"/>
                <w:sz w:val="22"/>
                <w:szCs w:val="22"/>
              </w:rPr>
            </w:pPr>
            <w:r w:rsidRPr="00FC72C3">
              <w:rPr>
                <w:rFonts w:asciiTheme="minorHAnsi" w:hAnsiTheme="minorHAnsi" w:cstheme="minorHAnsi"/>
                <w:sz w:val="22"/>
                <w:szCs w:val="22"/>
              </w:rPr>
              <w:t>50417730420194025101</w:t>
            </w:r>
          </w:p>
        </w:tc>
        <w:tc>
          <w:tcPr>
            <w:tcW w:w="3158" w:type="dxa"/>
            <w:vAlign w:val="center"/>
          </w:tcPr>
          <w:p w:rsidR="00FE514C" w:rsidRPr="00FC72C3" w:rsidRDefault="00FE514C" w:rsidP="008738AC">
            <w:pPr>
              <w:rPr>
                <w:rFonts w:asciiTheme="minorHAnsi" w:hAnsiTheme="minorHAnsi" w:cstheme="minorHAnsi"/>
                <w:sz w:val="22"/>
                <w:szCs w:val="22"/>
              </w:rPr>
            </w:pPr>
            <w:r>
              <w:rPr>
                <w:rFonts w:asciiTheme="minorHAnsi" w:hAnsiTheme="minorHAnsi" w:cstheme="minorHAnsi"/>
                <w:sz w:val="22"/>
                <w:szCs w:val="22"/>
              </w:rPr>
              <w:t xml:space="preserve">Blatter &amp; Galvão </w:t>
            </w:r>
            <w:proofErr w:type="spellStart"/>
            <w:r>
              <w:rPr>
                <w:rFonts w:asciiTheme="minorHAnsi" w:hAnsiTheme="minorHAnsi" w:cstheme="minorHAnsi"/>
                <w:sz w:val="22"/>
                <w:szCs w:val="22"/>
              </w:rPr>
              <w:t>Sidou</w:t>
            </w:r>
            <w:proofErr w:type="spellEnd"/>
          </w:p>
        </w:tc>
        <w:tc>
          <w:tcPr>
            <w:tcW w:w="2977" w:type="dxa"/>
            <w:vAlign w:val="center"/>
          </w:tcPr>
          <w:p w:rsidR="00FE514C" w:rsidRPr="00FC72C3" w:rsidRDefault="00FE514C" w:rsidP="008738AC">
            <w:pPr>
              <w:rPr>
                <w:rFonts w:asciiTheme="minorHAnsi" w:hAnsiTheme="minorHAnsi" w:cstheme="minorHAnsi"/>
                <w:sz w:val="22"/>
                <w:szCs w:val="22"/>
              </w:rPr>
            </w:pPr>
            <w:r w:rsidRPr="00FC72C3">
              <w:rPr>
                <w:rFonts w:asciiTheme="minorHAnsi" w:hAnsiTheme="minorHAnsi" w:cstheme="minorHAnsi"/>
                <w:sz w:val="22"/>
                <w:szCs w:val="22"/>
              </w:rPr>
              <w:t>Ação Civil Pública</w:t>
            </w:r>
          </w:p>
        </w:tc>
        <w:tc>
          <w:tcPr>
            <w:tcW w:w="1185" w:type="dxa"/>
            <w:vAlign w:val="center"/>
          </w:tcPr>
          <w:p w:rsidR="00FE514C" w:rsidRPr="00FC72C3" w:rsidRDefault="00FE514C" w:rsidP="008738AC">
            <w:pPr>
              <w:jc w:val="right"/>
              <w:rPr>
                <w:rFonts w:asciiTheme="minorHAnsi" w:hAnsiTheme="minorHAnsi" w:cstheme="minorHAnsi"/>
                <w:sz w:val="22"/>
                <w:szCs w:val="22"/>
              </w:rPr>
            </w:pPr>
            <w:r w:rsidRPr="00FC72C3">
              <w:rPr>
                <w:rFonts w:asciiTheme="minorHAnsi" w:hAnsiTheme="minorHAnsi" w:cstheme="minorHAnsi"/>
                <w:sz w:val="22"/>
                <w:szCs w:val="22"/>
              </w:rPr>
              <w:t>75.424</w:t>
            </w:r>
          </w:p>
        </w:tc>
      </w:tr>
      <w:tr w:rsidR="00FE514C" w:rsidTr="008738AC">
        <w:tc>
          <w:tcPr>
            <w:tcW w:w="2649" w:type="dxa"/>
            <w:vAlign w:val="center"/>
          </w:tcPr>
          <w:p w:rsidR="00FE514C" w:rsidRPr="00FC72C3" w:rsidRDefault="00FE514C" w:rsidP="008738AC">
            <w:pPr>
              <w:jc w:val="center"/>
              <w:rPr>
                <w:rFonts w:asciiTheme="minorHAnsi" w:hAnsiTheme="minorHAnsi" w:cstheme="minorHAnsi"/>
                <w:sz w:val="22"/>
                <w:szCs w:val="22"/>
              </w:rPr>
            </w:pPr>
            <w:r w:rsidRPr="00FC72C3">
              <w:rPr>
                <w:rFonts w:asciiTheme="minorHAnsi" w:hAnsiTheme="minorHAnsi" w:cstheme="minorHAnsi"/>
                <w:sz w:val="22"/>
                <w:szCs w:val="22"/>
              </w:rPr>
              <w:t>00023797520158190003</w:t>
            </w:r>
          </w:p>
        </w:tc>
        <w:tc>
          <w:tcPr>
            <w:tcW w:w="3158" w:type="dxa"/>
            <w:vAlign w:val="center"/>
          </w:tcPr>
          <w:p w:rsidR="00FE514C" w:rsidRPr="00FC72C3" w:rsidRDefault="00FE514C" w:rsidP="008738AC">
            <w:pPr>
              <w:rPr>
                <w:rFonts w:asciiTheme="minorHAnsi" w:hAnsiTheme="minorHAnsi" w:cstheme="minorHAnsi"/>
                <w:sz w:val="22"/>
                <w:szCs w:val="22"/>
              </w:rPr>
            </w:pPr>
            <w:proofErr w:type="spellStart"/>
            <w:r>
              <w:rPr>
                <w:rFonts w:asciiTheme="minorHAnsi" w:hAnsiTheme="minorHAnsi" w:cstheme="minorHAnsi"/>
                <w:sz w:val="22"/>
                <w:szCs w:val="22"/>
              </w:rPr>
              <w:t>Ivonia</w:t>
            </w:r>
            <w:proofErr w:type="spellEnd"/>
            <w:r>
              <w:rPr>
                <w:rFonts w:asciiTheme="minorHAnsi" w:hAnsiTheme="minorHAnsi" w:cstheme="minorHAnsi"/>
                <w:sz w:val="22"/>
                <w:szCs w:val="22"/>
              </w:rPr>
              <w:t xml:space="preserve"> Afonso da Paixão</w:t>
            </w:r>
          </w:p>
        </w:tc>
        <w:tc>
          <w:tcPr>
            <w:tcW w:w="2977" w:type="dxa"/>
            <w:vAlign w:val="center"/>
          </w:tcPr>
          <w:p w:rsidR="00FE514C" w:rsidRPr="00FC72C3" w:rsidRDefault="00FE514C" w:rsidP="008738AC">
            <w:pPr>
              <w:rPr>
                <w:rFonts w:asciiTheme="minorHAnsi" w:hAnsiTheme="minorHAnsi" w:cstheme="minorHAnsi"/>
                <w:sz w:val="22"/>
                <w:szCs w:val="22"/>
              </w:rPr>
            </w:pPr>
            <w:r w:rsidRPr="00FC72C3">
              <w:rPr>
                <w:rFonts w:asciiTheme="minorHAnsi" w:hAnsiTheme="minorHAnsi" w:cstheme="minorHAnsi"/>
                <w:sz w:val="22"/>
                <w:szCs w:val="22"/>
              </w:rPr>
              <w:t>Reintegração de Posse</w:t>
            </w:r>
          </w:p>
        </w:tc>
        <w:tc>
          <w:tcPr>
            <w:tcW w:w="1185" w:type="dxa"/>
            <w:vAlign w:val="center"/>
          </w:tcPr>
          <w:p w:rsidR="00FE514C" w:rsidRPr="00FC72C3" w:rsidRDefault="00FE514C" w:rsidP="008738AC">
            <w:pPr>
              <w:jc w:val="right"/>
              <w:rPr>
                <w:rFonts w:asciiTheme="minorHAnsi" w:hAnsiTheme="minorHAnsi" w:cstheme="minorHAnsi"/>
                <w:sz w:val="22"/>
                <w:szCs w:val="22"/>
              </w:rPr>
            </w:pPr>
            <w:r w:rsidRPr="00FC72C3">
              <w:rPr>
                <w:rFonts w:asciiTheme="minorHAnsi" w:hAnsiTheme="minorHAnsi" w:cstheme="minorHAnsi"/>
                <w:sz w:val="22"/>
                <w:szCs w:val="22"/>
              </w:rPr>
              <w:t>62.206</w:t>
            </w:r>
          </w:p>
        </w:tc>
      </w:tr>
      <w:tr w:rsidR="00FE514C" w:rsidTr="008738AC">
        <w:tc>
          <w:tcPr>
            <w:tcW w:w="2649" w:type="dxa"/>
            <w:vAlign w:val="center"/>
          </w:tcPr>
          <w:p w:rsidR="00FE514C" w:rsidRPr="00FC72C3" w:rsidRDefault="00FE514C" w:rsidP="008738AC">
            <w:pPr>
              <w:jc w:val="center"/>
              <w:rPr>
                <w:rFonts w:asciiTheme="minorHAnsi" w:hAnsiTheme="minorHAnsi" w:cstheme="minorHAnsi"/>
                <w:sz w:val="22"/>
                <w:szCs w:val="22"/>
              </w:rPr>
            </w:pPr>
            <w:r w:rsidRPr="00FC72C3">
              <w:rPr>
                <w:rFonts w:asciiTheme="minorHAnsi" w:hAnsiTheme="minorHAnsi" w:cstheme="minorHAnsi"/>
                <w:sz w:val="22"/>
                <w:szCs w:val="22"/>
              </w:rPr>
              <w:t>50376878720194025101</w:t>
            </w:r>
          </w:p>
        </w:tc>
        <w:tc>
          <w:tcPr>
            <w:tcW w:w="3158" w:type="dxa"/>
            <w:vAlign w:val="center"/>
          </w:tcPr>
          <w:p w:rsidR="00FE514C" w:rsidRPr="00FC72C3" w:rsidRDefault="00FE514C" w:rsidP="008738AC">
            <w:pPr>
              <w:rPr>
                <w:rFonts w:asciiTheme="minorHAnsi" w:hAnsiTheme="minorHAnsi" w:cstheme="minorHAnsi"/>
                <w:sz w:val="22"/>
                <w:szCs w:val="22"/>
              </w:rPr>
            </w:pPr>
            <w:proofErr w:type="spellStart"/>
            <w:r w:rsidRPr="00FC72C3">
              <w:rPr>
                <w:rFonts w:asciiTheme="minorHAnsi" w:hAnsiTheme="minorHAnsi" w:cstheme="minorHAnsi"/>
                <w:sz w:val="22"/>
                <w:szCs w:val="22"/>
              </w:rPr>
              <w:t>Multi-Rio</w:t>
            </w:r>
            <w:proofErr w:type="spellEnd"/>
            <w:r w:rsidRPr="00FC72C3">
              <w:rPr>
                <w:rFonts w:asciiTheme="minorHAnsi" w:hAnsiTheme="minorHAnsi" w:cstheme="minorHAnsi"/>
                <w:sz w:val="22"/>
                <w:szCs w:val="22"/>
              </w:rPr>
              <w:t xml:space="preserve"> Operações Portuárias</w:t>
            </w:r>
          </w:p>
        </w:tc>
        <w:tc>
          <w:tcPr>
            <w:tcW w:w="2977" w:type="dxa"/>
            <w:vAlign w:val="center"/>
          </w:tcPr>
          <w:p w:rsidR="00FE514C" w:rsidRPr="00FC72C3" w:rsidRDefault="00FE514C" w:rsidP="008738AC">
            <w:pPr>
              <w:rPr>
                <w:rFonts w:asciiTheme="minorHAnsi" w:hAnsiTheme="minorHAnsi" w:cstheme="minorHAnsi"/>
                <w:sz w:val="22"/>
                <w:szCs w:val="22"/>
              </w:rPr>
            </w:pPr>
            <w:r w:rsidRPr="00FC72C3">
              <w:rPr>
                <w:rFonts w:asciiTheme="minorHAnsi" w:hAnsiTheme="minorHAnsi" w:cstheme="minorHAnsi"/>
                <w:sz w:val="22"/>
                <w:szCs w:val="22"/>
              </w:rPr>
              <w:t>Ordinária</w:t>
            </w:r>
          </w:p>
        </w:tc>
        <w:tc>
          <w:tcPr>
            <w:tcW w:w="1185" w:type="dxa"/>
            <w:vAlign w:val="center"/>
          </w:tcPr>
          <w:p w:rsidR="00FE514C" w:rsidRPr="00FC72C3" w:rsidRDefault="00FE514C" w:rsidP="008738AC">
            <w:pPr>
              <w:jc w:val="right"/>
              <w:rPr>
                <w:rFonts w:asciiTheme="minorHAnsi" w:hAnsiTheme="minorHAnsi" w:cstheme="minorHAnsi"/>
                <w:sz w:val="22"/>
                <w:szCs w:val="22"/>
              </w:rPr>
            </w:pPr>
            <w:r w:rsidRPr="00FC72C3">
              <w:rPr>
                <w:rFonts w:asciiTheme="minorHAnsi" w:hAnsiTheme="minorHAnsi" w:cstheme="minorHAnsi"/>
                <w:sz w:val="22"/>
                <w:szCs w:val="22"/>
              </w:rPr>
              <w:t>47.227</w:t>
            </w:r>
          </w:p>
        </w:tc>
      </w:tr>
    </w:tbl>
    <w:p w:rsidR="00FE514C" w:rsidRDefault="00FE514C" w:rsidP="00FE514C">
      <w:pPr>
        <w:jc w:val="both"/>
        <w:rPr>
          <w:rFonts w:ascii="Calibri" w:hAnsi="Calibri" w:cs="Calibri"/>
          <w:sz w:val="24"/>
          <w:szCs w:val="24"/>
        </w:rPr>
      </w:pPr>
    </w:p>
    <w:p w:rsidR="00FE514C" w:rsidRPr="00FE514C" w:rsidRDefault="00FE514C" w:rsidP="00FE514C">
      <w:pPr>
        <w:jc w:val="both"/>
        <w:rPr>
          <w:rFonts w:ascii="Calibri" w:hAnsi="Calibri" w:cs="Calibri"/>
          <w:b/>
          <w:sz w:val="24"/>
          <w:szCs w:val="24"/>
        </w:rPr>
      </w:pPr>
      <w:r w:rsidRPr="00FE514C">
        <w:rPr>
          <w:rFonts w:ascii="Calibri" w:hAnsi="Calibri" w:cs="Calibri"/>
          <w:b/>
          <w:sz w:val="24"/>
          <w:szCs w:val="24"/>
        </w:rPr>
        <w:t>Ações Tributárias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9"/>
        <w:gridCol w:w="3158"/>
        <w:gridCol w:w="2977"/>
        <w:gridCol w:w="1185"/>
      </w:tblGrid>
      <w:tr w:rsidR="00FE514C" w:rsidRPr="00FC72C3" w:rsidTr="008738AC">
        <w:tc>
          <w:tcPr>
            <w:tcW w:w="2649" w:type="dxa"/>
          </w:tcPr>
          <w:p w:rsidR="00FE514C" w:rsidRPr="00FC72C3" w:rsidRDefault="00FE514C" w:rsidP="008738AC">
            <w:pPr>
              <w:jc w:val="center"/>
              <w:rPr>
                <w:rFonts w:ascii="Calibri" w:hAnsi="Calibri" w:cs="Calibri"/>
                <w:sz w:val="22"/>
                <w:szCs w:val="22"/>
              </w:rPr>
            </w:pPr>
            <w:r w:rsidRPr="00FC72C3">
              <w:rPr>
                <w:rFonts w:ascii="Calibri" w:hAnsi="Calibri" w:cs="Calibri"/>
                <w:sz w:val="22"/>
                <w:szCs w:val="22"/>
              </w:rPr>
              <w:t>Processo</w:t>
            </w:r>
          </w:p>
        </w:tc>
        <w:tc>
          <w:tcPr>
            <w:tcW w:w="3158" w:type="dxa"/>
          </w:tcPr>
          <w:p w:rsidR="00FE514C" w:rsidRPr="00FC72C3" w:rsidRDefault="00FE514C" w:rsidP="008738AC">
            <w:pPr>
              <w:jc w:val="center"/>
              <w:rPr>
                <w:rFonts w:ascii="Calibri" w:hAnsi="Calibri" w:cs="Calibri"/>
                <w:sz w:val="22"/>
                <w:szCs w:val="22"/>
              </w:rPr>
            </w:pPr>
            <w:r w:rsidRPr="00FC72C3">
              <w:rPr>
                <w:rFonts w:ascii="Calibri" w:hAnsi="Calibri" w:cs="Calibri"/>
                <w:sz w:val="22"/>
                <w:szCs w:val="22"/>
              </w:rPr>
              <w:t>Parte</w:t>
            </w:r>
          </w:p>
        </w:tc>
        <w:tc>
          <w:tcPr>
            <w:tcW w:w="2977" w:type="dxa"/>
          </w:tcPr>
          <w:p w:rsidR="00FE514C" w:rsidRPr="00FC72C3" w:rsidRDefault="00FE514C" w:rsidP="008738AC">
            <w:pPr>
              <w:jc w:val="center"/>
              <w:rPr>
                <w:rFonts w:ascii="Calibri" w:hAnsi="Calibri" w:cs="Calibri"/>
                <w:sz w:val="22"/>
                <w:szCs w:val="22"/>
              </w:rPr>
            </w:pPr>
            <w:r w:rsidRPr="00FC72C3">
              <w:rPr>
                <w:rFonts w:ascii="Calibri" w:hAnsi="Calibri" w:cs="Calibri"/>
                <w:sz w:val="22"/>
                <w:szCs w:val="22"/>
              </w:rPr>
              <w:t>Tipo</w:t>
            </w:r>
          </w:p>
        </w:tc>
        <w:tc>
          <w:tcPr>
            <w:tcW w:w="1185" w:type="dxa"/>
          </w:tcPr>
          <w:p w:rsidR="00FE514C" w:rsidRPr="00FC72C3" w:rsidRDefault="00FE514C" w:rsidP="008738AC">
            <w:pPr>
              <w:jc w:val="center"/>
              <w:rPr>
                <w:rFonts w:ascii="Calibri" w:hAnsi="Calibri" w:cs="Calibri"/>
                <w:sz w:val="22"/>
                <w:szCs w:val="22"/>
              </w:rPr>
            </w:pPr>
            <w:r w:rsidRPr="00FC72C3">
              <w:rPr>
                <w:rFonts w:ascii="Calibri" w:hAnsi="Calibri" w:cs="Calibri"/>
                <w:sz w:val="22"/>
                <w:szCs w:val="22"/>
              </w:rPr>
              <w:t>Valor</w:t>
            </w:r>
          </w:p>
        </w:tc>
      </w:tr>
      <w:tr w:rsidR="00FE514C" w:rsidRPr="00FC72C3" w:rsidTr="008738AC">
        <w:tc>
          <w:tcPr>
            <w:tcW w:w="2649" w:type="dxa"/>
            <w:vAlign w:val="center"/>
          </w:tcPr>
          <w:p w:rsidR="00FE514C" w:rsidRPr="009744D3" w:rsidRDefault="00FE514C" w:rsidP="008738AC">
            <w:pPr>
              <w:jc w:val="center"/>
              <w:rPr>
                <w:rFonts w:asciiTheme="minorHAnsi" w:hAnsiTheme="minorHAnsi" w:cstheme="minorHAnsi"/>
                <w:sz w:val="22"/>
                <w:szCs w:val="22"/>
              </w:rPr>
            </w:pPr>
            <w:r w:rsidRPr="009744D3">
              <w:rPr>
                <w:rFonts w:asciiTheme="minorHAnsi" w:hAnsiTheme="minorHAnsi" w:cstheme="minorHAnsi"/>
                <w:sz w:val="22"/>
                <w:szCs w:val="22"/>
              </w:rPr>
              <w:t>05033114020184025101</w:t>
            </w:r>
          </w:p>
        </w:tc>
        <w:tc>
          <w:tcPr>
            <w:tcW w:w="3158" w:type="dxa"/>
            <w:vAlign w:val="center"/>
          </w:tcPr>
          <w:p w:rsidR="00FE514C" w:rsidRPr="00FC72C3" w:rsidRDefault="00FE514C" w:rsidP="008738AC">
            <w:pPr>
              <w:widowControl/>
              <w:rPr>
                <w:rFonts w:asciiTheme="minorHAnsi" w:hAnsiTheme="minorHAnsi" w:cstheme="minorHAnsi"/>
                <w:snapToGrid/>
                <w:sz w:val="22"/>
                <w:szCs w:val="22"/>
              </w:rPr>
            </w:pPr>
            <w:r>
              <w:rPr>
                <w:rFonts w:asciiTheme="minorHAnsi" w:hAnsiTheme="minorHAnsi" w:cstheme="minorHAnsi"/>
                <w:sz w:val="22"/>
                <w:szCs w:val="22"/>
              </w:rPr>
              <w:t>Fazenda Nacional</w:t>
            </w:r>
          </w:p>
        </w:tc>
        <w:tc>
          <w:tcPr>
            <w:tcW w:w="2977" w:type="dxa"/>
            <w:vAlign w:val="center"/>
          </w:tcPr>
          <w:p w:rsidR="00FE514C" w:rsidRPr="00FC72C3" w:rsidRDefault="00FE514C" w:rsidP="008738AC">
            <w:pPr>
              <w:widowControl/>
              <w:rPr>
                <w:rFonts w:asciiTheme="minorHAnsi" w:hAnsiTheme="minorHAnsi" w:cstheme="minorHAnsi"/>
                <w:snapToGrid/>
                <w:sz w:val="22"/>
                <w:szCs w:val="22"/>
              </w:rPr>
            </w:pPr>
            <w:r>
              <w:rPr>
                <w:rFonts w:asciiTheme="minorHAnsi" w:hAnsiTheme="minorHAnsi" w:cstheme="minorHAnsi"/>
                <w:snapToGrid/>
                <w:sz w:val="22"/>
                <w:szCs w:val="22"/>
              </w:rPr>
              <w:t>Embargos de Terceiros</w:t>
            </w:r>
          </w:p>
        </w:tc>
        <w:tc>
          <w:tcPr>
            <w:tcW w:w="1185" w:type="dxa"/>
            <w:vAlign w:val="center"/>
          </w:tcPr>
          <w:p w:rsidR="00FE514C" w:rsidRPr="00FC72C3" w:rsidRDefault="00FE514C" w:rsidP="008738AC">
            <w:pPr>
              <w:widowControl/>
              <w:jc w:val="right"/>
              <w:rPr>
                <w:rFonts w:asciiTheme="minorHAnsi" w:hAnsiTheme="minorHAnsi" w:cstheme="minorHAnsi"/>
                <w:snapToGrid/>
                <w:sz w:val="22"/>
                <w:szCs w:val="22"/>
              </w:rPr>
            </w:pPr>
            <w:r w:rsidRPr="00FC72C3">
              <w:rPr>
                <w:rFonts w:asciiTheme="minorHAnsi" w:hAnsiTheme="minorHAnsi" w:cstheme="minorHAnsi"/>
                <w:sz w:val="22"/>
                <w:szCs w:val="22"/>
              </w:rPr>
              <w:t>50.</w:t>
            </w:r>
            <w:r>
              <w:rPr>
                <w:rFonts w:asciiTheme="minorHAnsi" w:hAnsiTheme="minorHAnsi" w:cstheme="minorHAnsi"/>
                <w:sz w:val="22"/>
                <w:szCs w:val="22"/>
              </w:rPr>
              <w:t>182</w:t>
            </w:r>
          </w:p>
        </w:tc>
      </w:tr>
      <w:tr w:rsidR="00FE514C" w:rsidRPr="00FC72C3" w:rsidTr="008738AC">
        <w:tc>
          <w:tcPr>
            <w:tcW w:w="2649" w:type="dxa"/>
            <w:vAlign w:val="center"/>
          </w:tcPr>
          <w:p w:rsidR="00FE514C" w:rsidRPr="009744D3" w:rsidRDefault="00FE514C" w:rsidP="008738AC">
            <w:pPr>
              <w:jc w:val="center"/>
              <w:rPr>
                <w:rFonts w:asciiTheme="minorHAnsi" w:hAnsiTheme="minorHAnsi" w:cstheme="minorHAnsi"/>
                <w:sz w:val="22"/>
                <w:szCs w:val="22"/>
              </w:rPr>
            </w:pPr>
            <w:r w:rsidRPr="009744D3">
              <w:rPr>
                <w:rFonts w:asciiTheme="minorHAnsi" w:hAnsiTheme="minorHAnsi" w:cstheme="minorHAnsi"/>
                <w:sz w:val="22"/>
                <w:szCs w:val="22"/>
              </w:rPr>
              <w:t>05129561220064025101</w:t>
            </w:r>
          </w:p>
        </w:tc>
        <w:tc>
          <w:tcPr>
            <w:tcW w:w="3158" w:type="dxa"/>
            <w:vAlign w:val="center"/>
          </w:tcPr>
          <w:p w:rsidR="00FE514C" w:rsidRPr="00FC72C3" w:rsidRDefault="00FE514C" w:rsidP="008738AC">
            <w:pPr>
              <w:rPr>
                <w:rFonts w:asciiTheme="minorHAnsi" w:hAnsiTheme="minorHAnsi" w:cstheme="minorHAnsi"/>
                <w:sz w:val="22"/>
                <w:szCs w:val="22"/>
              </w:rPr>
            </w:pPr>
            <w:r>
              <w:rPr>
                <w:rFonts w:asciiTheme="minorHAnsi" w:hAnsiTheme="minorHAnsi" w:cstheme="minorHAnsi"/>
                <w:sz w:val="22"/>
                <w:szCs w:val="22"/>
              </w:rPr>
              <w:t>Fazenda Nacional</w:t>
            </w:r>
          </w:p>
        </w:tc>
        <w:tc>
          <w:tcPr>
            <w:tcW w:w="2977" w:type="dxa"/>
            <w:vAlign w:val="center"/>
          </w:tcPr>
          <w:p w:rsidR="00FE514C" w:rsidRPr="00FC72C3" w:rsidRDefault="00FE514C" w:rsidP="008738AC">
            <w:pPr>
              <w:rPr>
                <w:rFonts w:asciiTheme="minorHAnsi" w:hAnsiTheme="minorHAnsi" w:cstheme="minorHAnsi"/>
                <w:sz w:val="22"/>
                <w:szCs w:val="22"/>
              </w:rPr>
            </w:pPr>
            <w:r>
              <w:rPr>
                <w:rFonts w:asciiTheme="minorHAnsi" w:hAnsiTheme="minorHAnsi" w:cstheme="minorHAnsi"/>
                <w:sz w:val="22"/>
                <w:szCs w:val="22"/>
              </w:rPr>
              <w:t>Execução Fiscal</w:t>
            </w:r>
          </w:p>
        </w:tc>
        <w:tc>
          <w:tcPr>
            <w:tcW w:w="1185" w:type="dxa"/>
            <w:vAlign w:val="center"/>
          </w:tcPr>
          <w:p w:rsidR="00FE514C" w:rsidRPr="00FC72C3" w:rsidRDefault="00FE514C" w:rsidP="008738AC">
            <w:pPr>
              <w:jc w:val="right"/>
              <w:rPr>
                <w:rFonts w:asciiTheme="minorHAnsi" w:hAnsiTheme="minorHAnsi" w:cstheme="minorHAnsi"/>
                <w:sz w:val="22"/>
                <w:szCs w:val="22"/>
              </w:rPr>
            </w:pPr>
            <w:r>
              <w:rPr>
                <w:rFonts w:asciiTheme="minorHAnsi" w:hAnsiTheme="minorHAnsi" w:cstheme="minorHAnsi"/>
                <w:sz w:val="22"/>
                <w:szCs w:val="22"/>
              </w:rPr>
              <w:t>38</w:t>
            </w:r>
            <w:r w:rsidRPr="00FC72C3">
              <w:rPr>
                <w:rFonts w:asciiTheme="minorHAnsi" w:hAnsiTheme="minorHAnsi" w:cstheme="minorHAnsi"/>
                <w:sz w:val="22"/>
                <w:szCs w:val="22"/>
              </w:rPr>
              <w:t>.</w:t>
            </w:r>
            <w:r>
              <w:rPr>
                <w:rFonts w:asciiTheme="minorHAnsi" w:hAnsiTheme="minorHAnsi" w:cstheme="minorHAnsi"/>
                <w:sz w:val="22"/>
                <w:szCs w:val="22"/>
              </w:rPr>
              <w:t>102</w:t>
            </w:r>
          </w:p>
        </w:tc>
      </w:tr>
      <w:tr w:rsidR="00FE514C" w:rsidRPr="00FC72C3" w:rsidTr="008738AC">
        <w:tc>
          <w:tcPr>
            <w:tcW w:w="2649" w:type="dxa"/>
            <w:vAlign w:val="center"/>
          </w:tcPr>
          <w:p w:rsidR="00FE514C" w:rsidRPr="009744D3" w:rsidRDefault="00FE514C" w:rsidP="008738AC">
            <w:pPr>
              <w:jc w:val="center"/>
              <w:rPr>
                <w:rFonts w:asciiTheme="minorHAnsi" w:hAnsiTheme="minorHAnsi" w:cstheme="minorHAnsi"/>
                <w:sz w:val="22"/>
                <w:szCs w:val="22"/>
              </w:rPr>
            </w:pPr>
            <w:r w:rsidRPr="009744D3">
              <w:rPr>
                <w:rFonts w:asciiTheme="minorHAnsi" w:hAnsiTheme="minorHAnsi" w:cstheme="minorHAnsi"/>
                <w:sz w:val="22"/>
                <w:szCs w:val="22"/>
              </w:rPr>
              <w:t>05033122520184025101</w:t>
            </w:r>
          </w:p>
        </w:tc>
        <w:tc>
          <w:tcPr>
            <w:tcW w:w="3158" w:type="dxa"/>
            <w:vAlign w:val="center"/>
          </w:tcPr>
          <w:p w:rsidR="00FE514C" w:rsidRPr="00FC72C3" w:rsidRDefault="00FE514C" w:rsidP="008738AC">
            <w:pPr>
              <w:rPr>
                <w:rFonts w:asciiTheme="minorHAnsi" w:hAnsiTheme="minorHAnsi" w:cstheme="minorHAnsi"/>
                <w:sz w:val="22"/>
                <w:szCs w:val="22"/>
              </w:rPr>
            </w:pPr>
            <w:r>
              <w:rPr>
                <w:rFonts w:asciiTheme="minorHAnsi" w:hAnsiTheme="minorHAnsi" w:cstheme="minorHAnsi"/>
                <w:sz w:val="22"/>
                <w:szCs w:val="22"/>
              </w:rPr>
              <w:t>Fazenda Nacional</w:t>
            </w:r>
          </w:p>
        </w:tc>
        <w:tc>
          <w:tcPr>
            <w:tcW w:w="2977" w:type="dxa"/>
            <w:vAlign w:val="center"/>
          </w:tcPr>
          <w:p w:rsidR="00FE514C" w:rsidRPr="00FC72C3" w:rsidRDefault="00FE514C" w:rsidP="008738AC">
            <w:pPr>
              <w:rPr>
                <w:rFonts w:asciiTheme="minorHAnsi" w:hAnsiTheme="minorHAnsi" w:cstheme="minorHAnsi"/>
                <w:sz w:val="22"/>
                <w:szCs w:val="22"/>
              </w:rPr>
            </w:pPr>
            <w:r>
              <w:rPr>
                <w:rFonts w:asciiTheme="minorHAnsi" w:hAnsiTheme="minorHAnsi" w:cstheme="minorHAnsi"/>
                <w:sz w:val="22"/>
                <w:szCs w:val="22"/>
              </w:rPr>
              <w:t>Embargos de Terceiros</w:t>
            </w:r>
          </w:p>
        </w:tc>
        <w:tc>
          <w:tcPr>
            <w:tcW w:w="1185" w:type="dxa"/>
            <w:vAlign w:val="center"/>
          </w:tcPr>
          <w:p w:rsidR="00FE514C" w:rsidRPr="00FC72C3" w:rsidRDefault="00FE514C" w:rsidP="008738AC">
            <w:pPr>
              <w:jc w:val="right"/>
              <w:rPr>
                <w:rFonts w:asciiTheme="minorHAnsi" w:hAnsiTheme="minorHAnsi" w:cstheme="minorHAnsi"/>
                <w:sz w:val="22"/>
                <w:szCs w:val="22"/>
              </w:rPr>
            </w:pPr>
            <w:r>
              <w:rPr>
                <w:rFonts w:asciiTheme="minorHAnsi" w:hAnsiTheme="minorHAnsi" w:cstheme="minorHAnsi"/>
                <w:sz w:val="22"/>
                <w:szCs w:val="22"/>
              </w:rPr>
              <w:t>31</w:t>
            </w:r>
            <w:r w:rsidRPr="00FC72C3">
              <w:rPr>
                <w:rFonts w:asciiTheme="minorHAnsi" w:hAnsiTheme="minorHAnsi" w:cstheme="minorHAnsi"/>
                <w:sz w:val="22"/>
                <w:szCs w:val="22"/>
              </w:rPr>
              <w:t>.</w:t>
            </w:r>
            <w:r>
              <w:rPr>
                <w:rFonts w:asciiTheme="minorHAnsi" w:hAnsiTheme="minorHAnsi" w:cstheme="minorHAnsi"/>
                <w:sz w:val="22"/>
                <w:szCs w:val="22"/>
              </w:rPr>
              <w:t>040</w:t>
            </w:r>
          </w:p>
        </w:tc>
      </w:tr>
      <w:tr w:rsidR="00FE514C" w:rsidRPr="00FC72C3" w:rsidTr="008738AC">
        <w:tc>
          <w:tcPr>
            <w:tcW w:w="2649" w:type="dxa"/>
            <w:vAlign w:val="center"/>
          </w:tcPr>
          <w:p w:rsidR="00FE514C" w:rsidRPr="009744D3" w:rsidRDefault="00FE514C" w:rsidP="008738AC">
            <w:pPr>
              <w:jc w:val="center"/>
              <w:rPr>
                <w:rFonts w:asciiTheme="minorHAnsi" w:hAnsiTheme="minorHAnsi" w:cstheme="minorHAnsi"/>
                <w:sz w:val="22"/>
                <w:szCs w:val="22"/>
              </w:rPr>
            </w:pPr>
            <w:r w:rsidRPr="009744D3">
              <w:rPr>
                <w:rFonts w:asciiTheme="minorHAnsi" w:hAnsiTheme="minorHAnsi" w:cstheme="minorHAnsi"/>
                <w:sz w:val="22"/>
                <w:szCs w:val="22"/>
              </w:rPr>
              <w:t>00517338019934025101</w:t>
            </w:r>
          </w:p>
        </w:tc>
        <w:tc>
          <w:tcPr>
            <w:tcW w:w="3158" w:type="dxa"/>
            <w:vAlign w:val="center"/>
          </w:tcPr>
          <w:p w:rsidR="00FE514C" w:rsidRPr="00FC72C3" w:rsidRDefault="00FE514C" w:rsidP="008738AC">
            <w:pPr>
              <w:rPr>
                <w:rFonts w:asciiTheme="minorHAnsi" w:hAnsiTheme="minorHAnsi" w:cstheme="minorHAnsi"/>
                <w:sz w:val="22"/>
                <w:szCs w:val="22"/>
              </w:rPr>
            </w:pPr>
            <w:r>
              <w:rPr>
                <w:rFonts w:asciiTheme="minorHAnsi" w:hAnsiTheme="minorHAnsi" w:cstheme="minorHAnsi"/>
                <w:sz w:val="22"/>
                <w:szCs w:val="22"/>
              </w:rPr>
              <w:t>Fazenda Nacional</w:t>
            </w:r>
          </w:p>
        </w:tc>
        <w:tc>
          <w:tcPr>
            <w:tcW w:w="2977" w:type="dxa"/>
            <w:vAlign w:val="center"/>
          </w:tcPr>
          <w:p w:rsidR="00FE514C" w:rsidRPr="00FC72C3" w:rsidRDefault="00FE514C" w:rsidP="008738AC">
            <w:pPr>
              <w:rPr>
                <w:rFonts w:asciiTheme="minorHAnsi" w:hAnsiTheme="minorHAnsi" w:cstheme="minorHAnsi"/>
                <w:sz w:val="22"/>
                <w:szCs w:val="22"/>
              </w:rPr>
            </w:pPr>
            <w:r>
              <w:rPr>
                <w:rFonts w:asciiTheme="minorHAnsi" w:hAnsiTheme="minorHAnsi" w:cstheme="minorHAnsi"/>
                <w:sz w:val="22"/>
                <w:szCs w:val="22"/>
              </w:rPr>
              <w:t>Execução Fiscal</w:t>
            </w:r>
          </w:p>
        </w:tc>
        <w:tc>
          <w:tcPr>
            <w:tcW w:w="1185" w:type="dxa"/>
            <w:vAlign w:val="center"/>
          </w:tcPr>
          <w:p w:rsidR="00FE514C" w:rsidRPr="00FC72C3" w:rsidRDefault="00FE514C" w:rsidP="008738AC">
            <w:pPr>
              <w:jc w:val="right"/>
              <w:rPr>
                <w:rFonts w:asciiTheme="minorHAnsi" w:hAnsiTheme="minorHAnsi" w:cstheme="minorHAnsi"/>
                <w:sz w:val="22"/>
                <w:szCs w:val="22"/>
              </w:rPr>
            </w:pPr>
            <w:r>
              <w:rPr>
                <w:rFonts w:asciiTheme="minorHAnsi" w:hAnsiTheme="minorHAnsi" w:cstheme="minorHAnsi"/>
                <w:sz w:val="22"/>
                <w:szCs w:val="22"/>
              </w:rPr>
              <w:t>8</w:t>
            </w:r>
            <w:r w:rsidRPr="00FC72C3">
              <w:rPr>
                <w:rFonts w:asciiTheme="minorHAnsi" w:hAnsiTheme="minorHAnsi" w:cstheme="minorHAnsi"/>
                <w:sz w:val="22"/>
                <w:szCs w:val="22"/>
              </w:rPr>
              <w:t>.</w:t>
            </w:r>
            <w:r>
              <w:rPr>
                <w:rFonts w:asciiTheme="minorHAnsi" w:hAnsiTheme="minorHAnsi" w:cstheme="minorHAnsi"/>
                <w:sz w:val="22"/>
                <w:szCs w:val="22"/>
              </w:rPr>
              <w:t>515</w:t>
            </w:r>
          </w:p>
        </w:tc>
      </w:tr>
      <w:tr w:rsidR="00FE514C" w:rsidRPr="00FC72C3" w:rsidTr="008738AC">
        <w:tc>
          <w:tcPr>
            <w:tcW w:w="2649" w:type="dxa"/>
            <w:vAlign w:val="center"/>
          </w:tcPr>
          <w:p w:rsidR="00FE514C" w:rsidRPr="009744D3" w:rsidRDefault="00FE514C" w:rsidP="008738AC">
            <w:pPr>
              <w:jc w:val="center"/>
              <w:rPr>
                <w:rFonts w:asciiTheme="minorHAnsi" w:hAnsiTheme="minorHAnsi" w:cstheme="minorHAnsi"/>
                <w:sz w:val="22"/>
                <w:szCs w:val="22"/>
              </w:rPr>
            </w:pPr>
            <w:r>
              <w:rPr>
                <w:rFonts w:asciiTheme="minorHAnsi" w:hAnsiTheme="minorHAnsi" w:cstheme="minorHAnsi"/>
                <w:sz w:val="22"/>
                <w:szCs w:val="22"/>
              </w:rPr>
              <w:t>00040773420078190024</w:t>
            </w:r>
          </w:p>
        </w:tc>
        <w:tc>
          <w:tcPr>
            <w:tcW w:w="3158" w:type="dxa"/>
            <w:vAlign w:val="center"/>
          </w:tcPr>
          <w:p w:rsidR="00FE514C" w:rsidRDefault="00FE514C" w:rsidP="008738AC">
            <w:pPr>
              <w:rPr>
                <w:rFonts w:asciiTheme="minorHAnsi" w:hAnsiTheme="minorHAnsi" w:cstheme="minorHAnsi"/>
                <w:sz w:val="22"/>
                <w:szCs w:val="22"/>
              </w:rPr>
            </w:pPr>
            <w:r>
              <w:rPr>
                <w:rFonts w:asciiTheme="minorHAnsi" w:hAnsiTheme="minorHAnsi" w:cstheme="minorHAnsi"/>
                <w:sz w:val="22"/>
                <w:szCs w:val="22"/>
              </w:rPr>
              <w:t>Município de Itaguaí – RJ</w:t>
            </w:r>
          </w:p>
        </w:tc>
        <w:tc>
          <w:tcPr>
            <w:tcW w:w="2977" w:type="dxa"/>
            <w:vAlign w:val="center"/>
          </w:tcPr>
          <w:p w:rsidR="00FE514C" w:rsidRDefault="00FE514C" w:rsidP="008738AC">
            <w:pPr>
              <w:rPr>
                <w:rFonts w:asciiTheme="minorHAnsi" w:hAnsiTheme="minorHAnsi" w:cstheme="minorHAnsi"/>
                <w:sz w:val="22"/>
                <w:szCs w:val="22"/>
              </w:rPr>
            </w:pPr>
            <w:r>
              <w:rPr>
                <w:rFonts w:asciiTheme="minorHAnsi" w:hAnsiTheme="minorHAnsi" w:cstheme="minorHAnsi"/>
                <w:sz w:val="22"/>
                <w:szCs w:val="22"/>
              </w:rPr>
              <w:t>Embargos à Execução</w:t>
            </w:r>
          </w:p>
        </w:tc>
        <w:tc>
          <w:tcPr>
            <w:tcW w:w="1185" w:type="dxa"/>
            <w:vAlign w:val="center"/>
          </w:tcPr>
          <w:p w:rsidR="00FE514C" w:rsidRDefault="00FE514C" w:rsidP="008738AC">
            <w:pPr>
              <w:jc w:val="right"/>
              <w:rPr>
                <w:rFonts w:asciiTheme="minorHAnsi" w:hAnsiTheme="minorHAnsi" w:cstheme="minorHAnsi"/>
                <w:sz w:val="22"/>
                <w:szCs w:val="22"/>
              </w:rPr>
            </w:pPr>
            <w:r>
              <w:rPr>
                <w:rFonts w:asciiTheme="minorHAnsi" w:hAnsiTheme="minorHAnsi" w:cstheme="minorHAnsi"/>
                <w:sz w:val="22"/>
                <w:szCs w:val="22"/>
              </w:rPr>
              <w:t>2.888</w:t>
            </w:r>
          </w:p>
        </w:tc>
      </w:tr>
    </w:tbl>
    <w:p w:rsidR="00FE514C" w:rsidRDefault="00FE514C" w:rsidP="00FE514C">
      <w:pPr>
        <w:jc w:val="both"/>
        <w:rPr>
          <w:rFonts w:ascii="Calibri" w:hAnsi="Calibri" w:cs="Calibri"/>
          <w:sz w:val="24"/>
          <w:szCs w:val="24"/>
        </w:rPr>
      </w:pPr>
    </w:p>
    <w:p w:rsidR="00FE514C" w:rsidRPr="00FE514C" w:rsidRDefault="00FE514C" w:rsidP="00FE514C">
      <w:pPr>
        <w:jc w:val="both"/>
        <w:rPr>
          <w:rFonts w:ascii="Calibri" w:hAnsi="Calibri" w:cs="Calibri"/>
          <w:b/>
          <w:sz w:val="24"/>
          <w:szCs w:val="24"/>
        </w:rPr>
      </w:pPr>
      <w:r w:rsidRPr="00FE514C">
        <w:rPr>
          <w:rFonts w:ascii="Calibri" w:hAnsi="Calibri" w:cs="Calibri"/>
          <w:b/>
          <w:sz w:val="24"/>
          <w:szCs w:val="24"/>
        </w:rPr>
        <w:t>Ações Trabalhistas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9"/>
        <w:gridCol w:w="3158"/>
        <w:gridCol w:w="2977"/>
        <w:gridCol w:w="1185"/>
      </w:tblGrid>
      <w:tr w:rsidR="00FE514C" w:rsidRPr="00FC72C3" w:rsidTr="008738AC">
        <w:tc>
          <w:tcPr>
            <w:tcW w:w="2649" w:type="dxa"/>
          </w:tcPr>
          <w:p w:rsidR="00FE514C" w:rsidRPr="00FC72C3" w:rsidRDefault="00FE514C" w:rsidP="008738AC">
            <w:pPr>
              <w:jc w:val="center"/>
              <w:rPr>
                <w:rFonts w:ascii="Calibri" w:hAnsi="Calibri" w:cs="Calibri"/>
                <w:sz w:val="22"/>
                <w:szCs w:val="22"/>
              </w:rPr>
            </w:pPr>
            <w:r w:rsidRPr="00FC72C3">
              <w:rPr>
                <w:rFonts w:ascii="Calibri" w:hAnsi="Calibri" w:cs="Calibri"/>
                <w:sz w:val="22"/>
                <w:szCs w:val="22"/>
              </w:rPr>
              <w:t>Processo</w:t>
            </w:r>
          </w:p>
        </w:tc>
        <w:tc>
          <w:tcPr>
            <w:tcW w:w="3158" w:type="dxa"/>
          </w:tcPr>
          <w:p w:rsidR="00FE514C" w:rsidRPr="00FC72C3" w:rsidRDefault="00FE514C" w:rsidP="008738AC">
            <w:pPr>
              <w:jc w:val="center"/>
              <w:rPr>
                <w:rFonts w:ascii="Calibri" w:hAnsi="Calibri" w:cs="Calibri"/>
                <w:sz w:val="22"/>
                <w:szCs w:val="22"/>
              </w:rPr>
            </w:pPr>
            <w:r w:rsidRPr="00FC72C3">
              <w:rPr>
                <w:rFonts w:ascii="Calibri" w:hAnsi="Calibri" w:cs="Calibri"/>
                <w:sz w:val="22"/>
                <w:szCs w:val="22"/>
              </w:rPr>
              <w:t>Parte</w:t>
            </w:r>
          </w:p>
        </w:tc>
        <w:tc>
          <w:tcPr>
            <w:tcW w:w="2977" w:type="dxa"/>
          </w:tcPr>
          <w:p w:rsidR="00FE514C" w:rsidRPr="00FC72C3" w:rsidRDefault="00FE514C" w:rsidP="008738AC">
            <w:pPr>
              <w:jc w:val="center"/>
              <w:rPr>
                <w:rFonts w:ascii="Calibri" w:hAnsi="Calibri" w:cs="Calibri"/>
                <w:sz w:val="22"/>
                <w:szCs w:val="22"/>
              </w:rPr>
            </w:pPr>
            <w:r w:rsidRPr="00FC72C3">
              <w:rPr>
                <w:rFonts w:ascii="Calibri" w:hAnsi="Calibri" w:cs="Calibri"/>
                <w:sz w:val="22"/>
                <w:szCs w:val="22"/>
              </w:rPr>
              <w:t>Tipo</w:t>
            </w:r>
          </w:p>
        </w:tc>
        <w:tc>
          <w:tcPr>
            <w:tcW w:w="1185" w:type="dxa"/>
          </w:tcPr>
          <w:p w:rsidR="00FE514C" w:rsidRPr="00FC72C3" w:rsidRDefault="00FE514C" w:rsidP="008738AC">
            <w:pPr>
              <w:jc w:val="center"/>
              <w:rPr>
                <w:rFonts w:ascii="Calibri" w:hAnsi="Calibri" w:cs="Calibri"/>
                <w:sz w:val="22"/>
                <w:szCs w:val="22"/>
              </w:rPr>
            </w:pPr>
            <w:r w:rsidRPr="00FC72C3">
              <w:rPr>
                <w:rFonts w:ascii="Calibri" w:hAnsi="Calibri" w:cs="Calibri"/>
                <w:sz w:val="22"/>
                <w:szCs w:val="22"/>
              </w:rPr>
              <w:t>Valor</w:t>
            </w:r>
          </w:p>
        </w:tc>
      </w:tr>
      <w:tr w:rsidR="00FE514C" w:rsidRPr="00FC72C3" w:rsidTr="008738AC">
        <w:tc>
          <w:tcPr>
            <w:tcW w:w="2649" w:type="dxa"/>
            <w:vAlign w:val="center"/>
          </w:tcPr>
          <w:p w:rsidR="00FE514C" w:rsidRPr="004450AC" w:rsidRDefault="00FE514C" w:rsidP="008738AC">
            <w:pPr>
              <w:jc w:val="center"/>
              <w:rPr>
                <w:rFonts w:asciiTheme="minorHAnsi" w:hAnsiTheme="minorHAnsi" w:cstheme="minorHAnsi"/>
                <w:sz w:val="22"/>
                <w:szCs w:val="22"/>
              </w:rPr>
            </w:pPr>
            <w:r w:rsidRPr="004450AC">
              <w:rPr>
                <w:rFonts w:asciiTheme="minorHAnsi" w:hAnsiTheme="minorHAnsi" w:cstheme="minorHAnsi"/>
                <w:sz w:val="22"/>
                <w:szCs w:val="22"/>
              </w:rPr>
              <w:t>01019122420175010056</w:t>
            </w:r>
          </w:p>
        </w:tc>
        <w:tc>
          <w:tcPr>
            <w:tcW w:w="3158" w:type="dxa"/>
            <w:vAlign w:val="center"/>
          </w:tcPr>
          <w:p w:rsidR="00FE514C" w:rsidRPr="00FC72C3" w:rsidRDefault="00FE514C" w:rsidP="008738AC">
            <w:pPr>
              <w:widowControl/>
              <w:rPr>
                <w:rFonts w:asciiTheme="minorHAnsi" w:hAnsiTheme="minorHAnsi" w:cstheme="minorHAnsi"/>
                <w:snapToGrid/>
                <w:sz w:val="22"/>
                <w:szCs w:val="22"/>
              </w:rPr>
            </w:pPr>
            <w:proofErr w:type="spellStart"/>
            <w:r>
              <w:rPr>
                <w:rFonts w:asciiTheme="minorHAnsi" w:hAnsiTheme="minorHAnsi" w:cstheme="minorHAnsi"/>
                <w:snapToGrid/>
                <w:sz w:val="22"/>
                <w:szCs w:val="22"/>
              </w:rPr>
              <w:t>Hostilio</w:t>
            </w:r>
            <w:proofErr w:type="spellEnd"/>
            <w:r>
              <w:rPr>
                <w:rFonts w:asciiTheme="minorHAnsi" w:hAnsiTheme="minorHAnsi" w:cstheme="minorHAnsi"/>
                <w:snapToGrid/>
                <w:sz w:val="22"/>
                <w:szCs w:val="22"/>
              </w:rPr>
              <w:t xml:space="preserve"> </w:t>
            </w:r>
            <w:proofErr w:type="spellStart"/>
            <w:r>
              <w:rPr>
                <w:rFonts w:asciiTheme="minorHAnsi" w:hAnsiTheme="minorHAnsi" w:cstheme="minorHAnsi"/>
                <w:snapToGrid/>
                <w:sz w:val="22"/>
                <w:szCs w:val="22"/>
              </w:rPr>
              <w:t>Jund</w:t>
            </w:r>
            <w:proofErr w:type="spellEnd"/>
            <w:r>
              <w:rPr>
                <w:rFonts w:asciiTheme="minorHAnsi" w:hAnsiTheme="minorHAnsi" w:cstheme="minorHAnsi"/>
                <w:snapToGrid/>
                <w:sz w:val="22"/>
                <w:szCs w:val="22"/>
              </w:rPr>
              <w:t xml:space="preserve">; </w:t>
            </w:r>
            <w:proofErr w:type="spellStart"/>
            <w:r>
              <w:rPr>
                <w:rFonts w:asciiTheme="minorHAnsi" w:hAnsiTheme="minorHAnsi" w:cstheme="minorHAnsi"/>
                <w:snapToGrid/>
                <w:sz w:val="22"/>
                <w:szCs w:val="22"/>
              </w:rPr>
              <w:t>Rozental</w:t>
            </w:r>
            <w:proofErr w:type="spellEnd"/>
            <w:r>
              <w:rPr>
                <w:rFonts w:asciiTheme="minorHAnsi" w:hAnsiTheme="minorHAnsi" w:cstheme="minorHAnsi"/>
                <w:snapToGrid/>
                <w:sz w:val="22"/>
                <w:szCs w:val="22"/>
              </w:rPr>
              <w:t xml:space="preserve"> Oliveira</w:t>
            </w:r>
          </w:p>
        </w:tc>
        <w:tc>
          <w:tcPr>
            <w:tcW w:w="2977" w:type="dxa"/>
            <w:vAlign w:val="center"/>
          </w:tcPr>
          <w:p w:rsidR="00FE514C" w:rsidRPr="00FC72C3" w:rsidRDefault="00FE514C" w:rsidP="008738AC">
            <w:pPr>
              <w:widowControl/>
              <w:rPr>
                <w:rFonts w:asciiTheme="minorHAnsi" w:hAnsiTheme="minorHAnsi" w:cstheme="minorHAnsi"/>
                <w:snapToGrid/>
                <w:sz w:val="22"/>
                <w:szCs w:val="22"/>
              </w:rPr>
            </w:pPr>
            <w:r>
              <w:rPr>
                <w:rFonts w:asciiTheme="minorHAnsi" w:hAnsiTheme="minorHAnsi" w:cstheme="minorHAnsi"/>
                <w:snapToGrid/>
                <w:sz w:val="22"/>
                <w:szCs w:val="22"/>
              </w:rPr>
              <w:t>Reenquadramento PCES</w:t>
            </w:r>
          </w:p>
        </w:tc>
        <w:tc>
          <w:tcPr>
            <w:tcW w:w="1185" w:type="dxa"/>
            <w:vAlign w:val="center"/>
          </w:tcPr>
          <w:p w:rsidR="00FE514C" w:rsidRPr="00FC72C3" w:rsidRDefault="00FE514C" w:rsidP="008738AC">
            <w:pPr>
              <w:widowControl/>
              <w:jc w:val="right"/>
              <w:rPr>
                <w:rFonts w:asciiTheme="minorHAnsi" w:hAnsiTheme="minorHAnsi" w:cstheme="minorHAnsi"/>
                <w:snapToGrid/>
                <w:sz w:val="22"/>
                <w:szCs w:val="22"/>
              </w:rPr>
            </w:pPr>
            <w:r>
              <w:rPr>
                <w:rFonts w:asciiTheme="minorHAnsi" w:hAnsiTheme="minorHAnsi" w:cstheme="minorHAnsi"/>
                <w:snapToGrid/>
                <w:sz w:val="22"/>
                <w:szCs w:val="22"/>
              </w:rPr>
              <w:t>1.000</w:t>
            </w:r>
          </w:p>
        </w:tc>
      </w:tr>
      <w:tr w:rsidR="00FE514C" w:rsidRPr="00FC72C3" w:rsidTr="008738AC">
        <w:tc>
          <w:tcPr>
            <w:tcW w:w="2649" w:type="dxa"/>
            <w:vAlign w:val="center"/>
          </w:tcPr>
          <w:p w:rsidR="00FE514C" w:rsidRPr="004450AC" w:rsidRDefault="00FE514C" w:rsidP="008738AC">
            <w:pPr>
              <w:jc w:val="center"/>
              <w:rPr>
                <w:rFonts w:asciiTheme="minorHAnsi" w:hAnsiTheme="minorHAnsi" w:cstheme="minorHAnsi"/>
                <w:sz w:val="22"/>
                <w:szCs w:val="22"/>
              </w:rPr>
            </w:pPr>
            <w:r w:rsidRPr="004450AC">
              <w:rPr>
                <w:rFonts w:asciiTheme="minorHAnsi" w:hAnsiTheme="minorHAnsi" w:cstheme="minorHAnsi"/>
                <w:sz w:val="22"/>
                <w:szCs w:val="22"/>
              </w:rPr>
              <w:t>01013080820185010063</w:t>
            </w:r>
          </w:p>
        </w:tc>
        <w:tc>
          <w:tcPr>
            <w:tcW w:w="3158" w:type="dxa"/>
            <w:vAlign w:val="center"/>
          </w:tcPr>
          <w:p w:rsidR="00FE514C" w:rsidRPr="00FC72C3" w:rsidRDefault="00FE514C" w:rsidP="008738AC">
            <w:pPr>
              <w:rPr>
                <w:rFonts w:asciiTheme="minorHAnsi" w:hAnsiTheme="minorHAnsi" w:cstheme="minorHAnsi"/>
                <w:sz w:val="22"/>
                <w:szCs w:val="22"/>
              </w:rPr>
            </w:pPr>
            <w:r>
              <w:rPr>
                <w:rFonts w:asciiTheme="minorHAnsi" w:hAnsiTheme="minorHAnsi" w:cstheme="minorHAnsi"/>
                <w:sz w:val="22"/>
                <w:szCs w:val="22"/>
              </w:rPr>
              <w:t>Sindicato dos Engenheiros RJ</w:t>
            </w:r>
          </w:p>
        </w:tc>
        <w:tc>
          <w:tcPr>
            <w:tcW w:w="2977" w:type="dxa"/>
            <w:vAlign w:val="center"/>
          </w:tcPr>
          <w:p w:rsidR="00FE514C" w:rsidRPr="00FC72C3" w:rsidRDefault="00FE514C" w:rsidP="008738AC">
            <w:pPr>
              <w:rPr>
                <w:rFonts w:asciiTheme="minorHAnsi" w:hAnsiTheme="minorHAnsi" w:cstheme="minorHAnsi"/>
                <w:sz w:val="22"/>
                <w:szCs w:val="22"/>
              </w:rPr>
            </w:pPr>
            <w:r>
              <w:rPr>
                <w:rFonts w:asciiTheme="minorHAnsi" w:hAnsiTheme="minorHAnsi" w:cstheme="minorHAnsi"/>
                <w:sz w:val="22"/>
                <w:szCs w:val="22"/>
              </w:rPr>
              <w:t>Adicional de Risco</w:t>
            </w:r>
          </w:p>
        </w:tc>
        <w:tc>
          <w:tcPr>
            <w:tcW w:w="1185" w:type="dxa"/>
            <w:vAlign w:val="center"/>
          </w:tcPr>
          <w:p w:rsidR="00FE514C" w:rsidRPr="00FC72C3" w:rsidRDefault="00FE514C" w:rsidP="008738AC">
            <w:pPr>
              <w:jc w:val="right"/>
              <w:rPr>
                <w:rFonts w:asciiTheme="minorHAnsi" w:hAnsiTheme="minorHAnsi" w:cstheme="minorHAnsi"/>
                <w:sz w:val="22"/>
                <w:szCs w:val="22"/>
              </w:rPr>
            </w:pPr>
            <w:r>
              <w:rPr>
                <w:rFonts w:asciiTheme="minorHAnsi" w:hAnsiTheme="minorHAnsi" w:cstheme="minorHAnsi"/>
                <w:sz w:val="22"/>
                <w:szCs w:val="22"/>
              </w:rPr>
              <w:t>1.000</w:t>
            </w:r>
          </w:p>
        </w:tc>
      </w:tr>
      <w:tr w:rsidR="00FE514C" w:rsidRPr="00FC72C3" w:rsidTr="008738AC">
        <w:tc>
          <w:tcPr>
            <w:tcW w:w="2649" w:type="dxa"/>
            <w:vAlign w:val="center"/>
          </w:tcPr>
          <w:p w:rsidR="00FE514C" w:rsidRPr="004450AC" w:rsidRDefault="00FE514C" w:rsidP="008738AC">
            <w:pPr>
              <w:jc w:val="center"/>
              <w:rPr>
                <w:rFonts w:asciiTheme="minorHAnsi" w:hAnsiTheme="minorHAnsi" w:cstheme="minorHAnsi"/>
                <w:sz w:val="22"/>
                <w:szCs w:val="22"/>
              </w:rPr>
            </w:pPr>
            <w:r w:rsidRPr="004450AC">
              <w:rPr>
                <w:rFonts w:asciiTheme="minorHAnsi" w:hAnsiTheme="minorHAnsi" w:cstheme="minorHAnsi"/>
                <w:sz w:val="22"/>
                <w:szCs w:val="22"/>
              </w:rPr>
              <w:t>01018608720175010004</w:t>
            </w:r>
          </w:p>
        </w:tc>
        <w:tc>
          <w:tcPr>
            <w:tcW w:w="3158" w:type="dxa"/>
            <w:vAlign w:val="center"/>
          </w:tcPr>
          <w:p w:rsidR="00FE514C" w:rsidRPr="00FC72C3" w:rsidRDefault="00FE514C" w:rsidP="008738AC">
            <w:pPr>
              <w:rPr>
                <w:rFonts w:asciiTheme="minorHAnsi" w:hAnsiTheme="minorHAnsi" w:cstheme="minorHAnsi"/>
                <w:sz w:val="22"/>
                <w:szCs w:val="22"/>
              </w:rPr>
            </w:pPr>
            <w:r>
              <w:rPr>
                <w:rFonts w:asciiTheme="minorHAnsi" w:hAnsiTheme="minorHAnsi" w:cstheme="minorHAnsi"/>
                <w:sz w:val="22"/>
                <w:szCs w:val="22"/>
              </w:rPr>
              <w:t>Sindicato dos Portuários</w:t>
            </w:r>
          </w:p>
        </w:tc>
        <w:tc>
          <w:tcPr>
            <w:tcW w:w="2977" w:type="dxa"/>
            <w:vAlign w:val="center"/>
          </w:tcPr>
          <w:p w:rsidR="00FE514C" w:rsidRPr="00FC72C3" w:rsidRDefault="00FE514C" w:rsidP="008738AC">
            <w:pPr>
              <w:rPr>
                <w:rFonts w:asciiTheme="minorHAnsi" w:hAnsiTheme="minorHAnsi" w:cstheme="minorHAnsi"/>
                <w:sz w:val="22"/>
                <w:szCs w:val="22"/>
              </w:rPr>
            </w:pPr>
            <w:r>
              <w:rPr>
                <w:rFonts w:asciiTheme="minorHAnsi" w:hAnsiTheme="minorHAnsi" w:cstheme="minorHAnsi"/>
                <w:sz w:val="22"/>
                <w:szCs w:val="22"/>
              </w:rPr>
              <w:t>Diferenças p/ Redução Salarial</w:t>
            </w:r>
          </w:p>
        </w:tc>
        <w:tc>
          <w:tcPr>
            <w:tcW w:w="1185" w:type="dxa"/>
            <w:vAlign w:val="center"/>
          </w:tcPr>
          <w:p w:rsidR="00FE514C" w:rsidRPr="00FC72C3" w:rsidRDefault="00FE514C" w:rsidP="008738AC">
            <w:pPr>
              <w:jc w:val="right"/>
              <w:rPr>
                <w:rFonts w:asciiTheme="minorHAnsi" w:hAnsiTheme="minorHAnsi" w:cstheme="minorHAnsi"/>
                <w:sz w:val="22"/>
                <w:szCs w:val="22"/>
              </w:rPr>
            </w:pPr>
            <w:r>
              <w:rPr>
                <w:rFonts w:asciiTheme="minorHAnsi" w:hAnsiTheme="minorHAnsi" w:cstheme="minorHAnsi"/>
                <w:sz w:val="22"/>
                <w:szCs w:val="22"/>
              </w:rPr>
              <w:t>1.000</w:t>
            </w:r>
          </w:p>
        </w:tc>
      </w:tr>
      <w:tr w:rsidR="00FE514C" w:rsidRPr="00FC72C3" w:rsidTr="008738AC">
        <w:tc>
          <w:tcPr>
            <w:tcW w:w="2649" w:type="dxa"/>
            <w:vAlign w:val="center"/>
          </w:tcPr>
          <w:p w:rsidR="00FE514C" w:rsidRPr="004450AC" w:rsidRDefault="00FE514C" w:rsidP="008738AC">
            <w:pPr>
              <w:jc w:val="center"/>
              <w:rPr>
                <w:rFonts w:asciiTheme="minorHAnsi" w:hAnsiTheme="minorHAnsi" w:cstheme="minorHAnsi"/>
                <w:sz w:val="22"/>
                <w:szCs w:val="22"/>
              </w:rPr>
            </w:pPr>
            <w:r w:rsidRPr="004450AC">
              <w:rPr>
                <w:rFonts w:asciiTheme="minorHAnsi" w:hAnsiTheme="minorHAnsi" w:cstheme="minorHAnsi"/>
                <w:sz w:val="22"/>
                <w:szCs w:val="22"/>
              </w:rPr>
              <w:t>01002901220195010064</w:t>
            </w:r>
          </w:p>
        </w:tc>
        <w:tc>
          <w:tcPr>
            <w:tcW w:w="3158" w:type="dxa"/>
            <w:vAlign w:val="center"/>
          </w:tcPr>
          <w:p w:rsidR="00FE514C" w:rsidRPr="00FC72C3" w:rsidRDefault="00FE514C" w:rsidP="008738AC">
            <w:pPr>
              <w:rPr>
                <w:rFonts w:asciiTheme="minorHAnsi" w:hAnsiTheme="minorHAnsi" w:cstheme="minorHAnsi"/>
                <w:sz w:val="22"/>
                <w:szCs w:val="22"/>
              </w:rPr>
            </w:pPr>
            <w:r>
              <w:rPr>
                <w:rFonts w:asciiTheme="minorHAnsi" w:hAnsiTheme="minorHAnsi" w:cstheme="minorHAnsi"/>
                <w:sz w:val="22"/>
                <w:szCs w:val="22"/>
              </w:rPr>
              <w:t>Naira de Fátima Oliveira Paes</w:t>
            </w:r>
          </w:p>
        </w:tc>
        <w:tc>
          <w:tcPr>
            <w:tcW w:w="2977" w:type="dxa"/>
            <w:vAlign w:val="center"/>
          </w:tcPr>
          <w:p w:rsidR="00FE514C" w:rsidRPr="00FC72C3" w:rsidRDefault="00FE514C" w:rsidP="008738AC">
            <w:pPr>
              <w:rPr>
                <w:rFonts w:asciiTheme="minorHAnsi" w:hAnsiTheme="minorHAnsi" w:cstheme="minorHAnsi"/>
                <w:sz w:val="22"/>
                <w:szCs w:val="22"/>
              </w:rPr>
            </w:pPr>
            <w:r>
              <w:rPr>
                <w:rFonts w:asciiTheme="minorHAnsi" w:hAnsiTheme="minorHAnsi" w:cstheme="minorHAnsi"/>
                <w:sz w:val="22"/>
                <w:szCs w:val="22"/>
              </w:rPr>
              <w:t>Assédio Moral</w:t>
            </w:r>
          </w:p>
        </w:tc>
        <w:tc>
          <w:tcPr>
            <w:tcW w:w="1185" w:type="dxa"/>
            <w:vAlign w:val="center"/>
          </w:tcPr>
          <w:p w:rsidR="00FE514C" w:rsidRPr="00FC72C3" w:rsidRDefault="00FE514C" w:rsidP="008738AC">
            <w:pPr>
              <w:jc w:val="right"/>
              <w:rPr>
                <w:rFonts w:asciiTheme="minorHAnsi" w:hAnsiTheme="minorHAnsi" w:cstheme="minorHAnsi"/>
                <w:sz w:val="22"/>
                <w:szCs w:val="22"/>
              </w:rPr>
            </w:pPr>
            <w:r>
              <w:rPr>
                <w:rFonts w:asciiTheme="minorHAnsi" w:hAnsiTheme="minorHAnsi" w:cstheme="minorHAnsi"/>
                <w:sz w:val="22"/>
                <w:szCs w:val="22"/>
              </w:rPr>
              <w:t>867</w:t>
            </w:r>
          </w:p>
        </w:tc>
      </w:tr>
      <w:tr w:rsidR="00FE514C" w:rsidRPr="00FC72C3" w:rsidTr="008738AC">
        <w:tc>
          <w:tcPr>
            <w:tcW w:w="2649" w:type="dxa"/>
            <w:vAlign w:val="center"/>
          </w:tcPr>
          <w:p w:rsidR="00FE514C" w:rsidRPr="004450AC" w:rsidRDefault="00FE514C" w:rsidP="008738AC">
            <w:pPr>
              <w:jc w:val="center"/>
              <w:rPr>
                <w:rFonts w:asciiTheme="minorHAnsi" w:hAnsiTheme="minorHAnsi" w:cstheme="minorHAnsi"/>
                <w:sz w:val="22"/>
                <w:szCs w:val="22"/>
              </w:rPr>
            </w:pPr>
            <w:r w:rsidRPr="004450AC">
              <w:rPr>
                <w:rFonts w:asciiTheme="minorHAnsi" w:hAnsiTheme="minorHAnsi" w:cstheme="minorHAnsi"/>
                <w:sz w:val="22"/>
                <w:szCs w:val="22"/>
              </w:rPr>
              <w:t>01639007720095010007</w:t>
            </w:r>
          </w:p>
        </w:tc>
        <w:tc>
          <w:tcPr>
            <w:tcW w:w="3158" w:type="dxa"/>
            <w:vAlign w:val="center"/>
          </w:tcPr>
          <w:p w:rsidR="00FE514C" w:rsidRDefault="00FE514C" w:rsidP="008738AC">
            <w:pPr>
              <w:rPr>
                <w:rFonts w:asciiTheme="minorHAnsi" w:hAnsiTheme="minorHAnsi" w:cstheme="minorHAnsi"/>
                <w:sz w:val="22"/>
                <w:szCs w:val="22"/>
              </w:rPr>
            </w:pPr>
            <w:r>
              <w:rPr>
                <w:rFonts w:asciiTheme="minorHAnsi" w:hAnsiTheme="minorHAnsi" w:cstheme="minorHAnsi"/>
                <w:sz w:val="22"/>
                <w:szCs w:val="22"/>
              </w:rPr>
              <w:t>Milton Abel Varela da Costa</w:t>
            </w:r>
          </w:p>
        </w:tc>
        <w:tc>
          <w:tcPr>
            <w:tcW w:w="2977" w:type="dxa"/>
            <w:vAlign w:val="center"/>
          </w:tcPr>
          <w:p w:rsidR="00FE514C" w:rsidRDefault="00FE514C" w:rsidP="008738AC">
            <w:pPr>
              <w:rPr>
                <w:rFonts w:asciiTheme="minorHAnsi" w:hAnsiTheme="minorHAnsi" w:cstheme="minorHAnsi"/>
                <w:sz w:val="22"/>
                <w:szCs w:val="22"/>
              </w:rPr>
            </w:pPr>
            <w:r>
              <w:rPr>
                <w:rFonts w:asciiTheme="minorHAnsi" w:hAnsiTheme="minorHAnsi" w:cstheme="minorHAnsi"/>
                <w:sz w:val="22"/>
                <w:szCs w:val="22"/>
              </w:rPr>
              <w:t>Diferenças de Reajustes CCT</w:t>
            </w:r>
          </w:p>
        </w:tc>
        <w:tc>
          <w:tcPr>
            <w:tcW w:w="1185" w:type="dxa"/>
            <w:vAlign w:val="center"/>
          </w:tcPr>
          <w:p w:rsidR="00FE514C" w:rsidRDefault="00FE514C" w:rsidP="008738AC">
            <w:pPr>
              <w:jc w:val="right"/>
              <w:rPr>
                <w:rFonts w:asciiTheme="minorHAnsi" w:hAnsiTheme="minorHAnsi" w:cstheme="minorHAnsi"/>
                <w:sz w:val="22"/>
                <w:szCs w:val="22"/>
              </w:rPr>
            </w:pPr>
            <w:r>
              <w:rPr>
                <w:rFonts w:asciiTheme="minorHAnsi" w:hAnsiTheme="minorHAnsi" w:cstheme="minorHAnsi"/>
                <w:sz w:val="22"/>
                <w:szCs w:val="22"/>
              </w:rPr>
              <w:t>865</w:t>
            </w:r>
          </w:p>
        </w:tc>
      </w:tr>
    </w:tbl>
    <w:p w:rsidR="00FE514C" w:rsidRPr="00FE514C" w:rsidRDefault="00FE514C" w:rsidP="002500FC">
      <w:pPr>
        <w:pStyle w:val="Recuodecorpodetexto"/>
        <w:widowControl/>
        <w:numPr>
          <w:ilvl w:val="1"/>
          <w:numId w:val="19"/>
        </w:numPr>
        <w:autoSpaceDE w:val="0"/>
        <w:autoSpaceDN w:val="0"/>
        <w:rPr>
          <w:rFonts w:ascii="Calibri" w:hAnsi="Calibri" w:cs="Calibri"/>
          <w:b/>
          <w:szCs w:val="24"/>
        </w:rPr>
      </w:pPr>
      <w:r>
        <w:rPr>
          <w:rFonts w:ascii="Calibri" w:hAnsi="Calibri" w:cs="Calibri"/>
          <w:b/>
          <w:szCs w:val="24"/>
          <w:lang w:val="pt-BR"/>
        </w:rPr>
        <w:lastRenderedPageBreak/>
        <w:t xml:space="preserve"> Evento Subsequente</w:t>
      </w:r>
    </w:p>
    <w:p w:rsidR="00FE514C" w:rsidRPr="00312424" w:rsidRDefault="00FE514C" w:rsidP="00FE514C">
      <w:pPr>
        <w:pStyle w:val="Recuodecorpodetexto"/>
        <w:widowControl/>
        <w:autoSpaceDE w:val="0"/>
        <w:autoSpaceDN w:val="0"/>
        <w:ind w:left="1271"/>
        <w:rPr>
          <w:rFonts w:ascii="Calibri" w:hAnsi="Calibri" w:cs="Calibri"/>
          <w:b/>
          <w:szCs w:val="24"/>
        </w:rPr>
      </w:pPr>
    </w:p>
    <w:p w:rsidR="00DA7121" w:rsidRDefault="00DA7121" w:rsidP="00DA7121">
      <w:pPr>
        <w:pStyle w:val="NormalWeb"/>
        <w:shd w:val="clear" w:color="auto" w:fill="FFFFFF"/>
        <w:spacing w:before="0" w:beforeAutospacing="0" w:after="0" w:afterAutospacing="0"/>
        <w:ind w:left="851"/>
        <w:jc w:val="both"/>
        <w:rPr>
          <w:rFonts w:ascii="Calibri" w:hAnsi="Calibri" w:cs="Calibri"/>
          <w:snapToGrid w:val="0"/>
        </w:rPr>
      </w:pPr>
      <w:r w:rsidRPr="00DA7121">
        <w:rPr>
          <w:rFonts w:ascii="Calibri" w:hAnsi="Calibri" w:cs="Calibri"/>
          <w:snapToGrid w:val="0"/>
        </w:rPr>
        <w:t>Segundo informações da Superintendência Jurídica, a CDRJ celebrou o contrato nº 43/2019 com a empresa César Amaral Assessoria e Perícia Contábil – Sociedade Simples Ltda., cujo objeto é, entre outros, a “</w:t>
      </w:r>
      <w:r w:rsidRPr="00DA7121">
        <w:rPr>
          <w:rFonts w:ascii="Calibri" w:hAnsi="Calibri" w:cs="Calibri"/>
          <w:i/>
          <w:snapToGrid w:val="0"/>
        </w:rPr>
        <w:t>elaboração de provisionamento contábil/financeiro, relacionado aos processos em que a CDRJ figure como parte da relação processual</w:t>
      </w:r>
      <w:r w:rsidRPr="00DA7121">
        <w:rPr>
          <w:rFonts w:ascii="Calibri" w:hAnsi="Calibri" w:cs="Calibri"/>
          <w:snapToGrid w:val="0"/>
        </w:rPr>
        <w:t>”.</w:t>
      </w:r>
    </w:p>
    <w:p w:rsidR="00DA7121" w:rsidRPr="00DA7121" w:rsidRDefault="00DA7121" w:rsidP="00DA7121">
      <w:pPr>
        <w:pStyle w:val="NormalWeb"/>
        <w:shd w:val="clear" w:color="auto" w:fill="FFFFFF"/>
        <w:spacing w:before="0" w:beforeAutospacing="0" w:after="0" w:afterAutospacing="0"/>
        <w:ind w:left="851"/>
        <w:jc w:val="both"/>
        <w:rPr>
          <w:rFonts w:ascii="Calibri" w:hAnsi="Calibri" w:cs="Calibri"/>
          <w:snapToGrid w:val="0"/>
        </w:rPr>
      </w:pPr>
    </w:p>
    <w:p w:rsidR="00DA7121" w:rsidRDefault="00DA7121" w:rsidP="00DA7121">
      <w:pPr>
        <w:pStyle w:val="NormalWeb"/>
        <w:shd w:val="clear" w:color="auto" w:fill="FFFFFF"/>
        <w:spacing w:before="0" w:beforeAutospacing="0" w:after="0" w:afterAutospacing="0"/>
        <w:ind w:left="851"/>
        <w:jc w:val="both"/>
        <w:rPr>
          <w:rFonts w:ascii="Calibri" w:hAnsi="Calibri" w:cs="Calibri"/>
          <w:snapToGrid w:val="0"/>
        </w:rPr>
      </w:pPr>
      <w:r w:rsidRPr="00DA7121">
        <w:rPr>
          <w:rFonts w:ascii="Calibri" w:hAnsi="Calibri" w:cs="Calibri"/>
          <w:snapToGrid w:val="0"/>
        </w:rPr>
        <w:t xml:space="preserve">Após a contratação, </w:t>
      </w:r>
      <w:r>
        <w:rPr>
          <w:rFonts w:ascii="Calibri" w:hAnsi="Calibri" w:cs="Calibri"/>
          <w:snapToGrid w:val="0"/>
        </w:rPr>
        <w:t xml:space="preserve">a Superintendência Jurídica </w:t>
      </w:r>
      <w:r w:rsidRPr="00DA7121">
        <w:rPr>
          <w:rFonts w:ascii="Calibri" w:hAnsi="Calibri" w:cs="Calibri"/>
          <w:snapToGrid w:val="0"/>
        </w:rPr>
        <w:t>prioriz</w:t>
      </w:r>
      <w:r>
        <w:rPr>
          <w:rFonts w:ascii="Calibri" w:hAnsi="Calibri" w:cs="Calibri"/>
          <w:snapToGrid w:val="0"/>
        </w:rPr>
        <w:t>ou</w:t>
      </w:r>
      <w:r w:rsidRPr="00DA7121">
        <w:rPr>
          <w:rFonts w:ascii="Calibri" w:hAnsi="Calibri" w:cs="Calibri"/>
          <w:snapToGrid w:val="0"/>
        </w:rPr>
        <w:t xml:space="preserve"> o trabalho do provisionamento das ações trabalhistas, visto que o resultado serviria, além de informar </w:t>
      </w:r>
      <w:r w:rsidR="003B4A4C">
        <w:rPr>
          <w:rFonts w:ascii="Calibri" w:hAnsi="Calibri" w:cs="Calibri"/>
          <w:snapToGrid w:val="0"/>
        </w:rPr>
        <w:t>as provisões com vistas à preparação do</w:t>
      </w:r>
      <w:r w:rsidRPr="00DA7121">
        <w:rPr>
          <w:rFonts w:ascii="Calibri" w:hAnsi="Calibri" w:cs="Calibri"/>
          <w:snapToGrid w:val="0"/>
        </w:rPr>
        <w:t xml:space="preserve"> balanço, também para </w:t>
      </w:r>
      <w:r w:rsidR="003B4A4C">
        <w:rPr>
          <w:rFonts w:ascii="Calibri" w:hAnsi="Calibri" w:cs="Calibri"/>
          <w:snapToGrid w:val="0"/>
        </w:rPr>
        <w:t>o ajuizamento de</w:t>
      </w:r>
      <w:r w:rsidRPr="00DA7121">
        <w:rPr>
          <w:rFonts w:ascii="Calibri" w:hAnsi="Calibri" w:cs="Calibri"/>
          <w:snapToGrid w:val="0"/>
        </w:rPr>
        <w:t xml:space="preserve"> um plano especial de execução no Tribunal Regional do Trabalho.</w:t>
      </w:r>
    </w:p>
    <w:p w:rsidR="00DA7121" w:rsidRPr="00DA7121" w:rsidRDefault="00DA7121" w:rsidP="00DA7121">
      <w:pPr>
        <w:pStyle w:val="NormalWeb"/>
        <w:shd w:val="clear" w:color="auto" w:fill="FFFFFF"/>
        <w:spacing w:before="0" w:beforeAutospacing="0" w:after="0" w:afterAutospacing="0"/>
        <w:ind w:left="851"/>
        <w:jc w:val="both"/>
        <w:rPr>
          <w:rFonts w:ascii="Calibri" w:hAnsi="Calibri" w:cs="Calibri"/>
          <w:snapToGrid w:val="0"/>
        </w:rPr>
      </w:pPr>
    </w:p>
    <w:p w:rsidR="00DA7121" w:rsidRDefault="00DA7121" w:rsidP="00DA7121">
      <w:pPr>
        <w:pStyle w:val="NormalWeb"/>
        <w:shd w:val="clear" w:color="auto" w:fill="FFFFFF"/>
        <w:spacing w:before="0" w:beforeAutospacing="0" w:after="0" w:afterAutospacing="0"/>
        <w:ind w:left="851"/>
        <w:jc w:val="both"/>
        <w:rPr>
          <w:rFonts w:ascii="Calibri" w:hAnsi="Calibri" w:cs="Calibri"/>
          <w:snapToGrid w:val="0"/>
        </w:rPr>
      </w:pPr>
      <w:r w:rsidRPr="00DA7121">
        <w:rPr>
          <w:rFonts w:ascii="Calibri" w:hAnsi="Calibri" w:cs="Calibri"/>
          <w:snapToGrid w:val="0"/>
        </w:rPr>
        <w:t xml:space="preserve">Finalizada a parte trabalhista, a empresa contratada iniciou em 2020 o provisionamento das ações judiciais na esfera cível, razão pela qual, após </w:t>
      </w:r>
      <w:r w:rsidR="003B4A4C">
        <w:rPr>
          <w:rFonts w:ascii="Calibri" w:hAnsi="Calibri" w:cs="Calibri"/>
          <w:snapToGrid w:val="0"/>
        </w:rPr>
        <w:t>a identificação d</w:t>
      </w:r>
      <w:r w:rsidRPr="00DA7121">
        <w:rPr>
          <w:rFonts w:ascii="Calibri" w:hAnsi="Calibri" w:cs="Calibri"/>
          <w:snapToGrid w:val="0"/>
        </w:rPr>
        <w:t xml:space="preserve">a necessidade de adequação, </w:t>
      </w:r>
      <w:r w:rsidR="003B4A4C">
        <w:rPr>
          <w:rFonts w:ascii="Calibri" w:hAnsi="Calibri" w:cs="Calibri"/>
          <w:snapToGrid w:val="0"/>
        </w:rPr>
        <w:t xml:space="preserve">a Superintendência Jurídica </w:t>
      </w:r>
      <w:r w:rsidRPr="00DA7121">
        <w:rPr>
          <w:rFonts w:ascii="Calibri" w:hAnsi="Calibri" w:cs="Calibri"/>
          <w:snapToGrid w:val="0"/>
        </w:rPr>
        <w:t>solicit</w:t>
      </w:r>
      <w:r w:rsidR="003B4A4C">
        <w:rPr>
          <w:rFonts w:ascii="Calibri" w:hAnsi="Calibri" w:cs="Calibri"/>
          <w:snapToGrid w:val="0"/>
        </w:rPr>
        <w:t>ou</w:t>
      </w:r>
      <w:r w:rsidRPr="00DA7121">
        <w:rPr>
          <w:rFonts w:ascii="Calibri" w:hAnsi="Calibri" w:cs="Calibri"/>
          <w:snapToGrid w:val="0"/>
        </w:rPr>
        <w:t xml:space="preserve"> ajustes em algumas ações classificadas como </w:t>
      </w:r>
      <w:r w:rsidR="003B4A4C">
        <w:rPr>
          <w:rFonts w:ascii="Calibri" w:hAnsi="Calibri" w:cs="Calibri"/>
          <w:snapToGrid w:val="0"/>
        </w:rPr>
        <w:t>perda provável.</w:t>
      </w:r>
    </w:p>
    <w:p w:rsidR="003B4A4C" w:rsidRPr="00DA7121" w:rsidRDefault="003B4A4C" w:rsidP="00DA7121">
      <w:pPr>
        <w:pStyle w:val="NormalWeb"/>
        <w:shd w:val="clear" w:color="auto" w:fill="FFFFFF"/>
        <w:spacing w:before="0" w:beforeAutospacing="0" w:after="0" w:afterAutospacing="0"/>
        <w:ind w:left="851"/>
        <w:jc w:val="both"/>
        <w:rPr>
          <w:rFonts w:ascii="Calibri" w:hAnsi="Calibri" w:cs="Calibri"/>
          <w:snapToGrid w:val="0"/>
        </w:rPr>
      </w:pPr>
    </w:p>
    <w:p w:rsidR="00DA7121" w:rsidRDefault="00DA7121" w:rsidP="00DA7121">
      <w:pPr>
        <w:pStyle w:val="NormalWeb"/>
        <w:shd w:val="clear" w:color="auto" w:fill="FFFFFF"/>
        <w:spacing w:before="0" w:beforeAutospacing="0" w:after="0" w:afterAutospacing="0"/>
        <w:ind w:left="851"/>
        <w:jc w:val="both"/>
        <w:rPr>
          <w:rFonts w:ascii="Calibri" w:hAnsi="Calibri" w:cs="Calibri"/>
          <w:snapToGrid w:val="0"/>
        </w:rPr>
      </w:pPr>
      <w:r w:rsidRPr="00DA7121">
        <w:rPr>
          <w:rFonts w:ascii="Calibri" w:hAnsi="Calibri" w:cs="Calibri"/>
          <w:snapToGrid w:val="0"/>
        </w:rPr>
        <w:t xml:space="preserve">Mais recentemente, no que tange ao provisionado como possível, </w:t>
      </w:r>
      <w:r w:rsidR="003B4A4C">
        <w:rPr>
          <w:rFonts w:ascii="Calibri" w:hAnsi="Calibri" w:cs="Calibri"/>
          <w:snapToGrid w:val="0"/>
        </w:rPr>
        <w:t>a Superintendência jurídica informou que</w:t>
      </w:r>
      <w:r w:rsidRPr="00DA7121">
        <w:rPr>
          <w:rFonts w:ascii="Calibri" w:hAnsi="Calibri" w:cs="Calibri"/>
          <w:snapToGrid w:val="0"/>
        </w:rPr>
        <w:t>, após ajustes, o valor será de R$</w:t>
      </w:r>
      <w:r w:rsidR="003B4A4C">
        <w:rPr>
          <w:rFonts w:ascii="Calibri" w:hAnsi="Calibri" w:cs="Calibri"/>
          <w:snapToGrid w:val="0"/>
        </w:rPr>
        <w:t xml:space="preserve"> </w:t>
      </w:r>
      <w:r w:rsidRPr="00DA7121">
        <w:rPr>
          <w:rFonts w:ascii="Calibri" w:hAnsi="Calibri" w:cs="Calibri"/>
          <w:snapToGrid w:val="0"/>
        </w:rPr>
        <w:t>1.040.169</w:t>
      </w:r>
      <w:r w:rsidR="003B4A4C">
        <w:rPr>
          <w:rFonts w:ascii="Calibri" w:hAnsi="Calibri" w:cs="Calibri"/>
          <w:snapToGrid w:val="0"/>
        </w:rPr>
        <w:t xml:space="preserve"> mil</w:t>
      </w:r>
      <w:r w:rsidRPr="00DA7121">
        <w:rPr>
          <w:rFonts w:ascii="Calibri" w:hAnsi="Calibri" w:cs="Calibri"/>
          <w:snapToGrid w:val="0"/>
        </w:rPr>
        <w:t xml:space="preserve"> para as ações cíveis e de R$190.540</w:t>
      </w:r>
      <w:r w:rsidR="003B4A4C">
        <w:rPr>
          <w:rFonts w:ascii="Calibri" w:hAnsi="Calibri" w:cs="Calibri"/>
          <w:snapToGrid w:val="0"/>
        </w:rPr>
        <w:t xml:space="preserve"> mil </w:t>
      </w:r>
      <w:r w:rsidRPr="00DA7121">
        <w:rPr>
          <w:rFonts w:ascii="Calibri" w:hAnsi="Calibri" w:cs="Calibri"/>
          <w:snapToGrid w:val="0"/>
        </w:rPr>
        <w:t>para as ações tributárias.</w:t>
      </w:r>
    </w:p>
    <w:p w:rsidR="003B4A4C" w:rsidRPr="00DA7121" w:rsidRDefault="003B4A4C" w:rsidP="00DA7121">
      <w:pPr>
        <w:pStyle w:val="NormalWeb"/>
        <w:shd w:val="clear" w:color="auto" w:fill="FFFFFF"/>
        <w:spacing w:before="0" w:beforeAutospacing="0" w:after="0" w:afterAutospacing="0"/>
        <w:ind w:left="851"/>
        <w:jc w:val="both"/>
        <w:rPr>
          <w:rFonts w:ascii="Calibri" w:hAnsi="Calibri" w:cs="Calibri"/>
          <w:snapToGrid w:val="0"/>
        </w:rPr>
      </w:pPr>
    </w:p>
    <w:p w:rsidR="00DA7121" w:rsidRPr="00DA7121" w:rsidRDefault="00DA7121" w:rsidP="00DA7121">
      <w:pPr>
        <w:pStyle w:val="NormalWeb"/>
        <w:shd w:val="clear" w:color="auto" w:fill="FFFFFF"/>
        <w:spacing w:before="0" w:beforeAutospacing="0" w:after="0" w:afterAutospacing="0"/>
        <w:ind w:left="851"/>
        <w:jc w:val="both"/>
        <w:rPr>
          <w:rFonts w:ascii="Calibri" w:hAnsi="Calibri" w:cs="Calibri"/>
          <w:snapToGrid w:val="0"/>
        </w:rPr>
      </w:pPr>
      <w:r w:rsidRPr="00DA7121">
        <w:rPr>
          <w:rFonts w:ascii="Calibri" w:hAnsi="Calibri" w:cs="Calibri"/>
          <w:snapToGrid w:val="0"/>
        </w:rPr>
        <w:t xml:space="preserve">Por fim, </w:t>
      </w:r>
      <w:r w:rsidR="003B4A4C">
        <w:rPr>
          <w:rFonts w:ascii="Calibri" w:hAnsi="Calibri" w:cs="Calibri"/>
          <w:snapToGrid w:val="0"/>
        </w:rPr>
        <w:t xml:space="preserve">a Superintendência Jurídica </w:t>
      </w:r>
      <w:r w:rsidRPr="00DA7121">
        <w:rPr>
          <w:rFonts w:ascii="Calibri" w:hAnsi="Calibri" w:cs="Calibri"/>
          <w:snapToGrid w:val="0"/>
        </w:rPr>
        <w:t>informo</w:t>
      </w:r>
      <w:r w:rsidR="003B4A4C">
        <w:rPr>
          <w:rFonts w:ascii="Calibri" w:hAnsi="Calibri" w:cs="Calibri"/>
          <w:snapToGrid w:val="0"/>
        </w:rPr>
        <w:t>u</w:t>
      </w:r>
      <w:r w:rsidRPr="00DA7121">
        <w:rPr>
          <w:rFonts w:ascii="Calibri" w:hAnsi="Calibri" w:cs="Calibri"/>
          <w:snapToGrid w:val="0"/>
        </w:rPr>
        <w:t xml:space="preserve"> que</w:t>
      </w:r>
      <w:r w:rsidR="003B4A4C">
        <w:rPr>
          <w:rFonts w:ascii="Calibri" w:hAnsi="Calibri" w:cs="Calibri"/>
          <w:snapToGrid w:val="0"/>
        </w:rPr>
        <w:t>,</w:t>
      </w:r>
      <w:r w:rsidRPr="00DA7121">
        <w:rPr>
          <w:rFonts w:ascii="Calibri" w:hAnsi="Calibri" w:cs="Calibri"/>
          <w:snapToGrid w:val="0"/>
        </w:rPr>
        <w:t xml:space="preserve"> em relação aos autos nº 5028671-12.2019.4.02.5101, em trâmite na 1ª Vara Federal, provisionado em 2019 com R$</w:t>
      </w:r>
      <w:r w:rsidR="003B4A4C">
        <w:rPr>
          <w:rFonts w:ascii="Calibri" w:hAnsi="Calibri" w:cs="Calibri"/>
          <w:snapToGrid w:val="0"/>
        </w:rPr>
        <w:t xml:space="preserve"> </w:t>
      </w:r>
      <w:r w:rsidRPr="00DA7121">
        <w:rPr>
          <w:rFonts w:ascii="Calibri" w:hAnsi="Calibri" w:cs="Calibri"/>
          <w:snapToGrid w:val="0"/>
        </w:rPr>
        <w:t>1.000</w:t>
      </w:r>
      <w:r w:rsidR="003B4A4C">
        <w:rPr>
          <w:rFonts w:ascii="Calibri" w:hAnsi="Calibri" w:cs="Calibri"/>
          <w:snapToGrid w:val="0"/>
        </w:rPr>
        <w:t xml:space="preserve"> mil,</w:t>
      </w:r>
      <w:r w:rsidRPr="00DA7121">
        <w:rPr>
          <w:rFonts w:ascii="Calibri" w:hAnsi="Calibri" w:cs="Calibri"/>
          <w:snapToGrid w:val="0"/>
        </w:rPr>
        <w:t xml:space="preserve"> passará em 2020, após reanálise, para </w:t>
      </w:r>
      <w:r w:rsidR="003B4A4C">
        <w:rPr>
          <w:rFonts w:ascii="Calibri" w:hAnsi="Calibri" w:cs="Calibri"/>
          <w:snapToGrid w:val="0"/>
        </w:rPr>
        <w:t xml:space="preserve">R$ </w:t>
      </w:r>
      <w:r w:rsidRPr="00DA7121">
        <w:rPr>
          <w:rFonts w:ascii="Calibri" w:hAnsi="Calibri" w:cs="Calibri"/>
          <w:snapToGrid w:val="0"/>
        </w:rPr>
        <w:t>42.630</w:t>
      </w:r>
      <w:r w:rsidR="003B4A4C">
        <w:rPr>
          <w:rFonts w:ascii="Calibri" w:hAnsi="Calibri" w:cs="Calibri"/>
          <w:snapToGrid w:val="0"/>
        </w:rPr>
        <w:t xml:space="preserve"> mil</w:t>
      </w:r>
      <w:r w:rsidRPr="00DA7121">
        <w:rPr>
          <w:rFonts w:ascii="Calibri" w:hAnsi="Calibri" w:cs="Calibri"/>
          <w:snapToGrid w:val="0"/>
        </w:rPr>
        <w:t>, tendo em vista os andamentos processuais. Mormente porque, até o ano de 2019</w:t>
      </w:r>
      <w:r w:rsidR="003B4A4C">
        <w:rPr>
          <w:rFonts w:ascii="Calibri" w:hAnsi="Calibri" w:cs="Calibri"/>
          <w:snapToGrid w:val="0"/>
        </w:rPr>
        <w:t>,</w:t>
      </w:r>
      <w:r w:rsidRPr="00DA7121">
        <w:rPr>
          <w:rFonts w:ascii="Calibri" w:hAnsi="Calibri" w:cs="Calibri"/>
          <w:snapToGrid w:val="0"/>
        </w:rPr>
        <w:t xml:space="preserve"> o processo estava tramitando na justiça estadual, incompetente para julgar o feito, razão pela qual foi solicitad</w:t>
      </w:r>
      <w:r w:rsidR="003B4A4C">
        <w:rPr>
          <w:rFonts w:ascii="Calibri" w:hAnsi="Calibri" w:cs="Calibri"/>
          <w:snapToGrid w:val="0"/>
        </w:rPr>
        <w:t>a</w:t>
      </w:r>
      <w:r w:rsidRPr="00DA7121">
        <w:rPr>
          <w:rFonts w:ascii="Calibri" w:hAnsi="Calibri" w:cs="Calibri"/>
          <w:snapToGrid w:val="0"/>
        </w:rPr>
        <w:t xml:space="preserve"> e deferida a alteração da competência para julgamento do processo para a Justiça Federal.</w:t>
      </w:r>
    </w:p>
    <w:p w:rsidR="00DA7121" w:rsidRDefault="00DA7121" w:rsidP="00FE514C">
      <w:pPr>
        <w:pStyle w:val="Ttulo3"/>
        <w:ind w:left="851"/>
        <w:jc w:val="both"/>
        <w:rPr>
          <w:rFonts w:ascii="Calibri" w:hAnsi="Calibri" w:cs="Calibri"/>
          <w:sz w:val="24"/>
          <w:szCs w:val="24"/>
        </w:rPr>
      </w:pPr>
    </w:p>
    <w:p w:rsidR="00036322" w:rsidRPr="00312424" w:rsidRDefault="00036322" w:rsidP="004B7AFD">
      <w:pPr>
        <w:jc w:val="both"/>
        <w:rPr>
          <w:rFonts w:ascii="Calibri" w:hAnsi="Calibri" w:cs="Calibri"/>
          <w:sz w:val="24"/>
          <w:szCs w:val="24"/>
        </w:rPr>
      </w:pPr>
    </w:p>
    <w:p w:rsidR="00C16DDB" w:rsidRPr="00312424" w:rsidRDefault="002500FC" w:rsidP="00C16DDB">
      <w:pPr>
        <w:rPr>
          <w:rFonts w:ascii="Calibri" w:hAnsi="Calibri" w:cs="Calibri"/>
          <w:b/>
          <w:sz w:val="24"/>
          <w:szCs w:val="24"/>
          <w:u w:val="single"/>
        </w:rPr>
      </w:pPr>
      <w:r>
        <w:rPr>
          <w:rFonts w:ascii="Calibri" w:hAnsi="Calibri" w:cs="Calibri"/>
          <w:b/>
          <w:sz w:val="24"/>
          <w:szCs w:val="24"/>
        </w:rPr>
        <w:t>19</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ADIANTAMENTO PARA FUTURO AUMENTO DE CAPITAL</w:t>
      </w:r>
    </w:p>
    <w:p w:rsidR="00C16DDB" w:rsidRPr="00312424" w:rsidRDefault="00C16DDB" w:rsidP="00C16DDB">
      <w:pPr>
        <w:rPr>
          <w:rFonts w:ascii="Calibri" w:hAnsi="Calibri" w:cs="Calibri"/>
          <w:b/>
          <w:sz w:val="24"/>
          <w:szCs w:val="24"/>
          <w:u w:val="single"/>
        </w:rPr>
      </w:pPr>
    </w:p>
    <w:p w:rsidR="00462F47" w:rsidRDefault="00C16DDB" w:rsidP="00C16DDB">
      <w:pPr>
        <w:widowControl/>
        <w:jc w:val="both"/>
        <w:rPr>
          <w:rFonts w:ascii="Calibri" w:hAnsi="Calibri" w:cs="Calibri"/>
          <w:sz w:val="24"/>
          <w:szCs w:val="24"/>
        </w:rPr>
      </w:pPr>
      <w:r w:rsidRPr="00312424">
        <w:rPr>
          <w:rFonts w:ascii="Calibri" w:hAnsi="Calibri" w:cs="Calibri"/>
          <w:sz w:val="24"/>
          <w:szCs w:val="24"/>
        </w:rPr>
        <w:t>Trata-se de recursos aportados pela União destinados a programas de investimentos na Companhia. Os valores sofrem a incidência de atualização financeira com base na variação da Taxa SELIC até a sua capitalização,</w:t>
      </w:r>
      <w:r w:rsidR="00A05CB8">
        <w:rPr>
          <w:rFonts w:ascii="Calibri" w:hAnsi="Calibri" w:cs="Calibri"/>
          <w:sz w:val="24"/>
          <w:szCs w:val="24"/>
        </w:rPr>
        <w:t xml:space="preserve"> conforme Decreto nº 2.673/1998</w:t>
      </w:r>
      <w:r w:rsidR="00462F47">
        <w:rPr>
          <w:rFonts w:ascii="Calibri" w:hAnsi="Calibri" w:cs="Calibri"/>
          <w:sz w:val="24"/>
          <w:szCs w:val="24"/>
        </w:rPr>
        <w:t>.</w:t>
      </w:r>
    </w:p>
    <w:p w:rsidR="00B22F57" w:rsidRDefault="00B22F57" w:rsidP="00C16DDB">
      <w:pPr>
        <w:widowControl/>
        <w:jc w:val="both"/>
        <w:rPr>
          <w:rFonts w:ascii="Calibri" w:hAnsi="Calibri" w:cs="Calibri"/>
          <w:sz w:val="24"/>
          <w:szCs w:val="24"/>
        </w:rPr>
      </w:pPr>
    </w:p>
    <w:p w:rsidR="00C16DDB" w:rsidRPr="00312424" w:rsidRDefault="00462F47" w:rsidP="00C16DDB">
      <w:pPr>
        <w:widowControl/>
        <w:jc w:val="both"/>
        <w:rPr>
          <w:rFonts w:ascii="Calibri" w:hAnsi="Calibri" w:cs="Calibri"/>
          <w:sz w:val="24"/>
          <w:szCs w:val="24"/>
        </w:rPr>
      </w:pPr>
      <w:r>
        <w:rPr>
          <w:rFonts w:ascii="Calibri" w:hAnsi="Calibri" w:cs="Calibri"/>
          <w:sz w:val="24"/>
          <w:szCs w:val="24"/>
        </w:rPr>
        <w:t>O grupo possui a</w:t>
      </w:r>
      <w:r w:rsidR="00A05CB8">
        <w:rPr>
          <w:rFonts w:ascii="Calibri" w:hAnsi="Calibri" w:cs="Calibri"/>
          <w:sz w:val="24"/>
          <w:szCs w:val="24"/>
        </w:rPr>
        <w:t xml:space="preserve"> seguinte composição:</w:t>
      </w:r>
    </w:p>
    <w:p w:rsidR="00C16DDB" w:rsidRDefault="00C16DDB" w:rsidP="00C16DDB">
      <w:pPr>
        <w:widowControl/>
        <w:jc w:val="both"/>
        <w:rPr>
          <w:rFonts w:ascii="Calibri" w:hAnsi="Calibri" w:cs="Calibri"/>
          <w:sz w:val="24"/>
          <w:szCs w:val="24"/>
        </w:rPr>
      </w:pPr>
    </w:p>
    <w:tbl>
      <w:tblPr>
        <w:tblW w:w="7500" w:type="dxa"/>
        <w:jc w:val="center"/>
        <w:tblCellMar>
          <w:left w:w="70" w:type="dxa"/>
          <w:right w:w="70" w:type="dxa"/>
        </w:tblCellMar>
        <w:tblLook w:val="04A0" w:firstRow="1" w:lastRow="0" w:firstColumn="1" w:lastColumn="0" w:noHBand="0" w:noVBand="1"/>
      </w:tblPr>
      <w:tblGrid>
        <w:gridCol w:w="3980"/>
        <w:gridCol w:w="1760"/>
        <w:gridCol w:w="1760"/>
      </w:tblGrid>
      <w:tr w:rsidR="00197D3F" w:rsidRPr="00197D3F" w:rsidTr="00697525">
        <w:trPr>
          <w:trHeight w:val="284"/>
          <w:jc w:val="center"/>
        </w:trPr>
        <w:tc>
          <w:tcPr>
            <w:tcW w:w="3980" w:type="dxa"/>
            <w:tcBorders>
              <w:top w:val="nil"/>
              <w:left w:val="nil"/>
              <w:bottom w:val="single" w:sz="4" w:space="0" w:color="auto"/>
              <w:right w:val="single" w:sz="4" w:space="0" w:color="auto"/>
            </w:tcBorders>
            <w:shd w:val="clear" w:color="auto" w:fill="auto"/>
            <w:noWrap/>
            <w:vAlign w:val="bottom"/>
            <w:hideMark/>
          </w:tcPr>
          <w:p w:rsidR="00197D3F" w:rsidRPr="00197D3F" w:rsidRDefault="00197D3F" w:rsidP="00197D3F">
            <w:pPr>
              <w:widowControl/>
              <w:rPr>
                <w:rFonts w:ascii="Calibri" w:hAnsi="Calibri" w:cs="Calibri"/>
                <w:snapToGrid/>
                <w:color w:val="000000"/>
                <w:sz w:val="24"/>
                <w:szCs w:val="24"/>
              </w:rPr>
            </w:pPr>
            <w:r w:rsidRPr="00197D3F">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D3F" w:rsidRPr="00197D3F" w:rsidRDefault="00D0760C" w:rsidP="0021517B">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D3F" w:rsidRPr="00197D3F" w:rsidRDefault="00197D3F" w:rsidP="00C564B1">
            <w:pPr>
              <w:widowControl/>
              <w:jc w:val="center"/>
              <w:rPr>
                <w:rFonts w:ascii="Calibri" w:hAnsi="Calibri" w:cs="Calibri"/>
                <w:b/>
                <w:bCs/>
                <w:snapToGrid/>
                <w:color w:val="000000"/>
                <w:sz w:val="24"/>
                <w:szCs w:val="24"/>
              </w:rPr>
            </w:pPr>
            <w:r w:rsidRPr="00197D3F">
              <w:rPr>
                <w:rFonts w:ascii="Calibri" w:hAnsi="Calibri" w:cs="Calibri"/>
                <w:b/>
                <w:bCs/>
                <w:snapToGrid/>
                <w:color w:val="000000"/>
                <w:sz w:val="24"/>
                <w:szCs w:val="24"/>
              </w:rPr>
              <w:t>31/12/201</w:t>
            </w:r>
            <w:r w:rsidR="00C564B1">
              <w:rPr>
                <w:rFonts w:ascii="Calibri" w:hAnsi="Calibri" w:cs="Calibri"/>
                <w:b/>
                <w:bCs/>
                <w:snapToGrid/>
                <w:color w:val="000000"/>
                <w:sz w:val="24"/>
                <w:szCs w:val="24"/>
              </w:rPr>
              <w:t>8</w:t>
            </w:r>
          </w:p>
        </w:tc>
      </w:tr>
      <w:tr w:rsidR="00C564B1" w:rsidRPr="00197D3F" w:rsidTr="00697525">
        <w:trPr>
          <w:trHeight w:val="284"/>
          <w:jc w:val="center"/>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64B1" w:rsidRPr="00197D3F" w:rsidRDefault="00C564B1" w:rsidP="00C564B1">
            <w:pPr>
              <w:widowControl/>
              <w:rPr>
                <w:rFonts w:ascii="Calibri" w:hAnsi="Calibri" w:cs="Calibri"/>
                <w:snapToGrid/>
                <w:color w:val="000000"/>
                <w:sz w:val="24"/>
                <w:szCs w:val="24"/>
              </w:rPr>
            </w:pPr>
            <w:r w:rsidRPr="00197D3F">
              <w:rPr>
                <w:rFonts w:ascii="Calibri" w:hAnsi="Calibri" w:cs="Calibri"/>
                <w:snapToGrid/>
                <w:color w:val="000000"/>
                <w:sz w:val="24"/>
                <w:szCs w:val="24"/>
              </w:rPr>
              <w:t xml:space="preserve">Repasse ao </w:t>
            </w:r>
            <w:proofErr w:type="spellStart"/>
            <w:r w:rsidRPr="00197D3F">
              <w:rPr>
                <w:rFonts w:ascii="Calibri" w:hAnsi="Calibri" w:cs="Calibri"/>
                <w:snapToGrid/>
                <w:color w:val="000000"/>
                <w:sz w:val="24"/>
                <w:szCs w:val="24"/>
              </w:rPr>
              <w:t>Portus</w:t>
            </w:r>
            <w:proofErr w:type="spellEnd"/>
            <w:r w:rsidR="004A7359">
              <w:rPr>
                <w:rFonts w:ascii="Calibri" w:hAnsi="Calibri" w:cs="Calibri"/>
                <w:snapToGrid/>
                <w:color w:val="000000"/>
                <w:sz w:val="24"/>
                <w:szCs w:val="24"/>
              </w:rPr>
              <w:t xml:space="preserve"> (2013 a 2016)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4B1" w:rsidRPr="00197D3F" w:rsidRDefault="00925710" w:rsidP="009374D4">
            <w:pPr>
              <w:widowControl/>
              <w:jc w:val="right"/>
              <w:rPr>
                <w:rFonts w:ascii="Calibri" w:hAnsi="Calibri" w:cs="Calibri"/>
                <w:snapToGrid/>
                <w:color w:val="000000"/>
                <w:sz w:val="24"/>
                <w:szCs w:val="24"/>
              </w:rPr>
            </w:pPr>
            <w:r>
              <w:rPr>
                <w:rFonts w:ascii="Calibri" w:hAnsi="Calibri" w:cs="Calibri"/>
                <w:snapToGrid/>
                <w:color w:val="000000"/>
                <w:sz w:val="24"/>
                <w:szCs w:val="24"/>
              </w:rPr>
              <w:t>194.826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64B1" w:rsidRPr="00197D3F" w:rsidRDefault="00C564B1" w:rsidP="00C564B1">
            <w:pPr>
              <w:widowControl/>
              <w:jc w:val="right"/>
              <w:rPr>
                <w:rFonts w:ascii="Calibri" w:hAnsi="Calibri" w:cs="Calibri"/>
                <w:snapToGrid/>
                <w:color w:val="000000"/>
                <w:sz w:val="24"/>
                <w:szCs w:val="24"/>
              </w:rPr>
            </w:pPr>
            <w:r w:rsidRPr="00197D3F">
              <w:rPr>
                <w:rFonts w:ascii="Calibri" w:hAnsi="Calibri" w:cs="Calibri"/>
                <w:snapToGrid/>
                <w:color w:val="000000"/>
                <w:sz w:val="24"/>
                <w:szCs w:val="24"/>
              </w:rPr>
              <w:t>183.85</w:t>
            </w:r>
            <w:r>
              <w:rPr>
                <w:rFonts w:ascii="Calibri" w:hAnsi="Calibri" w:cs="Calibri"/>
                <w:snapToGrid/>
                <w:color w:val="000000"/>
                <w:sz w:val="24"/>
                <w:szCs w:val="24"/>
              </w:rPr>
              <w:t>3</w:t>
            </w:r>
          </w:p>
        </w:tc>
      </w:tr>
      <w:tr w:rsidR="00C564B1" w:rsidRPr="00197D3F" w:rsidTr="00697525">
        <w:trPr>
          <w:trHeight w:val="284"/>
          <w:jc w:val="center"/>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64B1" w:rsidRPr="00197D3F" w:rsidRDefault="00C564B1" w:rsidP="00C564B1">
            <w:pPr>
              <w:widowControl/>
              <w:rPr>
                <w:rFonts w:ascii="Calibri" w:hAnsi="Calibri" w:cs="Calibri"/>
                <w:snapToGrid/>
                <w:color w:val="000000"/>
                <w:sz w:val="24"/>
                <w:szCs w:val="24"/>
              </w:rPr>
            </w:pPr>
            <w:r w:rsidRPr="00197D3F">
              <w:rPr>
                <w:rFonts w:ascii="Calibri" w:hAnsi="Calibri" w:cs="Calibri"/>
                <w:snapToGrid/>
                <w:color w:val="000000"/>
                <w:sz w:val="24"/>
                <w:szCs w:val="24"/>
              </w:rPr>
              <w:t>Subscrição do Estado do Rio de Janeiro</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4B1" w:rsidRPr="00197D3F" w:rsidRDefault="00925710" w:rsidP="00C564B1">
            <w:pPr>
              <w:widowControl/>
              <w:jc w:val="right"/>
              <w:rPr>
                <w:rFonts w:ascii="Calibri" w:hAnsi="Calibri" w:cs="Calibri"/>
                <w:snapToGrid/>
                <w:color w:val="000000"/>
                <w:sz w:val="24"/>
                <w:szCs w:val="24"/>
              </w:rPr>
            </w:pPr>
            <w:r>
              <w:rPr>
                <w:rFonts w:ascii="Calibri" w:hAnsi="Calibri" w:cs="Calibri"/>
                <w:snapToGrid/>
                <w:color w:val="000000"/>
                <w:sz w:val="24"/>
                <w:szCs w:val="24"/>
              </w:rPr>
              <w:t>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64B1" w:rsidRPr="00197D3F" w:rsidRDefault="00C564B1" w:rsidP="00C564B1">
            <w:pPr>
              <w:widowControl/>
              <w:jc w:val="right"/>
              <w:rPr>
                <w:rFonts w:ascii="Calibri" w:hAnsi="Calibri" w:cs="Calibri"/>
                <w:snapToGrid/>
                <w:color w:val="000000"/>
                <w:sz w:val="24"/>
                <w:szCs w:val="24"/>
              </w:rPr>
            </w:pPr>
            <w:r w:rsidRPr="00197D3F">
              <w:rPr>
                <w:rFonts w:ascii="Calibri" w:hAnsi="Calibri" w:cs="Calibri"/>
                <w:snapToGrid/>
                <w:color w:val="000000"/>
                <w:sz w:val="24"/>
                <w:szCs w:val="24"/>
              </w:rPr>
              <w:t>2</w:t>
            </w:r>
          </w:p>
        </w:tc>
      </w:tr>
      <w:tr w:rsidR="00C564B1" w:rsidRPr="00197D3F" w:rsidTr="00697525">
        <w:trPr>
          <w:trHeight w:val="284"/>
          <w:jc w:val="center"/>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64B1" w:rsidRPr="00197D3F" w:rsidRDefault="00C564B1" w:rsidP="00C564B1">
            <w:pPr>
              <w:widowControl/>
              <w:rPr>
                <w:rFonts w:ascii="Calibri" w:hAnsi="Calibri" w:cs="Calibri"/>
                <w:snapToGrid/>
                <w:color w:val="000000"/>
                <w:sz w:val="24"/>
                <w:szCs w:val="24"/>
              </w:rPr>
            </w:pPr>
            <w:r w:rsidRPr="00197D3F">
              <w:rPr>
                <w:rFonts w:ascii="Calibri" w:hAnsi="Calibri" w:cs="Calibri"/>
                <w:snapToGrid/>
                <w:color w:val="000000"/>
                <w:sz w:val="24"/>
                <w:szCs w:val="24"/>
              </w:rPr>
              <w:t>Modernização Portuária</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4B1" w:rsidRPr="00197D3F" w:rsidRDefault="00925710" w:rsidP="009374D4">
            <w:pPr>
              <w:widowControl/>
              <w:jc w:val="right"/>
              <w:rPr>
                <w:rFonts w:ascii="Calibri" w:hAnsi="Calibri" w:cs="Calibri"/>
                <w:snapToGrid/>
                <w:color w:val="000000"/>
                <w:sz w:val="24"/>
                <w:szCs w:val="24"/>
              </w:rPr>
            </w:pPr>
            <w:r>
              <w:rPr>
                <w:rFonts w:ascii="Calibri" w:hAnsi="Calibri" w:cs="Calibri"/>
                <w:snapToGrid/>
                <w:color w:val="000000"/>
                <w:sz w:val="24"/>
                <w:szCs w:val="24"/>
              </w:rPr>
              <w:t>10.158</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64B1" w:rsidRPr="00197D3F" w:rsidRDefault="00C564B1" w:rsidP="00C564B1">
            <w:pPr>
              <w:widowControl/>
              <w:jc w:val="right"/>
              <w:rPr>
                <w:rFonts w:ascii="Calibri" w:hAnsi="Calibri" w:cs="Calibri"/>
                <w:snapToGrid/>
                <w:color w:val="000000"/>
                <w:sz w:val="24"/>
                <w:szCs w:val="24"/>
              </w:rPr>
            </w:pPr>
            <w:r w:rsidRPr="00197D3F">
              <w:rPr>
                <w:rFonts w:ascii="Calibri" w:hAnsi="Calibri" w:cs="Calibri"/>
                <w:snapToGrid/>
                <w:color w:val="000000"/>
                <w:sz w:val="24"/>
                <w:szCs w:val="24"/>
              </w:rPr>
              <w:t>9.579</w:t>
            </w:r>
          </w:p>
        </w:tc>
      </w:tr>
      <w:tr w:rsidR="00C564B1" w:rsidRPr="00197D3F" w:rsidTr="00697525">
        <w:trPr>
          <w:trHeight w:val="284"/>
          <w:jc w:val="center"/>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64B1" w:rsidRPr="00197D3F" w:rsidRDefault="00C564B1" w:rsidP="00C564B1">
            <w:pPr>
              <w:widowControl/>
              <w:rPr>
                <w:rFonts w:ascii="Calibri" w:hAnsi="Calibri" w:cs="Calibri"/>
                <w:snapToGrid/>
                <w:color w:val="000000"/>
                <w:sz w:val="24"/>
                <w:szCs w:val="24"/>
              </w:rPr>
            </w:pPr>
            <w:r w:rsidRPr="00197D3F">
              <w:rPr>
                <w:rFonts w:ascii="Calibri" w:hAnsi="Calibri" w:cs="Calibri"/>
                <w:snapToGrid/>
                <w:color w:val="000000"/>
                <w:sz w:val="24"/>
                <w:szCs w:val="24"/>
              </w:rPr>
              <w:t>Gerenciamento de Resíduos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4B1" w:rsidRPr="00197D3F" w:rsidRDefault="00925710" w:rsidP="009374D4">
            <w:pPr>
              <w:widowControl/>
              <w:jc w:val="right"/>
              <w:rPr>
                <w:rFonts w:ascii="Calibri" w:hAnsi="Calibri" w:cs="Calibri"/>
                <w:snapToGrid/>
                <w:color w:val="000000"/>
                <w:sz w:val="24"/>
                <w:szCs w:val="24"/>
              </w:rPr>
            </w:pPr>
            <w:r>
              <w:rPr>
                <w:rFonts w:ascii="Calibri" w:hAnsi="Calibri" w:cs="Calibri"/>
                <w:snapToGrid/>
                <w:color w:val="000000"/>
                <w:sz w:val="24"/>
                <w:szCs w:val="24"/>
              </w:rPr>
              <w:t>1.200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64B1" w:rsidRPr="00197D3F" w:rsidRDefault="00C564B1" w:rsidP="00C564B1">
            <w:pPr>
              <w:widowControl/>
              <w:jc w:val="right"/>
              <w:rPr>
                <w:rFonts w:ascii="Calibri" w:hAnsi="Calibri" w:cs="Calibri"/>
                <w:snapToGrid/>
                <w:color w:val="000000"/>
                <w:sz w:val="24"/>
                <w:szCs w:val="24"/>
              </w:rPr>
            </w:pPr>
            <w:r w:rsidRPr="00197D3F">
              <w:rPr>
                <w:rFonts w:ascii="Calibri" w:hAnsi="Calibri" w:cs="Calibri"/>
                <w:snapToGrid/>
                <w:color w:val="000000"/>
                <w:sz w:val="24"/>
                <w:szCs w:val="24"/>
              </w:rPr>
              <w:t>1.132</w:t>
            </w:r>
          </w:p>
        </w:tc>
      </w:tr>
      <w:tr w:rsidR="00C564B1" w:rsidRPr="00197D3F" w:rsidTr="00697525">
        <w:trPr>
          <w:trHeight w:val="284"/>
          <w:jc w:val="center"/>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64B1" w:rsidRPr="00197D3F" w:rsidRDefault="00C564B1" w:rsidP="00C564B1">
            <w:pPr>
              <w:widowControl/>
              <w:rPr>
                <w:rFonts w:ascii="Calibri" w:hAnsi="Calibri" w:cs="Calibri"/>
                <w:snapToGrid/>
                <w:color w:val="000000"/>
                <w:sz w:val="24"/>
                <w:szCs w:val="24"/>
              </w:rPr>
            </w:pPr>
            <w:r w:rsidRPr="00197D3F">
              <w:rPr>
                <w:rFonts w:ascii="Calibri" w:hAnsi="Calibri" w:cs="Calibri"/>
                <w:snapToGrid/>
                <w:color w:val="000000"/>
                <w:sz w:val="24"/>
                <w:szCs w:val="24"/>
              </w:rPr>
              <w:t>Correção Monetária Decreto 2.673/98</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4B1" w:rsidRPr="00197D3F" w:rsidRDefault="00925710" w:rsidP="009374D4">
            <w:pPr>
              <w:widowControl/>
              <w:jc w:val="right"/>
              <w:rPr>
                <w:rFonts w:ascii="Calibri" w:hAnsi="Calibri" w:cs="Calibri"/>
                <w:snapToGrid/>
                <w:color w:val="000000"/>
                <w:sz w:val="24"/>
                <w:szCs w:val="24"/>
              </w:rPr>
            </w:pPr>
            <w:r>
              <w:rPr>
                <w:rFonts w:ascii="Calibri" w:hAnsi="Calibri" w:cs="Calibri"/>
                <w:snapToGrid/>
                <w:color w:val="000000"/>
                <w:sz w:val="24"/>
                <w:szCs w:val="24"/>
              </w:rPr>
              <w:t>1.198</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64B1" w:rsidRPr="00197D3F" w:rsidRDefault="00C564B1" w:rsidP="00C564B1">
            <w:pPr>
              <w:widowControl/>
              <w:jc w:val="right"/>
              <w:rPr>
                <w:rFonts w:ascii="Calibri" w:hAnsi="Calibri" w:cs="Calibri"/>
                <w:snapToGrid/>
                <w:color w:val="000000"/>
                <w:sz w:val="24"/>
                <w:szCs w:val="24"/>
              </w:rPr>
            </w:pPr>
            <w:r w:rsidRPr="00197D3F">
              <w:rPr>
                <w:rFonts w:ascii="Calibri" w:hAnsi="Calibri" w:cs="Calibri"/>
                <w:snapToGrid/>
                <w:color w:val="000000"/>
                <w:sz w:val="24"/>
                <w:szCs w:val="24"/>
              </w:rPr>
              <w:t>1.131</w:t>
            </w:r>
          </w:p>
        </w:tc>
      </w:tr>
      <w:tr w:rsidR="00C564B1" w:rsidRPr="00197D3F" w:rsidTr="00697525">
        <w:trPr>
          <w:trHeight w:val="284"/>
          <w:jc w:val="center"/>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64B1" w:rsidRPr="00197D3F" w:rsidRDefault="00C564B1" w:rsidP="00C564B1">
            <w:pPr>
              <w:widowControl/>
              <w:rPr>
                <w:rFonts w:ascii="Calibri" w:hAnsi="Calibri" w:cs="Calibri"/>
                <w:b/>
                <w:bCs/>
                <w:snapToGrid/>
                <w:color w:val="000000"/>
                <w:sz w:val="24"/>
                <w:szCs w:val="24"/>
              </w:rPr>
            </w:pPr>
            <w:r w:rsidRPr="00197D3F">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4B1" w:rsidRPr="00197D3F" w:rsidRDefault="00925710" w:rsidP="00C564B1">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207.384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64B1" w:rsidRPr="00197D3F" w:rsidRDefault="00C564B1" w:rsidP="00C564B1">
            <w:pPr>
              <w:widowControl/>
              <w:jc w:val="right"/>
              <w:rPr>
                <w:rFonts w:ascii="Calibri" w:hAnsi="Calibri" w:cs="Calibri"/>
                <w:b/>
                <w:bCs/>
                <w:snapToGrid/>
                <w:color w:val="000000"/>
                <w:sz w:val="24"/>
                <w:szCs w:val="24"/>
              </w:rPr>
            </w:pPr>
            <w:r w:rsidRPr="00197D3F">
              <w:rPr>
                <w:rFonts w:ascii="Calibri" w:hAnsi="Calibri" w:cs="Calibri"/>
                <w:b/>
                <w:bCs/>
                <w:snapToGrid/>
                <w:color w:val="000000"/>
                <w:sz w:val="24"/>
                <w:szCs w:val="24"/>
              </w:rPr>
              <w:t>195.697</w:t>
            </w:r>
          </w:p>
        </w:tc>
      </w:tr>
    </w:tbl>
    <w:p w:rsidR="00FE514C" w:rsidRDefault="00FE514C" w:rsidP="00C16DDB">
      <w:pPr>
        <w:jc w:val="both"/>
        <w:rPr>
          <w:rFonts w:ascii="Calibri" w:hAnsi="Calibri" w:cs="Calibri"/>
          <w:b/>
          <w:sz w:val="24"/>
          <w:szCs w:val="24"/>
        </w:rPr>
      </w:pPr>
    </w:p>
    <w:p w:rsidR="00FE514C" w:rsidRDefault="00FE514C" w:rsidP="00C16DDB">
      <w:pPr>
        <w:jc w:val="both"/>
        <w:rPr>
          <w:rFonts w:ascii="Calibri" w:hAnsi="Calibri" w:cs="Calibri"/>
          <w:b/>
          <w:sz w:val="24"/>
          <w:szCs w:val="24"/>
        </w:rPr>
      </w:pPr>
    </w:p>
    <w:p w:rsidR="00C16DDB" w:rsidRPr="00312424" w:rsidRDefault="002500FC" w:rsidP="00C16DDB">
      <w:pPr>
        <w:jc w:val="both"/>
        <w:rPr>
          <w:rFonts w:ascii="Calibri" w:hAnsi="Calibri" w:cs="Calibri"/>
          <w:b/>
          <w:sz w:val="24"/>
          <w:szCs w:val="24"/>
          <w:u w:val="single"/>
        </w:rPr>
      </w:pPr>
      <w:r>
        <w:rPr>
          <w:rFonts w:ascii="Calibri" w:hAnsi="Calibri" w:cs="Calibri"/>
          <w:b/>
          <w:sz w:val="24"/>
          <w:szCs w:val="24"/>
        </w:rPr>
        <w:lastRenderedPageBreak/>
        <w:t>20</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CAPITAL SOCIAL</w:t>
      </w:r>
    </w:p>
    <w:p w:rsidR="00C16DDB" w:rsidRPr="00312424" w:rsidRDefault="00C16DDB" w:rsidP="00C16DDB">
      <w:pPr>
        <w:jc w:val="both"/>
        <w:rPr>
          <w:rFonts w:ascii="Calibri" w:hAnsi="Calibri" w:cs="Calibri"/>
          <w:sz w:val="24"/>
          <w:szCs w:val="24"/>
          <w:highlight w:val="magenta"/>
        </w:rPr>
      </w:pPr>
    </w:p>
    <w:p w:rsidR="00C16DDB" w:rsidRDefault="00C16DDB" w:rsidP="00C16DDB">
      <w:pPr>
        <w:jc w:val="both"/>
        <w:rPr>
          <w:rFonts w:ascii="Calibri" w:hAnsi="Calibri" w:cs="Calibri"/>
          <w:sz w:val="24"/>
          <w:szCs w:val="24"/>
        </w:rPr>
      </w:pPr>
      <w:r w:rsidRPr="00312424">
        <w:rPr>
          <w:rFonts w:ascii="Calibri" w:hAnsi="Calibri" w:cs="Calibri"/>
          <w:sz w:val="24"/>
          <w:szCs w:val="24"/>
        </w:rPr>
        <w:t>O Capital Social</w:t>
      </w:r>
      <w:r w:rsidR="003D77DC">
        <w:rPr>
          <w:rFonts w:ascii="Calibri" w:hAnsi="Calibri" w:cs="Calibri"/>
          <w:sz w:val="24"/>
          <w:szCs w:val="24"/>
        </w:rPr>
        <w:t>,</w:t>
      </w:r>
      <w:r w:rsidRPr="00312424">
        <w:rPr>
          <w:rFonts w:ascii="Calibri" w:hAnsi="Calibri" w:cs="Calibri"/>
          <w:sz w:val="24"/>
          <w:szCs w:val="24"/>
        </w:rPr>
        <w:t xml:space="preserve"> no montante de R$ 2.455.537 mil está representado por 1.222.461.</w:t>
      </w:r>
      <w:r w:rsidR="00B22F57">
        <w:rPr>
          <w:rFonts w:ascii="Calibri" w:hAnsi="Calibri" w:cs="Calibri"/>
          <w:sz w:val="24"/>
          <w:szCs w:val="24"/>
        </w:rPr>
        <w:t>484</w:t>
      </w:r>
      <w:r w:rsidRPr="00312424">
        <w:rPr>
          <w:rFonts w:ascii="Calibri" w:hAnsi="Calibri" w:cs="Calibri"/>
          <w:sz w:val="24"/>
          <w:szCs w:val="24"/>
        </w:rPr>
        <w:t xml:space="preserve"> ações:</w:t>
      </w:r>
    </w:p>
    <w:p w:rsidR="00B22F57" w:rsidRDefault="00B22F57" w:rsidP="00C16DDB">
      <w:pPr>
        <w:jc w:val="both"/>
        <w:rPr>
          <w:rFonts w:ascii="Calibri" w:hAnsi="Calibri" w:cs="Calibri"/>
          <w:sz w:val="24"/>
          <w:szCs w:val="24"/>
        </w:rPr>
      </w:pPr>
    </w:p>
    <w:tbl>
      <w:tblPr>
        <w:tblW w:w="8564" w:type="dxa"/>
        <w:jc w:val="center"/>
        <w:tblCellMar>
          <w:left w:w="70" w:type="dxa"/>
          <w:right w:w="70" w:type="dxa"/>
        </w:tblCellMar>
        <w:tblLook w:val="04A0" w:firstRow="1" w:lastRow="0" w:firstColumn="1" w:lastColumn="0" w:noHBand="0" w:noVBand="1"/>
      </w:tblPr>
      <w:tblGrid>
        <w:gridCol w:w="3104"/>
        <w:gridCol w:w="1820"/>
        <w:gridCol w:w="1820"/>
        <w:gridCol w:w="1820"/>
      </w:tblGrid>
      <w:tr w:rsidR="00B22F57" w:rsidRPr="00B22F57" w:rsidTr="00857F3A">
        <w:trPr>
          <w:trHeight w:val="284"/>
          <w:jc w:val="center"/>
        </w:trPr>
        <w:tc>
          <w:tcPr>
            <w:tcW w:w="3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F57" w:rsidRPr="00B22F57" w:rsidRDefault="00B22F57" w:rsidP="00B22F57">
            <w:pPr>
              <w:widowControl/>
              <w:jc w:val="center"/>
              <w:rPr>
                <w:rFonts w:ascii="Calibri" w:hAnsi="Calibri" w:cs="Calibri"/>
                <w:b/>
                <w:bCs/>
                <w:snapToGrid/>
                <w:color w:val="000000"/>
                <w:sz w:val="24"/>
                <w:szCs w:val="24"/>
              </w:rPr>
            </w:pPr>
            <w:r w:rsidRPr="00B22F57">
              <w:rPr>
                <w:rFonts w:ascii="Calibri" w:hAnsi="Calibri" w:cs="Calibri"/>
                <w:b/>
                <w:bCs/>
                <w:snapToGrid/>
                <w:color w:val="000000"/>
                <w:sz w:val="24"/>
                <w:szCs w:val="24"/>
              </w:rPr>
              <w:t>Acionistas</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center"/>
              <w:rPr>
                <w:rFonts w:ascii="Calibri" w:hAnsi="Calibri" w:cs="Calibri"/>
                <w:b/>
                <w:bCs/>
                <w:snapToGrid/>
                <w:color w:val="000000"/>
                <w:sz w:val="24"/>
                <w:szCs w:val="24"/>
              </w:rPr>
            </w:pPr>
            <w:r w:rsidRPr="00B22F57">
              <w:rPr>
                <w:rFonts w:ascii="Calibri" w:hAnsi="Calibri" w:cs="Calibri"/>
                <w:b/>
                <w:bCs/>
                <w:snapToGrid/>
                <w:color w:val="000000"/>
                <w:sz w:val="24"/>
                <w:szCs w:val="24"/>
              </w:rPr>
              <w:t>Ordinárias</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center"/>
              <w:rPr>
                <w:rFonts w:ascii="Calibri" w:hAnsi="Calibri" w:cs="Calibri"/>
                <w:b/>
                <w:bCs/>
                <w:snapToGrid/>
                <w:color w:val="000000"/>
                <w:sz w:val="24"/>
                <w:szCs w:val="24"/>
              </w:rPr>
            </w:pPr>
            <w:r w:rsidRPr="00B22F57">
              <w:rPr>
                <w:rFonts w:ascii="Calibri" w:hAnsi="Calibri" w:cs="Calibri"/>
                <w:b/>
                <w:bCs/>
                <w:snapToGrid/>
                <w:color w:val="000000"/>
                <w:sz w:val="24"/>
                <w:szCs w:val="24"/>
              </w:rPr>
              <w:t>Preferenciais</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center"/>
              <w:rPr>
                <w:rFonts w:ascii="Calibri" w:hAnsi="Calibri" w:cs="Calibri"/>
                <w:b/>
                <w:bCs/>
                <w:snapToGrid/>
                <w:color w:val="000000"/>
                <w:sz w:val="24"/>
                <w:szCs w:val="24"/>
              </w:rPr>
            </w:pPr>
            <w:r w:rsidRPr="00B22F57">
              <w:rPr>
                <w:rFonts w:ascii="Calibri" w:hAnsi="Calibri" w:cs="Calibri"/>
                <w:b/>
                <w:bCs/>
                <w:snapToGrid/>
                <w:color w:val="000000"/>
                <w:sz w:val="24"/>
                <w:szCs w:val="24"/>
              </w:rPr>
              <w:t>Total</w:t>
            </w:r>
          </w:p>
        </w:tc>
      </w:tr>
      <w:tr w:rsidR="00B22F57" w:rsidRPr="00B22F57" w:rsidTr="00857F3A">
        <w:trPr>
          <w:trHeight w:val="284"/>
          <w:jc w:val="center"/>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B22F57" w:rsidRPr="00B22F57" w:rsidRDefault="00B22F57" w:rsidP="00B22F57">
            <w:pPr>
              <w:widowControl/>
              <w:rPr>
                <w:rFonts w:ascii="Calibri" w:hAnsi="Calibri" w:cs="Calibri"/>
                <w:snapToGrid/>
                <w:color w:val="000000"/>
                <w:sz w:val="24"/>
                <w:szCs w:val="24"/>
              </w:rPr>
            </w:pPr>
            <w:r w:rsidRPr="00B22F57">
              <w:rPr>
                <w:rFonts w:ascii="Calibri" w:hAnsi="Calibri" w:cs="Calibri"/>
                <w:snapToGrid/>
                <w:color w:val="000000"/>
                <w:sz w:val="24"/>
                <w:szCs w:val="24"/>
              </w:rPr>
              <w:t>União</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right"/>
              <w:rPr>
                <w:rFonts w:ascii="Calibri" w:hAnsi="Calibri" w:cs="Calibri"/>
                <w:snapToGrid/>
                <w:color w:val="000000"/>
                <w:sz w:val="24"/>
                <w:szCs w:val="24"/>
              </w:rPr>
            </w:pPr>
            <w:r w:rsidRPr="00B22F57">
              <w:rPr>
                <w:rFonts w:ascii="Calibri" w:hAnsi="Calibri" w:cs="Calibri"/>
                <w:snapToGrid/>
                <w:color w:val="000000"/>
                <w:sz w:val="24"/>
                <w:szCs w:val="24"/>
              </w:rPr>
              <w:t>611.151.091</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right"/>
              <w:rPr>
                <w:rFonts w:ascii="Calibri" w:hAnsi="Calibri" w:cs="Calibri"/>
                <w:snapToGrid/>
                <w:color w:val="000000"/>
                <w:sz w:val="24"/>
                <w:szCs w:val="24"/>
              </w:rPr>
            </w:pPr>
            <w:r w:rsidRPr="00B22F57">
              <w:rPr>
                <w:rFonts w:ascii="Calibri" w:hAnsi="Calibri" w:cs="Calibri"/>
                <w:snapToGrid/>
                <w:color w:val="000000"/>
                <w:sz w:val="24"/>
                <w:szCs w:val="24"/>
              </w:rPr>
              <w:t>611.151.092</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right"/>
              <w:rPr>
                <w:rFonts w:ascii="Calibri" w:hAnsi="Calibri" w:cs="Calibri"/>
                <w:snapToGrid/>
                <w:color w:val="000000"/>
                <w:sz w:val="24"/>
                <w:szCs w:val="24"/>
              </w:rPr>
            </w:pPr>
            <w:r w:rsidRPr="00B22F57">
              <w:rPr>
                <w:rFonts w:ascii="Calibri" w:hAnsi="Calibri" w:cs="Calibri"/>
                <w:snapToGrid/>
                <w:color w:val="000000"/>
                <w:sz w:val="24"/>
                <w:szCs w:val="24"/>
              </w:rPr>
              <w:t>1.222.302.183</w:t>
            </w:r>
          </w:p>
        </w:tc>
      </w:tr>
      <w:tr w:rsidR="00B22F57" w:rsidRPr="00B22F57" w:rsidTr="00857F3A">
        <w:trPr>
          <w:trHeight w:val="284"/>
          <w:jc w:val="center"/>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B22F57" w:rsidRPr="00B22F57" w:rsidRDefault="00B22F57" w:rsidP="00B22F57">
            <w:pPr>
              <w:widowControl/>
              <w:rPr>
                <w:rFonts w:ascii="Calibri" w:hAnsi="Calibri" w:cs="Calibri"/>
                <w:snapToGrid/>
                <w:color w:val="000000"/>
                <w:sz w:val="24"/>
                <w:szCs w:val="24"/>
              </w:rPr>
            </w:pPr>
            <w:r w:rsidRPr="00B22F57">
              <w:rPr>
                <w:rFonts w:ascii="Calibri" w:hAnsi="Calibri" w:cs="Calibri"/>
                <w:snapToGrid/>
                <w:color w:val="000000"/>
                <w:sz w:val="24"/>
                <w:szCs w:val="24"/>
              </w:rPr>
              <w:t>Estado do Rio de Janeiro</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right"/>
              <w:rPr>
                <w:rFonts w:ascii="Calibri" w:hAnsi="Calibri" w:cs="Calibri"/>
                <w:snapToGrid/>
                <w:color w:val="000000"/>
                <w:sz w:val="24"/>
                <w:szCs w:val="24"/>
              </w:rPr>
            </w:pPr>
            <w:r w:rsidRPr="00B22F57">
              <w:rPr>
                <w:rFonts w:ascii="Calibri" w:hAnsi="Calibri" w:cs="Calibri"/>
                <w:snapToGrid/>
                <w:color w:val="000000"/>
                <w:sz w:val="24"/>
                <w:szCs w:val="24"/>
              </w:rPr>
              <w:t>79.651</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right"/>
              <w:rPr>
                <w:rFonts w:ascii="Calibri" w:hAnsi="Calibri" w:cs="Calibri"/>
                <w:snapToGrid/>
                <w:color w:val="000000"/>
                <w:sz w:val="24"/>
                <w:szCs w:val="24"/>
              </w:rPr>
            </w:pPr>
            <w:r w:rsidRPr="00B22F57">
              <w:rPr>
                <w:rFonts w:ascii="Calibri" w:hAnsi="Calibri" w:cs="Calibri"/>
                <w:snapToGrid/>
                <w:color w:val="000000"/>
                <w:sz w:val="24"/>
                <w:szCs w:val="24"/>
              </w:rPr>
              <w:t>79.650</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right"/>
              <w:rPr>
                <w:rFonts w:ascii="Calibri" w:hAnsi="Calibri" w:cs="Calibri"/>
                <w:snapToGrid/>
                <w:color w:val="000000"/>
                <w:sz w:val="24"/>
                <w:szCs w:val="24"/>
              </w:rPr>
            </w:pPr>
            <w:r w:rsidRPr="00B22F57">
              <w:rPr>
                <w:rFonts w:ascii="Calibri" w:hAnsi="Calibri" w:cs="Calibri"/>
                <w:snapToGrid/>
                <w:color w:val="000000"/>
                <w:sz w:val="24"/>
                <w:szCs w:val="24"/>
              </w:rPr>
              <w:t>159.301</w:t>
            </w:r>
          </w:p>
        </w:tc>
      </w:tr>
      <w:tr w:rsidR="00B22F57" w:rsidRPr="005D7DDB" w:rsidTr="00857F3A">
        <w:trPr>
          <w:trHeight w:val="284"/>
          <w:jc w:val="center"/>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B22F57" w:rsidRPr="005D7DDB" w:rsidRDefault="005D7DDB" w:rsidP="00B22F57">
            <w:pPr>
              <w:widowControl/>
              <w:rPr>
                <w:rFonts w:ascii="Calibri" w:hAnsi="Calibri" w:cs="Calibri"/>
                <w:b/>
                <w:snapToGrid/>
                <w:color w:val="000000"/>
                <w:sz w:val="24"/>
                <w:szCs w:val="24"/>
              </w:rPr>
            </w:pPr>
            <w:r w:rsidRPr="005D7DDB">
              <w:rPr>
                <w:rFonts w:ascii="Calibri" w:hAnsi="Calibri" w:cs="Calibri"/>
                <w:b/>
                <w:snapToGrid/>
                <w:color w:val="000000"/>
                <w:sz w:val="24"/>
                <w:szCs w:val="24"/>
              </w:rPr>
              <w:t>Totais</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5D7DDB" w:rsidRDefault="00B22F57" w:rsidP="00B22F57">
            <w:pPr>
              <w:widowControl/>
              <w:jc w:val="right"/>
              <w:rPr>
                <w:rFonts w:ascii="Calibri" w:hAnsi="Calibri" w:cs="Calibri"/>
                <w:b/>
                <w:snapToGrid/>
                <w:color w:val="000000"/>
                <w:sz w:val="24"/>
                <w:szCs w:val="24"/>
              </w:rPr>
            </w:pPr>
            <w:r w:rsidRPr="005D7DDB">
              <w:rPr>
                <w:rFonts w:ascii="Calibri" w:hAnsi="Calibri" w:cs="Calibri"/>
                <w:b/>
                <w:snapToGrid/>
                <w:color w:val="000000"/>
                <w:sz w:val="24"/>
                <w:szCs w:val="24"/>
              </w:rPr>
              <w:t>611.230.742</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5D7DDB" w:rsidRDefault="00B22F57" w:rsidP="00B22F57">
            <w:pPr>
              <w:widowControl/>
              <w:jc w:val="right"/>
              <w:rPr>
                <w:rFonts w:ascii="Calibri" w:hAnsi="Calibri" w:cs="Calibri"/>
                <w:b/>
                <w:snapToGrid/>
                <w:color w:val="000000"/>
                <w:sz w:val="24"/>
                <w:szCs w:val="24"/>
              </w:rPr>
            </w:pPr>
            <w:r w:rsidRPr="005D7DDB">
              <w:rPr>
                <w:rFonts w:ascii="Calibri" w:hAnsi="Calibri" w:cs="Calibri"/>
                <w:b/>
                <w:snapToGrid/>
                <w:color w:val="000000"/>
                <w:sz w:val="24"/>
                <w:szCs w:val="24"/>
              </w:rPr>
              <w:t>611.230.742</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5D7DDB" w:rsidRDefault="00B22F57" w:rsidP="00B22F57">
            <w:pPr>
              <w:widowControl/>
              <w:jc w:val="right"/>
              <w:rPr>
                <w:rFonts w:ascii="Calibri" w:hAnsi="Calibri" w:cs="Calibri"/>
                <w:b/>
                <w:snapToGrid/>
                <w:color w:val="000000"/>
                <w:sz w:val="24"/>
                <w:szCs w:val="24"/>
              </w:rPr>
            </w:pPr>
            <w:r w:rsidRPr="005D7DDB">
              <w:rPr>
                <w:rFonts w:ascii="Calibri" w:hAnsi="Calibri" w:cs="Calibri"/>
                <w:b/>
                <w:snapToGrid/>
                <w:color w:val="000000"/>
                <w:sz w:val="24"/>
                <w:szCs w:val="24"/>
              </w:rPr>
              <w:t>1.222.461.484</w:t>
            </w:r>
          </w:p>
        </w:tc>
      </w:tr>
    </w:tbl>
    <w:p w:rsidR="00925710" w:rsidRDefault="00925710" w:rsidP="00C16DDB">
      <w:pPr>
        <w:jc w:val="both"/>
        <w:rPr>
          <w:rFonts w:ascii="Calibri" w:hAnsi="Calibri" w:cs="Calibri"/>
          <w:sz w:val="24"/>
          <w:szCs w:val="24"/>
        </w:rPr>
      </w:pPr>
    </w:p>
    <w:p w:rsidR="00C16DDB" w:rsidRPr="00312424" w:rsidRDefault="00C16DDB" w:rsidP="00C16DDB">
      <w:pPr>
        <w:jc w:val="both"/>
        <w:rPr>
          <w:rFonts w:ascii="Calibri" w:hAnsi="Calibri" w:cs="Calibri"/>
          <w:sz w:val="24"/>
          <w:szCs w:val="24"/>
        </w:rPr>
      </w:pPr>
      <w:r w:rsidRPr="00312424">
        <w:rPr>
          <w:rFonts w:ascii="Calibri" w:hAnsi="Calibri" w:cs="Calibri"/>
          <w:sz w:val="24"/>
          <w:szCs w:val="24"/>
        </w:rPr>
        <w:t>O último aumento de Capital Social da Companhia foi homologado pela Assembleia Geral Extraordinária da Companhia Docas do Rio de Janeiro, no dia 11 de dezembro de 2015.</w:t>
      </w:r>
    </w:p>
    <w:p w:rsidR="00A05CB8" w:rsidRDefault="00A05CB8" w:rsidP="00C16DDB">
      <w:pPr>
        <w:jc w:val="both"/>
        <w:rPr>
          <w:rFonts w:ascii="Calibri" w:hAnsi="Calibri" w:cs="Calibri"/>
          <w:b/>
          <w:sz w:val="24"/>
          <w:szCs w:val="24"/>
        </w:rPr>
      </w:pPr>
    </w:p>
    <w:p w:rsidR="00707B6E" w:rsidRDefault="00707B6E" w:rsidP="00C16DDB">
      <w:pPr>
        <w:jc w:val="both"/>
        <w:rPr>
          <w:rFonts w:ascii="Calibri" w:hAnsi="Calibri" w:cs="Calibri"/>
          <w:b/>
          <w:sz w:val="24"/>
          <w:szCs w:val="24"/>
        </w:rPr>
      </w:pPr>
    </w:p>
    <w:p w:rsidR="00345CD5" w:rsidRPr="00312424" w:rsidRDefault="002500FC" w:rsidP="00345CD5">
      <w:pPr>
        <w:jc w:val="both"/>
        <w:rPr>
          <w:rFonts w:ascii="Calibri" w:hAnsi="Calibri" w:cs="Calibri"/>
          <w:b/>
          <w:sz w:val="24"/>
          <w:szCs w:val="24"/>
          <w:u w:val="single"/>
        </w:rPr>
      </w:pPr>
      <w:r>
        <w:rPr>
          <w:rFonts w:ascii="Calibri" w:hAnsi="Calibri" w:cs="Calibri"/>
          <w:b/>
          <w:sz w:val="24"/>
          <w:szCs w:val="24"/>
        </w:rPr>
        <w:t>21</w:t>
      </w:r>
      <w:r w:rsidR="00345CD5" w:rsidRPr="00312424">
        <w:rPr>
          <w:rFonts w:ascii="Calibri" w:hAnsi="Calibri" w:cs="Calibri"/>
          <w:b/>
          <w:sz w:val="24"/>
          <w:szCs w:val="24"/>
        </w:rPr>
        <w:t xml:space="preserve"> – </w:t>
      </w:r>
      <w:r w:rsidR="00345CD5">
        <w:rPr>
          <w:rFonts w:ascii="Calibri" w:hAnsi="Calibri" w:cs="Calibri"/>
          <w:b/>
          <w:sz w:val="24"/>
          <w:szCs w:val="24"/>
          <w:u w:val="single"/>
        </w:rPr>
        <w:t>RECEITA OPERACIONAL LÍQUIDA</w:t>
      </w:r>
    </w:p>
    <w:p w:rsidR="00345CD5" w:rsidRPr="00312424" w:rsidRDefault="00345CD5" w:rsidP="00345CD5">
      <w:pPr>
        <w:jc w:val="both"/>
        <w:rPr>
          <w:rFonts w:ascii="Calibri" w:hAnsi="Calibri" w:cs="Calibri"/>
          <w:b/>
          <w:sz w:val="24"/>
          <w:szCs w:val="24"/>
          <w:u w:val="single"/>
        </w:rPr>
      </w:pPr>
    </w:p>
    <w:p w:rsidR="00345CD5" w:rsidRDefault="00861708" w:rsidP="00345CD5">
      <w:pPr>
        <w:jc w:val="both"/>
        <w:rPr>
          <w:rFonts w:ascii="Calibri" w:hAnsi="Calibri" w:cs="Calibri"/>
          <w:sz w:val="24"/>
          <w:szCs w:val="24"/>
        </w:rPr>
      </w:pPr>
      <w:r>
        <w:rPr>
          <w:rFonts w:ascii="Calibri" w:hAnsi="Calibri" w:cs="Calibri"/>
          <w:sz w:val="24"/>
          <w:szCs w:val="24"/>
        </w:rPr>
        <w:t>A Receita Operacional Líquida está composta da seguinte maneira:</w:t>
      </w:r>
    </w:p>
    <w:p w:rsidR="00345CD5" w:rsidRDefault="00345CD5" w:rsidP="00345CD5">
      <w:pPr>
        <w:jc w:val="both"/>
        <w:rPr>
          <w:rFonts w:ascii="Calibri" w:hAnsi="Calibri" w:cs="Calibri"/>
          <w:sz w:val="24"/>
          <w:szCs w:val="24"/>
        </w:rPr>
      </w:pPr>
    </w:p>
    <w:tbl>
      <w:tblPr>
        <w:tblW w:w="6840" w:type="dxa"/>
        <w:jc w:val="center"/>
        <w:tblCellMar>
          <w:left w:w="70" w:type="dxa"/>
          <w:right w:w="70" w:type="dxa"/>
        </w:tblCellMar>
        <w:tblLook w:val="04A0" w:firstRow="1" w:lastRow="0" w:firstColumn="1" w:lastColumn="0" w:noHBand="0" w:noVBand="1"/>
      </w:tblPr>
      <w:tblGrid>
        <w:gridCol w:w="3320"/>
        <w:gridCol w:w="1760"/>
        <w:gridCol w:w="1760"/>
      </w:tblGrid>
      <w:tr w:rsidR="00345CD5" w:rsidRPr="002060DA" w:rsidTr="00184338">
        <w:trPr>
          <w:trHeight w:val="284"/>
          <w:jc w:val="center"/>
        </w:trPr>
        <w:tc>
          <w:tcPr>
            <w:tcW w:w="3320" w:type="dxa"/>
            <w:tcBorders>
              <w:top w:val="nil"/>
              <w:left w:val="nil"/>
              <w:bottom w:val="single" w:sz="4" w:space="0" w:color="auto"/>
              <w:right w:val="single" w:sz="4" w:space="0" w:color="auto"/>
            </w:tcBorders>
            <w:shd w:val="clear" w:color="auto" w:fill="auto"/>
            <w:noWrap/>
            <w:vAlign w:val="bottom"/>
            <w:hideMark/>
          </w:tcPr>
          <w:p w:rsidR="00345CD5" w:rsidRPr="002060DA" w:rsidRDefault="00345CD5" w:rsidP="00184338">
            <w:pPr>
              <w:widowControl/>
              <w:rPr>
                <w:rFonts w:ascii="Calibri" w:hAnsi="Calibri" w:cs="Calibri"/>
                <w:snapToGrid/>
                <w:color w:val="000000"/>
                <w:sz w:val="24"/>
                <w:szCs w:val="24"/>
              </w:rPr>
            </w:pPr>
            <w:r w:rsidRPr="002060DA">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5CD5" w:rsidRPr="002060DA" w:rsidRDefault="00345CD5" w:rsidP="00184338">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5CD5" w:rsidRPr="002060DA" w:rsidRDefault="00345CD5" w:rsidP="00184338">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w:t>
            </w:r>
            <w:r w:rsidRPr="002060DA">
              <w:rPr>
                <w:rFonts w:ascii="Calibri" w:hAnsi="Calibri" w:cs="Calibri"/>
                <w:b/>
                <w:bCs/>
                <w:snapToGrid/>
                <w:color w:val="000000"/>
                <w:sz w:val="24"/>
                <w:szCs w:val="24"/>
              </w:rPr>
              <w:t>/</w:t>
            </w:r>
            <w:r>
              <w:rPr>
                <w:rFonts w:ascii="Calibri" w:hAnsi="Calibri" w:cs="Calibri"/>
                <w:b/>
                <w:bCs/>
                <w:snapToGrid/>
                <w:color w:val="000000"/>
                <w:sz w:val="24"/>
                <w:szCs w:val="24"/>
              </w:rPr>
              <w:t>12</w:t>
            </w:r>
            <w:r w:rsidRPr="002060DA">
              <w:rPr>
                <w:rFonts w:ascii="Calibri" w:hAnsi="Calibri" w:cs="Calibri"/>
                <w:b/>
                <w:bCs/>
                <w:snapToGrid/>
                <w:color w:val="000000"/>
                <w:sz w:val="24"/>
                <w:szCs w:val="24"/>
              </w:rPr>
              <w:t>/201</w:t>
            </w:r>
            <w:r>
              <w:rPr>
                <w:rFonts w:ascii="Calibri" w:hAnsi="Calibri" w:cs="Calibri"/>
                <w:b/>
                <w:bCs/>
                <w:snapToGrid/>
                <w:color w:val="000000"/>
                <w:sz w:val="24"/>
                <w:szCs w:val="24"/>
              </w:rPr>
              <w:t>8</w:t>
            </w:r>
          </w:p>
        </w:tc>
      </w:tr>
      <w:tr w:rsidR="00345CD5" w:rsidRPr="002060DA" w:rsidTr="00345CD5">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5CD5" w:rsidRPr="002060DA" w:rsidRDefault="00345CD5" w:rsidP="00184338">
            <w:pPr>
              <w:widowControl/>
              <w:rPr>
                <w:rFonts w:ascii="Calibri" w:hAnsi="Calibri" w:cs="Calibri"/>
                <w:snapToGrid/>
                <w:color w:val="000000"/>
                <w:sz w:val="24"/>
                <w:szCs w:val="24"/>
              </w:rPr>
            </w:pPr>
            <w:r>
              <w:rPr>
                <w:rFonts w:ascii="Calibri" w:hAnsi="Calibri" w:cs="Calibri"/>
                <w:snapToGrid/>
                <w:color w:val="000000"/>
                <w:sz w:val="24"/>
                <w:szCs w:val="24"/>
              </w:rPr>
              <w:t>Receita com Arrendamentos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5CD5" w:rsidRPr="002060DA" w:rsidRDefault="00345CD5" w:rsidP="00184338">
            <w:pPr>
              <w:widowControl/>
              <w:jc w:val="right"/>
              <w:rPr>
                <w:rFonts w:ascii="Calibri" w:hAnsi="Calibri" w:cs="Calibri"/>
                <w:snapToGrid/>
                <w:color w:val="000000"/>
                <w:sz w:val="24"/>
                <w:szCs w:val="24"/>
              </w:rPr>
            </w:pPr>
            <w:r>
              <w:rPr>
                <w:rFonts w:ascii="Calibri" w:hAnsi="Calibri" w:cs="Calibri"/>
                <w:snapToGrid/>
                <w:color w:val="000000"/>
                <w:sz w:val="24"/>
                <w:szCs w:val="24"/>
              </w:rPr>
              <w:t>405.168</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5CD5" w:rsidRPr="002060DA" w:rsidRDefault="00861708" w:rsidP="00184338">
            <w:pPr>
              <w:widowControl/>
              <w:jc w:val="right"/>
              <w:rPr>
                <w:rFonts w:ascii="Calibri" w:hAnsi="Calibri" w:cs="Calibri"/>
                <w:snapToGrid/>
                <w:color w:val="000000"/>
                <w:sz w:val="24"/>
                <w:szCs w:val="24"/>
              </w:rPr>
            </w:pPr>
            <w:r>
              <w:rPr>
                <w:rFonts w:ascii="Calibri" w:hAnsi="Calibri" w:cs="Calibri"/>
                <w:snapToGrid/>
                <w:color w:val="000000"/>
                <w:sz w:val="24"/>
                <w:szCs w:val="24"/>
              </w:rPr>
              <w:t>346.659</w:t>
            </w:r>
          </w:p>
        </w:tc>
      </w:tr>
      <w:tr w:rsidR="00345CD5" w:rsidRPr="002060DA" w:rsidTr="00345CD5">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5CD5" w:rsidRPr="002060DA" w:rsidRDefault="00345CD5" w:rsidP="00184338">
            <w:pPr>
              <w:widowControl/>
              <w:rPr>
                <w:rFonts w:ascii="Calibri" w:hAnsi="Calibri" w:cs="Calibri"/>
                <w:snapToGrid/>
                <w:color w:val="000000"/>
                <w:sz w:val="24"/>
                <w:szCs w:val="24"/>
              </w:rPr>
            </w:pPr>
            <w:r>
              <w:rPr>
                <w:rFonts w:ascii="Calibri" w:hAnsi="Calibri" w:cs="Calibri"/>
                <w:snapToGrid/>
                <w:color w:val="000000"/>
                <w:sz w:val="24"/>
                <w:szCs w:val="24"/>
              </w:rPr>
              <w:t>Receitas Tarifárias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5CD5" w:rsidRPr="002060DA" w:rsidRDefault="00345CD5" w:rsidP="00184338">
            <w:pPr>
              <w:widowControl/>
              <w:jc w:val="right"/>
              <w:rPr>
                <w:rFonts w:ascii="Calibri" w:hAnsi="Calibri" w:cs="Calibri"/>
                <w:snapToGrid/>
                <w:color w:val="000000"/>
                <w:sz w:val="24"/>
                <w:szCs w:val="24"/>
              </w:rPr>
            </w:pPr>
            <w:r>
              <w:rPr>
                <w:rFonts w:ascii="Calibri" w:hAnsi="Calibri" w:cs="Calibri"/>
                <w:snapToGrid/>
                <w:color w:val="000000"/>
                <w:sz w:val="24"/>
                <w:szCs w:val="24"/>
              </w:rPr>
              <w:t>104.778</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5CD5" w:rsidRPr="002060DA" w:rsidRDefault="00861708" w:rsidP="00184338">
            <w:pPr>
              <w:widowControl/>
              <w:jc w:val="right"/>
              <w:rPr>
                <w:rFonts w:ascii="Calibri" w:hAnsi="Calibri" w:cs="Calibri"/>
                <w:snapToGrid/>
                <w:color w:val="000000"/>
                <w:sz w:val="24"/>
                <w:szCs w:val="24"/>
              </w:rPr>
            </w:pPr>
            <w:r>
              <w:rPr>
                <w:rFonts w:ascii="Calibri" w:hAnsi="Calibri" w:cs="Calibri"/>
                <w:snapToGrid/>
                <w:color w:val="000000"/>
                <w:sz w:val="24"/>
                <w:szCs w:val="24"/>
              </w:rPr>
              <w:t>97.615</w:t>
            </w:r>
          </w:p>
        </w:tc>
      </w:tr>
      <w:tr w:rsidR="00345CD5" w:rsidRPr="002060DA" w:rsidTr="00345CD5">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5CD5" w:rsidRPr="002060DA" w:rsidRDefault="00345CD5" w:rsidP="00184338">
            <w:pPr>
              <w:widowControl/>
              <w:rPr>
                <w:rFonts w:ascii="Calibri" w:hAnsi="Calibri" w:cs="Calibri"/>
                <w:snapToGrid/>
                <w:color w:val="000000"/>
                <w:sz w:val="24"/>
                <w:szCs w:val="24"/>
              </w:rPr>
            </w:pPr>
            <w:r>
              <w:rPr>
                <w:rFonts w:ascii="Calibri" w:hAnsi="Calibri" w:cs="Calibri"/>
                <w:snapToGrid/>
                <w:color w:val="000000"/>
                <w:sz w:val="24"/>
                <w:szCs w:val="24"/>
              </w:rPr>
              <w:t>Impostos Federais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5CD5" w:rsidRPr="002060DA" w:rsidRDefault="00345CD5" w:rsidP="00184338">
            <w:pPr>
              <w:widowControl/>
              <w:jc w:val="right"/>
              <w:rPr>
                <w:rFonts w:ascii="Calibri" w:hAnsi="Calibri" w:cs="Calibri"/>
                <w:snapToGrid/>
                <w:color w:val="000000"/>
                <w:sz w:val="24"/>
                <w:szCs w:val="24"/>
              </w:rPr>
            </w:pPr>
            <w:r>
              <w:rPr>
                <w:rFonts w:ascii="Calibri" w:hAnsi="Calibri" w:cs="Calibri"/>
                <w:snapToGrid/>
                <w:color w:val="000000"/>
                <w:sz w:val="24"/>
                <w:szCs w:val="24"/>
              </w:rPr>
              <w:t>(48.116)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5CD5" w:rsidRPr="002060DA" w:rsidRDefault="00861708" w:rsidP="00184338">
            <w:pPr>
              <w:widowControl/>
              <w:jc w:val="right"/>
              <w:rPr>
                <w:rFonts w:ascii="Calibri" w:hAnsi="Calibri" w:cs="Calibri"/>
                <w:snapToGrid/>
                <w:color w:val="000000"/>
                <w:sz w:val="24"/>
                <w:szCs w:val="24"/>
              </w:rPr>
            </w:pPr>
            <w:r>
              <w:rPr>
                <w:rFonts w:ascii="Calibri" w:hAnsi="Calibri" w:cs="Calibri"/>
                <w:snapToGrid/>
                <w:color w:val="000000"/>
                <w:sz w:val="24"/>
                <w:szCs w:val="24"/>
              </w:rPr>
              <w:t>(42.469)</w:t>
            </w:r>
          </w:p>
        </w:tc>
      </w:tr>
      <w:tr w:rsidR="00345CD5" w:rsidRPr="002060DA" w:rsidTr="00345CD5">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5CD5" w:rsidRPr="002060DA" w:rsidRDefault="00345CD5" w:rsidP="00184338">
            <w:pPr>
              <w:widowControl/>
              <w:rPr>
                <w:rFonts w:ascii="Calibri" w:hAnsi="Calibri" w:cs="Calibri"/>
                <w:snapToGrid/>
                <w:color w:val="000000"/>
                <w:sz w:val="24"/>
                <w:szCs w:val="24"/>
              </w:rPr>
            </w:pPr>
            <w:r>
              <w:rPr>
                <w:rFonts w:ascii="Calibri" w:hAnsi="Calibri" w:cs="Calibri"/>
                <w:snapToGrid/>
                <w:color w:val="000000"/>
                <w:sz w:val="24"/>
                <w:szCs w:val="24"/>
              </w:rPr>
              <w:t>Impostos Municipais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5CD5" w:rsidRPr="002060DA" w:rsidRDefault="00345CD5" w:rsidP="00184338">
            <w:pPr>
              <w:widowControl/>
              <w:jc w:val="right"/>
              <w:rPr>
                <w:rFonts w:ascii="Calibri" w:hAnsi="Calibri" w:cs="Calibri"/>
                <w:snapToGrid/>
                <w:color w:val="000000"/>
                <w:sz w:val="24"/>
                <w:szCs w:val="24"/>
              </w:rPr>
            </w:pPr>
            <w:r>
              <w:rPr>
                <w:rFonts w:ascii="Calibri" w:hAnsi="Calibri" w:cs="Calibri"/>
                <w:snapToGrid/>
                <w:color w:val="000000"/>
                <w:sz w:val="24"/>
                <w:szCs w:val="24"/>
              </w:rPr>
              <w:t>(1.136)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5CD5" w:rsidRPr="002060DA" w:rsidRDefault="00861708" w:rsidP="00184338">
            <w:pPr>
              <w:widowControl/>
              <w:jc w:val="right"/>
              <w:rPr>
                <w:rFonts w:ascii="Calibri" w:hAnsi="Calibri" w:cs="Calibri"/>
                <w:snapToGrid/>
                <w:color w:val="000000"/>
                <w:sz w:val="24"/>
                <w:szCs w:val="24"/>
              </w:rPr>
            </w:pPr>
            <w:r>
              <w:rPr>
                <w:rFonts w:ascii="Calibri" w:hAnsi="Calibri" w:cs="Calibri"/>
                <w:snapToGrid/>
                <w:color w:val="000000"/>
                <w:sz w:val="24"/>
                <w:szCs w:val="24"/>
              </w:rPr>
              <w:t>(655)</w:t>
            </w:r>
          </w:p>
        </w:tc>
      </w:tr>
      <w:tr w:rsidR="00345CD5" w:rsidRPr="002060DA" w:rsidTr="00184338">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5CD5" w:rsidRPr="002060DA" w:rsidRDefault="00345CD5" w:rsidP="00184338">
            <w:pPr>
              <w:widowControl/>
              <w:rPr>
                <w:rFonts w:ascii="Calibri" w:hAnsi="Calibri" w:cs="Calibri"/>
                <w:b/>
                <w:bCs/>
                <w:snapToGrid/>
                <w:color w:val="000000"/>
                <w:sz w:val="24"/>
                <w:szCs w:val="24"/>
              </w:rPr>
            </w:pPr>
            <w:r>
              <w:rPr>
                <w:rFonts w:ascii="Calibri" w:hAnsi="Calibri" w:cs="Calibri"/>
                <w:b/>
                <w:bCs/>
                <w:snapToGrid/>
                <w:color w:val="000000"/>
                <w:sz w:val="24"/>
                <w:szCs w:val="24"/>
              </w:rPr>
              <w:t>Receita Líquida</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5CD5" w:rsidRPr="002060DA" w:rsidRDefault="00345CD5" w:rsidP="00345CD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460.694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5CD5" w:rsidRPr="002060DA" w:rsidRDefault="00345CD5" w:rsidP="00345CD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401.150</w:t>
            </w:r>
          </w:p>
        </w:tc>
      </w:tr>
    </w:tbl>
    <w:p w:rsidR="00345CD5" w:rsidRDefault="00345CD5" w:rsidP="00C16DDB">
      <w:pPr>
        <w:jc w:val="both"/>
        <w:rPr>
          <w:rFonts w:ascii="Calibri" w:hAnsi="Calibri" w:cs="Calibri"/>
          <w:b/>
          <w:sz w:val="24"/>
          <w:szCs w:val="24"/>
        </w:rPr>
      </w:pPr>
    </w:p>
    <w:p w:rsidR="001C4695" w:rsidRDefault="001C4695" w:rsidP="00C16DDB">
      <w:pPr>
        <w:jc w:val="both"/>
        <w:rPr>
          <w:rFonts w:ascii="Calibri" w:hAnsi="Calibri" w:cs="Calibri"/>
          <w:b/>
          <w:sz w:val="24"/>
          <w:szCs w:val="24"/>
        </w:rPr>
      </w:pPr>
    </w:p>
    <w:p w:rsidR="00C16DDB" w:rsidRPr="00312424" w:rsidRDefault="002500FC" w:rsidP="00C16DDB">
      <w:pPr>
        <w:jc w:val="both"/>
        <w:rPr>
          <w:rFonts w:ascii="Calibri" w:hAnsi="Calibri" w:cs="Calibri"/>
          <w:b/>
          <w:sz w:val="24"/>
          <w:szCs w:val="24"/>
          <w:u w:val="single"/>
        </w:rPr>
      </w:pPr>
      <w:r>
        <w:rPr>
          <w:rFonts w:ascii="Calibri" w:hAnsi="Calibri" w:cs="Calibri"/>
          <w:b/>
          <w:sz w:val="24"/>
          <w:szCs w:val="24"/>
        </w:rPr>
        <w:t>22</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CUSTOS DA OPERAÇÃO</w:t>
      </w:r>
    </w:p>
    <w:p w:rsidR="00C16DDB" w:rsidRPr="00312424" w:rsidRDefault="00C16DDB" w:rsidP="00C16DDB">
      <w:pPr>
        <w:jc w:val="both"/>
        <w:rPr>
          <w:rFonts w:ascii="Calibri" w:hAnsi="Calibri" w:cs="Calibri"/>
          <w:b/>
          <w:sz w:val="24"/>
          <w:szCs w:val="24"/>
          <w:u w:val="single"/>
        </w:rPr>
      </w:pPr>
    </w:p>
    <w:p w:rsidR="00FD1B30" w:rsidRDefault="00C16DDB" w:rsidP="00C16DDB">
      <w:pPr>
        <w:jc w:val="both"/>
        <w:rPr>
          <w:rFonts w:ascii="Calibri" w:hAnsi="Calibri" w:cs="Calibri"/>
          <w:sz w:val="24"/>
          <w:szCs w:val="24"/>
        </w:rPr>
      </w:pPr>
      <w:r w:rsidRPr="00312424">
        <w:rPr>
          <w:rFonts w:ascii="Calibri" w:hAnsi="Calibri" w:cs="Calibri"/>
          <w:sz w:val="24"/>
          <w:szCs w:val="24"/>
        </w:rPr>
        <w:t>O</w:t>
      </w:r>
      <w:r w:rsidR="00FD1B30">
        <w:rPr>
          <w:rFonts w:ascii="Calibri" w:hAnsi="Calibri" w:cs="Calibri"/>
          <w:sz w:val="24"/>
          <w:szCs w:val="24"/>
        </w:rPr>
        <w:t>s</w:t>
      </w:r>
      <w:r w:rsidRPr="00312424">
        <w:rPr>
          <w:rFonts w:ascii="Calibri" w:hAnsi="Calibri" w:cs="Calibri"/>
          <w:sz w:val="24"/>
          <w:szCs w:val="24"/>
        </w:rPr>
        <w:t xml:space="preserve"> custo</w:t>
      </w:r>
      <w:r w:rsidR="00FD1B30">
        <w:rPr>
          <w:rFonts w:ascii="Calibri" w:hAnsi="Calibri" w:cs="Calibri"/>
          <w:sz w:val="24"/>
          <w:szCs w:val="24"/>
        </w:rPr>
        <w:t>s</w:t>
      </w:r>
      <w:r w:rsidRPr="00312424">
        <w:rPr>
          <w:rFonts w:ascii="Calibri" w:hAnsi="Calibri" w:cs="Calibri"/>
          <w:sz w:val="24"/>
          <w:szCs w:val="24"/>
        </w:rPr>
        <w:t xml:space="preserve"> das operações </w:t>
      </w:r>
      <w:r w:rsidR="00FD1B30">
        <w:rPr>
          <w:rFonts w:ascii="Calibri" w:hAnsi="Calibri" w:cs="Calibri"/>
          <w:sz w:val="24"/>
          <w:szCs w:val="24"/>
        </w:rPr>
        <w:t>possuem a seguinte composição:</w:t>
      </w:r>
    </w:p>
    <w:p w:rsidR="002060DA" w:rsidRDefault="002060DA" w:rsidP="00C16DDB">
      <w:pPr>
        <w:jc w:val="both"/>
        <w:rPr>
          <w:rFonts w:ascii="Calibri" w:hAnsi="Calibri" w:cs="Calibri"/>
          <w:sz w:val="24"/>
          <w:szCs w:val="24"/>
        </w:rPr>
      </w:pPr>
    </w:p>
    <w:tbl>
      <w:tblPr>
        <w:tblW w:w="6840" w:type="dxa"/>
        <w:jc w:val="center"/>
        <w:tblCellMar>
          <w:left w:w="70" w:type="dxa"/>
          <w:right w:w="70" w:type="dxa"/>
        </w:tblCellMar>
        <w:tblLook w:val="04A0" w:firstRow="1" w:lastRow="0" w:firstColumn="1" w:lastColumn="0" w:noHBand="0" w:noVBand="1"/>
      </w:tblPr>
      <w:tblGrid>
        <w:gridCol w:w="3320"/>
        <w:gridCol w:w="1760"/>
        <w:gridCol w:w="1760"/>
      </w:tblGrid>
      <w:tr w:rsidR="002060DA" w:rsidRPr="002060DA" w:rsidTr="00697525">
        <w:trPr>
          <w:trHeight w:val="284"/>
          <w:jc w:val="center"/>
        </w:trPr>
        <w:tc>
          <w:tcPr>
            <w:tcW w:w="3320" w:type="dxa"/>
            <w:tcBorders>
              <w:top w:val="nil"/>
              <w:left w:val="nil"/>
              <w:bottom w:val="single" w:sz="4" w:space="0" w:color="auto"/>
              <w:right w:val="single" w:sz="4" w:space="0" w:color="auto"/>
            </w:tcBorders>
            <w:shd w:val="clear" w:color="auto" w:fill="auto"/>
            <w:noWrap/>
            <w:vAlign w:val="bottom"/>
            <w:hideMark/>
          </w:tcPr>
          <w:p w:rsidR="002060DA" w:rsidRPr="002060DA" w:rsidRDefault="002060DA" w:rsidP="002060DA">
            <w:pPr>
              <w:widowControl/>
              <w:rPr>
                <w:rFonts w:ascii="Calibri" w:hAnsi="Calibri" w:cs="Calibri"/>
                <w:snapToGrid/>
                <w:color w:val="000000"/>
                <w:sz w:val="24"/>
                <w:szCs w:val="24"/>
              </w:rPr>
            </w:pPr>
            <w:r w:rsidRPr="002060DA">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0DA" w:rsidRPr="002060DA" w:rsidRDefault="00D0760C" w:rsidP="00E508A6">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0DA" w:rsidRPr="002060DA" w:rsidRDefault="00D0760C" w:rsidP="00D0760C">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w:t>
            </w:r>
            <w:r w:rsidR="002060DA" w:rsidRPr="002060DA">
              <w:rPr>
                <w:rFonts w:ascii="Calibri" w:hAnsi="Calibri" w:cs="Calibri"/>
                <w:b/>
                <w:bCs/>
                <w:snapToGrid/>
                <w:color w:val="000000"/>
                <w:sz w:val="24"/>
                <w:szCs w:val="24"/>
              </w:rPr>
              <w:t>/</w:t>
            </w:r>
            <w:r>
              <w:rPr>
                <w:rFonts w:ascii="Calibri" w:hAnsi="Calibri" w:cs="Calibri"/>
                <w:b/>
                <w:bCs/>
                <w:snapToGrid/>
                <w:color w:val="000000"/>
                <w:sz w:val="24"/>
                <w:szCs w:val="24"/>
              </w:rPr>
              <w:t>12</w:t>
            </w:r>
            <w:r w:rsidR="002060DA" w:rsidRPr="002060DA">
              <w:rPr>
                <w:rFonts w:ascii="Calibri" w:hAnsi="Calibri" w:cs="Calibri"/>
                <w:b/>
                <w:bCs/>
                <w:snapToGrid/>
                <w:color w:val="000000"/>
                <w:sz w:val="24"/>
                <w:szCs w:val="24"/>
              </w:rPr>
              <w:t>/201</w:t>
            </w:r>
            <w:r w:rsidR="003D77DC">
              <w:rPr>
                <w:rFonts w:ascii="Calibri" w:hAnsi="Calibri" w:cs="Calibri"/>
                <w:b/>
                <w:bCs/>
                <w:snapToGrid/>
                <w:color w:val="000000"/>
                <w:sz w:val="24"/>
                <w:szCs w:val="24"/>
              </w:rPr>
              <w:t>8</w:t>
            </w:r>
          </w:p>
        </w:tc>
      </w:tr>
      <w:tr w:rsidR="002060DA" w:rsidRPr="002060DA" w:rsidTr="00697525">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0DA" w:rsidRPr="002060DA" w:rsidRDefault="002060DA" w:rsidP="002060DA">
            <w:pPr>
              <w:widowControl/>
              <w:rPr>
                <w:rFonts w:ascii="Calibri" w:hAnsi="Calibri" w:cs="Calibri"/>
                <w:snapToGrid/>
                <w:color w:val="000000"/>
                <w:sz w:val="24"/>
                <w:szCs w:val="24"/>
              </w:rPr>
            </w:pPr>
            <w:r w:rsidRPr="002060DA">
              <w:rPr>
                <w:rFonts w:ascii="Calibri" w:hAnsi="Calibri" w:cs="Calibri"/>
                <w:snapToGrid/>
                <w:color w:val="000000"/>
                <w:sz w:val="24"/>
                <w:szCs w:val="24"/>
              </w:rPr>
              <w:t>Pessoal e Encargos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60DA" w:rsidRPr="002060DA" w:rsidRDefault="006C7E20" w:rsidP="007B05CF">
            <w:pPr>
              <w:widowControl/>
              <w:jc w:val="right"/>
              <w:rPr>
                <w:rFonts w:ascii="Calibri" w:hAnsi="Calibri" w:cs="Calibri"/>
                <w:snapToGrid/>
                <w:color w:val="000000"/>
                <w:sz w:val="24"/>
                <w:szCs w:val="24"/>
              </w:rPr>
            </w:pPr>
            <w:r>
              <w:rPr>
                <w:rFonts w:ascii="Calibri" w:hAnsi="Calibri" w:cs="Calibri"/>
                <w:snapToGrid/>
                <w:color w:val="000000"/>
                <w:sz w:val="24"/>
                <w:szCs w:val="24"/>
              </w:rPr>
              <w:t>60.867</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60DA" w:rsidRPr="002060DA" w:rsidRDefault="008161EB" w:rsidP="008161EB">
            <w:pPr>
              <w:widowControl/>
              <w:jc w:val="right"/>
              <w:rPr>
                <w:rFonts w:ascii="Calibri" w:hAnsi="Calibri" w:cs="Calibri"/>
                <w:snapToGrid/>
                <w:color w:val="000000"/>
                <w:sz w:val="24"/>
                <w:szCs w:val="24"/>
              </w:rPr>
            </w:pPr>
            <w:r>
              <w:rPr>
                <w:rFonts w:ascii="Calibri" w:hAnsi="Calibri" w:cs="Calibri"/>
                <w:snapToGrid/>
                <w:color w:val="000000"/>
                <w:sz w:val="24"/>
                <w:szCs w:val="24"/>
              </w:rPr>
              <w:t>69</w:t>
            </w:r>
            <w:r w:rsidR="005E088C">
              <w:rPr>
                <w:rFonts w:ascii="Calibri" w:hAnsi="Calibri" w:cs="Calibri"/>
                <w:snapToGrid/>
                <w:color w:val="000000"/>
                <w:sz w:val="24"/>
                <w:szCs w:val="24"/>
              </w:rPr>
              <w:t>.</w:t>
            </w:r>
            <w:r>
              <w:rPr>
                <w:rFonts w:ascii="Calibri" w:hAnsi="Calibri" w:cs="Calibri"/>
                <w:snapToGrid/>
                <w:color w:val="000000"/>
                <w:sz w:val="24"/>
                <w:szCs w:val="24"/>
              </w:rPr>
              <w:t>049</w:t>
            </w:r>
          </w:p>
        </w:tc>
      </w:tr>
      <w:tr w:rsidR="002060DA" w:rsidRPr="002060DA" w:rsidTr="00697525">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0DA" w:rsidRPr="002060DA" w:rsidRDefault="002060DA" w:rsidP="002060DA">
            <w:pPr>
              <w:widowControl/>
              <w:rPr>
                <w:rFonts w:ascii="Calibri" w:hAnsi="Calibri" w:cs="Calibri"/>
                <w:snapToGrid/>
                <w:color w:val="000000"/>
                <w:sz w:val="24"/>
                <w:szCs w:val="24"/>
              </w:rPr>
            </w:pPr>
            <w:r w:rsidRPr="002060DA">
              <w:rPr>
                <w:rFonts w:ascii="Calibri" w:hAnsi="Calibri" w:cs="Calibri"/>
                <w:snapToGrid/>
                <w:color w:val="000000"/>
                <w:sz w:val="24"/>
                <w:szCs w:val="24"/>
              </w:rPr>
              <w:t>Manutenção</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60DA" w:rsidRPr="002060DA" w:rsidRDefault="006C7E20" w:rsidP="005D7DDB">
            <w:pPr>
              <w:widowControl/>
              <w:jc w:val="right"/>
              <w:rPr>
                <w:rFonts w:ascii="Calibri" w:hAnsi="Calibri" w:cs="Calibri"/>
                <w:snapToGrid/>
                <w:color w:val="000000"/>
                <w:sz w:val="24"/>
                <w:szCs w:val="24"/>
              </w:rPr>
            </w:pPr>
            <w:r>
              <w:rPr>
                <w:rFonts w:ascii="Calibri" w:hAnsi="Calibri" w:cs="Calibri"/>
                <w:snapToGrid/>
                <w:color w:val="000000"/>
                <w:sz w:val="24"/>
                <w:szCs w:val="24"/>
              </w:rPr>
              <w:t>13.347</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60DA" w:rsidRPr="002060DA" w:rsidRDefault="008161EB" w:rsidP="002060DA">
            <w:pPr>
              <w:widowControl/>
              <w:jc w:val="right"/>
              <w:rPr>
                <w:rFonts w:ascii="Calibri" w:hAnsi="Calibri" w:cs="Calibri"/>
                <w:snapToGrid/>
                <w:color w:val="000000"/>
                <w:sz w:val="24"/>
                <w:szCs w:val="24"/>
              </w:rPr>
            </w:pPr>
            <w:r>
              <w:rPr>
                <w:rFonts w:ascii="Calibri" w:hAnsi="Calibri" w:cs="Calibri"/>
                <w:snapToGrid/>
                <w:color w:val="000000"/>
                <w:sz w:val="24"/>
                <w:szCs w:val="24"/>
              </w:rPr>
              <w:t>13.403</w:t>
            </w:r>
          </w:p>
        </w:tc>
      </w:tr>
      <w:tr w:rsidR="002060DA" w:rsidRPr="002060DA" w:rsidTr="00697525">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0DA" w:rsidRPr="002060DA" w:rsidRDefault="002060DA" w:rsidP="002060DA">
            <w:pPr>
              <w:widowControl/>
              <w:rPr>
                <w:rFonts w:ascii="Calibri" w:hAnsi="Calibri" w:cs="Calibri"/>
                <w:snapToGrid/>
                <w:color w:val="000000"/>
                <w:sz w:val="24"/>
                <w:szCs w:val="24"/>
              </w:rPr>
            </w:pPr>
            <w:r w:rsidRPr="002060DA">
              <w:rPr>
                <w:rFonts w:ascii="Calibri" w:hAnsi="Calibri" w:cs="Calibri"/>
                <w:snapToGrid/>
                <w:color w:val="000000"/>
                <w:sz w:val="24"/>
                <w:szCs w:val="24"/>
              </w:rPr>
              <w:t>Serviços de Terceiros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60DA" w:rsidRPr="002060DA" w:rsidRDefault="006C7E20" w:rsidP="002060DA">
            <w:pPr>
              <w:widowControl/>
              <w:jc w:val="right"/>
              <w:rPr>
                <w:rFonts w:ascii="Calibri" w:hAnsi="Calibri" w:cs="Calibri"/>
                <w:snapToGrid/>
                <w:color w:val="000000"/>
                <w:sz w:val="24"/>
                <w:szCs w:val="24"/>
              </w:rPr>
            </w:pPr>
            <w:r>
              <w:rPr>
                <w:rFonts w:ascii="Calibri" w:hAnsi="Calibri" w:cs="Calibri"/>
                <w:snapToGrid/>
                <w:color w:val="000000"/>
                <w:sz w:val="24"/>
                <w:szCs w:val="24"/>
              </w:rPr>
              <w:t>5.512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60DA" w:rsidRPr="002060DA" w:rsidRDefault="008161EB" w:rsidP="002060DA">
            <w:pPr>
              <w:widowControl/>
              <w:jc w:val="right"/>
              <w:rPr>
                <w:rFonts w:ascii="Calibri" w:hAnsi="Calibri" w:cs="Calibri"/>
                <w:snapToGrid/>
                <w:color w:val="000000"/>
                <w:sz w:val="24"/>
                <w:szCs w:val="24"/>
              </w:rPr>
            </w:pPr>
            <w:r>
              <w:rPr>
                <w:rFonts w:ascii="Calibri" w:hAnsi="Calibri" w:cs="Calibri"/>
                <w:snapToGrid/>
                <w:color w:val="000000"/>
                <w:sz w:val="24"/>
                <w:szCs w:val="24"/>
              </w:rPr>
              <w:t>4.889</w:t>
            </w:r>
          </w:p>
        </w:tc>
      </w:tr>
      <w:tr w:rsidR="002060DA" w:rsidRPr="002060DA" w:rsidTr="00697525">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0DA" w:rsidRPr="002060DA" w:rsidRDefault="002060DA" w:rsidP="002060DA">
            <w:pPr>
              <w:widowControl/>
              <w:rPr>
                <w:rFonts w:ascii="Calibri" w:hAnsi="Calibri" w:cs="Calibri"/>
                <w:snapToGrid/>
                <w:color w:val="000000"/>
                <w:sz w:val="24"/>
                <w:szCs w:val="24"/>
              </w:rPr>
            </w:pPr>
            <w:r w:rsidRPr="002060DA">
              <w:rPr>
                <w:rFonts w:ascii="Calibri" w:hAnsi="Calibri" w:cs="Calibri"/>
                <w:snapToGrid/>
                <w:color w:val="000000"/>
                <w:sz w:val="24"/>
                <w:szCs w:val="24"/>
              </w:rPr>
              <w:t>Depreciação e Amortização</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60DA" w:rsidRPr="002060DA" w:rsidRDefault="006C7E20" w:rsidP="002060DA">
            <w:pPr>
              <w:widowControl/>
              <w:jc w:val="right"/>
              <w:rPr>
                <w:rFonts w:ascii="Calibri" w:hAnsi="Calibri" w:cs="Calibri"/>
                <w:snapToGrid/>
                <w:color w:val="000000"/>
                <w:sz w:val="24"/>
                <w:szCs w:val="24"/>
              </w:rPr>
            </w:pPr>
            <w:r>
              <w:rPr>
                <w:rFonts w:ascii="Calibri" w:hAnsi="Calibri" w:cs="Calibri"/>
                <w:snapToGrid/>
                <w:color w:val="000000"/>
                <w:sz w:val="24"/>
                <w:szCs w:val="24"/>
              </w:rPr>
              <w:t>24.287</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60DA" w:rsidRPr="002060DA" w:rsidRDefault="008161EB" w:rsidP="002060DA">
            <w:pPr>
              <w:widowControl/>
              <w:jc w:val="right"/>
              <w:rPr>
                <w:rFonts w:ascii="Calibri" w:hAnsi="Calibri" w:cs="Calibri"/>
                <w:snapToGrid/>
                <w:color w:val="000000"/>
                <w:sz w:val="24"/>
                <w:szCs w:val="24"/>
              </w:rPr>
            </w:pPr>
            <w:r>
              <w:rPr>
                <w:rFonts w:ascii="Calibri" w:hAnsi="Calibri" w:cs="Calibri"/>
                <w:snapToGrid/>
                <w:color w:val="000000"/>
                <w:sz w:val="24"/>
                <w:szCs w:val="24"/>
              </w:rPr>
              <w:t>6.245</w:t>
            </w:r>
          </w:p>
        </w:tc>
      </w:tr>
      <w:tr w:rsidR="002060DA" w:rsidRPr="002060DA" w:rsidTr="00697525">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0DA" w:rsidRPr="002060DA" w:rsidRDefault="002060DA" w:rsidP="002060DA">
            <w:pPr>
              <w:widowControl/>
              <w:rPr>
                <w:rFonts w:ascii="Calibri" w:hAnsi="Calibri" w:cs="Calibri"/>
                <w:snapToGrid/>
                <w:color w:val="000000"/>
                <w:sz w:val="24"/>
                <w:szCs w:val="24"/>
              </w:rPr>
            </w:pPr>
            <w:r w:rsidRPr="002060DA">
              <w:rPr>
                <w:rFonts w:ascii="Calibri" w:hAnsi="Calibri" w:cs="Calibri"/>
                <w:snapToGrid/>
                <w:color w:val="000000"/>
                <w:sz w:val="24"/>
                <w:szCs w:val="24"/>
              </w:rPr>
              <w:t>Provisões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60DA" w:rsidRPr="002060DA" w:rsidRDefault="006C7E20" w:rsidP="006C7E20">
            <w:pPr>
              <w:widowControl/>
              <w:jc w:val="right"/>
              <w:rPr>
                <w:rFonts w:ascii="Calibri" w:hAnsi="Calibri" w:cs="Calibri"/>
                <w:snapToGrid/>
                <w:color w:val="000000"/>
                <w:sz w:val="24"/>
                <w:szCs w:val="24"/>
              </w:rPr>
            </w:pPr>
            <w:r>
              <w:rPr>
                <w:rFonts w:ascii="Calibri" w:hAnsi="Calibri" w:cs="Calibri"/>
                <w:snapToGrid/>
                <w:color w:val="000000"/>
                <w:sz w:val="24"/>
                <w:szCs w:val="24"/>
              </w:rPr>
              <w:t>3.129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60DA" w:rsidRPr="002060DA" w:rsidRDefault="008161EB" w:rsidP="002060DA">
            <w:pPr>
              <w:widowControl/>
              <w:jc w:val="right"/>
              <w:rPr>
                <w:rFonts w:ascii="Calibri" w:hAnsi="Calibri" w:cs="Calibri"/>
                <w:snapToGrid/>
                <w:color w:val="000000"/>
                <w:sz w:val="24"/>
                <w:szCs w:val="24"/>
              </w:rPr>
            </w:pPr>
            <w:r>
              <w:rPr>
                <w:rFonts w:ascii="Calibri" w:hAnsi="Calibri" w:cs="Calibri"/>
                <w:snapToGrid/>
                <w:color w:val="000000"/>
                <w:sz w:val="24"/>
                <w:szCs w:val="24"/>
              </w:rPr>
              <w:t>2.698</w:t>
            </w:r>
          </w:p>
        </w:tc>
      </w:tr>
      <w:tr w:rsidR="002060DA" w:rsidRPr="002060DA" w:rsidTr="00697525">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0DA" w:rsidRPr="002060DA" w:rsidRDefault="002060DA" w:rsidP="002060DA">
            <w:pPr>
              <w:widowControl/>
              <w:rPr>
                <w:rFonts w:ascii="Calibri" w:hAnsi="Calibri" w:cs="Calibri"/>
                <w:snapToGrid/>
                <w:color w:val="000000"/>
                <w:sz w:val="24"/>
                <w:szCs w:val="24"/>
              </w:rPr>
            </w:pPr>
            <w:r w:rsidRPr="002060DA">
              <w:rPr>
                <w:rFonts w:ascii="Calibri" w:hAnsi="Calibri" w:cs="Calibri"/>
                <w:snapToGrid/>
                <w:color w:val="000000"/>
                <w:sz w:val="24"/>
                <w:szCs w:val="24"/>
              </w:rPr>
              <w:t>Impostos e Taxas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60DA" w:rsidRPr="002060DA" w:rsidRDefault="006C7E20" w:rsidP="002060DA">
            <w:pPr>
              <w:widowControl/>
              <w:jc w:val="right"/>
              <w:rPr>
                <w:rFonts w:ascii="Calibri" w:hAnsi="Calibri" w:cs="Calibri"/>
                <w:snapToGrid/>
                <w:color w:val="000000"/>
                <w:sz w:val="24"/>
                <w:szCs w:val="24"/>
              </w:rPr>
            </w:pPr>
            <w:r>
              <w:rPr>
                <w:rFonts w:ascii="Calibri" w:hAnsi="Calibri" w:cs="Calibri"/>
                <w:snapToGrid/>
                <w:color w:val="000000"/>
                <w:sz w:val="24"/>
                <w:szCs w:val="24"/>
              </w:rPr>
              <w:t>8.796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60DA" w:rsidRPr="002060DA" w:rsidRDefault="008161EB" w:rsidP="002060DA">
            <w:pPr>
              <w:widowControl/>
              <w:jc w:val="right"/>
              <w:rPr>
                <w:rFonts w:ascii="Calibri" w:hAnsi="Calibri" w:cs="Calibri"/>
                <w:snapToGrid/>
                <w:color w:val="000000"/>
                <w:sz w:val="24"/>
                <w:szCs w:val="24"/>
              </w:rPr>
            </w:pPr>
            <w:r>
              <w:rPr>
                <w:rFonts w:ascii="Calibri" w:hAnsi="Calibri" w:cs="Calibri"/>
                <w:snapToGrid/>
                <w:color w:val="000000"/>
                <w:sz w:val="24"/>
                <w:szCs w:val="24"/>
              </w:rPr>
              <w:t>7.464</w:t>
            </w:r>
          </w:p>
        </w:tc>
      </w:tr>
      <w:tr w:rsidR="002060DA" w:rsidRPr="002060DA" w:rsidTr="00697525">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0DA" w:rsidRPr="002060DA" w:rsidRDefault="002060DA" w:rsidP="002060DA">
            <w:pPr>
              <w:widowControl/>
              <w:rPr>
                <w:rFonts w:ascii="Calibri" w:hAnsi="Calibri" w:cs="Calibri"/>
                <w:b/>
                <w:bCs/>
                <w:snapToGrid/>
                <w:color w:val="000000"/>
                <w:sz w:val="24"/>
                <w:szCs w:val="24"/>
              </w:rPr>
            </w:pPr>
            <w:r w:rsidRPr="002060DA">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60DA" w:rsidRPr="002060DA" w:rsidRDefault="006C7E20" w:rsidP="007B05CF">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115.938</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60DA" w:rsidRPr="002060DA" w:rsidRDefault="008161EB" w:rsidP="002A7BFC">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103.748</w:t>
            </w:r>
          </w:p>
        </w:tc>
      </w:tr>
    </w:tbl>
    <w:p w:rsidR="00F87EEB" w:rsidRDefault="00F87EEB" w:rsidP="00C16DDB">
      <w:pPr>
        <w:jc w:val="both"/>
        <w:rPr>
          <w:rFonts w:ascii="Calibri" w:hAnsi="Calibri" w:cs="Calibri"/>
          <w:sz w:val="24"/>
          <w:szCs w:val="24"/>
        </w:rPr>
      </w:pPr>
    </w:p>
    <w:p w:rsidR="00FE514C" w:rsidRDefault="00FE514C" w:rsidP="00C16DDB">
      <w:pPr>
        <w:jc w:val="both"/>
        <w:rPr>
          <w:rFonts w:ascii="Calibri" w:hAnsi="Calibri" w:cs="Calibri"/>
          <w:sz w:val="24"/>
          <w:szCs w:val="24"/>
        </w:rPr>
      </w:pPr>
    </w:p>
    <w:p w:rsidR="001C4695" w:rsidRDefault="001C4695" w:rsidP="00C16DDB">
      <w:pPr>
        <w:jc w:val="both"/>
        <w:rPr>
          <w:rFonts w:ascii="Calibri" w:hAnsi="Calibri" w:cs="Calibri"/>
          <w:sz w:val="24"/>
          <w:szCs w:val="24"/>
        </w:rPr>
      </w:pPr>
    </w:p>
    <w:p w:rsidR="001C4695" w:rsidRDefault="001C4695" w:rsidP="00C16DDB">
      <w:pPr>
        <w:jc w:val="both"/>
        <w:rPr>
          <w:rFonts w:ascii="Calibri" w:hAnsi="Calibri" w:cs="Calibri"/>
          <w:sz w:val="24"/>
          <w:szCs w:val="24"/>
        </w:rPr>
      </w:pPr>
    </w:p>
    <w:p w:rsidR="001C4695" w:rsidRDefault="001C4695" w:rsidP="00C16DDB">
      <w:pPr>
        <w:jc w:val="both"/>
        <w:rPr>
          <w:rFonts w:ascii="Calibri" w:hAnsi="Calibri" w:cs="Calibri"/>
          <w:sz w:val="24"/>
          <w:szCs w:val="24"/>
        </w:rPr>
      </w:pPr>
    </w:p>
    <w:p w:rsidR="001C4695" w:rsidRDefault="001C4695" w:rsidP="00C16DDB">
      <w:pPr>
        <w:jc w:val="both"/>
        <w:rPr>
          <w:rFonts w:ascii="Calibri" w:hAnsi="Calibri" w:cs="Calibri"/>
          <w:sz w:val="24"/>
          <w:szCs w:val="24"/>
        </w:rPr>
      </w:pPr>
    </w:p>
    <w:p w:rsidR="001C4695" w:rsidRDefault="001C4695" w:rsidP="00C16DDB">
      <w:pPr>
        <w:jc w:val="both"/>
        <w:rPr>
          <w:rFonts w:ascii="Calibri" w:hAnsi="Calibri" w:cs="Calibri"/>
          <w:sz w:val="24"/>
          <w:szCs w:val="24"/>
        </w:rPr>
      </w:pPr>
    </w:p>
    <w:p w:rsidR="001C4695" w:rsidRDefault="001C4695" w:rsidP="00C16DDB">
      <w:pPr>
        <w:jc w:val="both"/>
        <w:rPr>
          <w:rFonts w:ascii="Calibri" w:hAnsi="Calibri" w:cs="Calibri"/>
          <w:sz w:val="24"/>
          <w:szCs w:val="24"/>
        </w:rPr>
      </w:pPr>
    </w:p>
    <w:p w:rsidR="001C4695" w:rsidRDefault="001C4695" w:rsidP="00C16DDB">
      <w:pPr>
        <w:jc w:val="both"/>
        <w:rPr>
          <w:rFonts w:ascii="Calibri" w:hAnsi="Calibri" w:cs="Calibri"/>
          <w:sz w:val="24"/>
          <w:szCs w:val="24"/>
        </w:rPr>
      </w:pPr>
    </w:p>
    <w:p w:rsidR="00C16DDB" w:rsidRPr="00312424" w:rsidRDefault="002500FC" w:rsidP="00C16DDB">
      <w:pPr>
        <w:jc w:val="both"/>
        <w:rPr>
          <w:rFonts w:ascii="Calibri" w:hAnsi="Calibri" w:cs="Calibri"/>
          <w:b/>
          <w:sz w:val="24"/>
          <w:szCs w:val="24"/>
          <w:u w:val="single"/>
        </w:rPr>
      </w:pPr>
      <w:r>
        <w:rPr>
          <w:rFonts w:ascii="Calibri" w:hAnsi="Calibri" w:cs="Calibri"/>
          <w:b/>
          <w:sz w:val="24"/>
          <w:szCs w:val="24"/>
        </w:rPr>
        <w:lastRenderedPageBreak/>
        <w:t>23</w:t>
      </w:r>
      <w:r w:rsidR="00C16DDB" w:rsidRPr="00312424">
        <w:rPr>
          <w:rFonts w:ascii="Calibri" w:hAnsi="Calibri" w:cs="Calibri"/>
          <w:b/>
          <w:sz w:val="24"/>
          <w:szCs w:val="24"/>
        </w:rPr>
        <w:t xml:space="preserve"> – </w:t>
      </w:r>
      <w:r w:rsidR="00CD4CBD">
        <w:rPr>
          <w:rFonts w:ascii="Calibri" w:hAnsi="Calibri" w:cs="Calibri"/>
          <w:b/>
          <w:sz w:val="24"/>
          <w:szCs w:val="24"/>
          <w:u w:val="single"/>
        </w:rPr>
        <w:t>D</w:t>
      </w:r>
      <w:r w:rsidR="00C16DDB" w:rsidRPr="00312424">
        <w:rPr>
          <w:rFonts w:ascii="Calibri" w:hAnsi="Calibri" w:cs="Calibri"/>
          <w:b/>
          <w:sz w:val="24"/>
          <w:szCs w:val="24"/>
          <w:u w:val="single"/>
        </w:rPr>
        <w:t>E</w:t>
      </w:r>
      <w:r w:rsidR="00CD4CBD">
        <w:rPr>
          <w:rFonts w:ascii="Calibri" w:hAnsi="Calibri" w:cs="Calibri"/>
          <w:b/>
          <w:sz w:val="24"/>
          <w:szCs w:val="24"/>
          <w:u w:val="single"/>
        </w:rPr>
        <w:t>SPESAS GERAIS E ADMINISTRATIVAS</w:t>
      </w:r>
    </w:p>
    <w:p w:rsidR="00C16DDB" w:rsidRPr="00312424" w:rsidRDefault="00C16DDB" w:rsidP="00C16DDB">
      <w:pPr>
        <w:rPr>
          <w:rFonts w:ascii="Calibri" w:hAnsi="Calibri" w:cs="Calibri"/>
          <w:b/>
          <w:sz w:val="24"/>
          <w:szCs w:val="24"/>
          <w:u w:val="single"/>
        </w:rPr>
      </w:pPr>
    </w:p>
    <w:p w:rsidR="00C85F53" w:rsidRDefault="00C16DDB" w:rsidP="00C16DDB">
      <w:pPr>
        <w:jc w:val="both"/>
        <w:rPr>
          <w:rFonts w:ascii="Calibri" w:hAnsi="Calibri" w:cs="Calibri"/>
          <w:sz w:val="24"/>
          <w:szCs w:val="24"/>
        </w:rPr>
      </w:pPr>
      <w:r w:rsidRPr="00312424">
        <w:rPr>
          <w:rFonts w:ascii="Calibri" w:hAnsi="Calibri" w:cs="Calibri"/>
          <w:sz w:val="24"/>
          <w:szCs w:val="24"/>
        </w:rPr>
        <w:t xml:space="preserve">O grupo possui a seguinte composição:           </w:t>
      </w:r>
    </w:p>
    <w:p w:rsidR="00C16DDB" w:rsidRDefault="00C16DDB" w:rsidP="00C16DDB">
      <w:pPr>
        <w:jc w:val="both"/>
        <w:rPr>
          <w:rFonts w:ascii="Calibri" w:hAnsi="Calibri" w:cs="Calibri"/>
          <w:sz w:val="24"/>
          <w:szCs w:val="24"/>
        </w:rPr>
      </w:pPr>
      <w:r w:rsidRPr="00312424">
        <w:rPr>
          <w:rFonts w:ascii="Calibri" w:hAnsi="Calibri" w:cs="Calibri"/>
          <w:sz w:val="24"/>
          <w:szCs w:val="24"/>
        </w:rPr>
        <w:t xml:space="preserve">                                                                                       </w:t>
      </w:r>
    </w:p>
    <w:tbl>
      <w:tblPr>
        <w:tblW w:w="6840" w:type="dxa"/>
        <w:jc w:val="center"/>
        <w:tblCellMar>
          <w:left w:w="70" w:type="dxa"/>
          <w:right w:w="70" w:type="dxa"/>
        </w:tblCellMar>
        <w:tblLook w:val="04A0" w:firstRow="1" w:lastRow="0" w:firstColumn="1" w:lastColumn="0" w:noHBand="0" w:noVBand="1"/>
      </w:tblPr>
      <w:tblGrid>
        <w:gridCol w:w="3320"/>
        <w:gridCol w:w="1760"/>
        <w:gridCol w:w="1760"/>
      </w:tblGrid>
      <w:tr w:rsidR="00C85F53" w:rsidRPr="00C85F53" w:rsidTr="00697525">
        <w:trPr>
          <w:trHeight w:val="284"/>
          <w:jc w:val="center"/>
        </w:trPr>
        <w:tc>
          <w:tcPr>
            <w:tcW w:w="3320" w:type="dxa"/>
            <w:tcBorders>
              <w:top w:val="nil"/>
              <w:left w:val="nil"/>
              <w:bottom w:val="single" w:sz="4" w:space="0" w:color="auto"/>
              <w:right w:val="single" w:sz="4" w:space="0" w:color="auto"/>
            </w:tcBorders>
            <w:shd w:val="clear" w:color="auto" w:fill="auto"/>
            <w:noWrap/>
            <w:vAlign w:val="bottom"/>
            <w:hideMark/>
          </w:tcPr>
          <w:p w:rsidR="00C85F53" w:rsidRPr="00C85F53" w:rsidRDefault="00C85F53" w:rsidP="00C85F53">
            <w:pPr>
              <w:widowControl/>
              <w:rPr>
                <w:rFonts w:ascii="Calibri" w:hAnsi="Calibri" w:cs="Calibri"/>
                <w:snapToGrid/>
                <w:color w:val="000000"/>
                <w:sz w:val="24"/>
                <w:szCs w:val="24"/>
              </w:rPr>
            </w:pPr>
            <w:r w:rsidRPr="00C85F53">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5F53" w:rsidRPr="00C85F53" w:rsidRDefault="00D0760C" w:rsidP="00A211F3">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5F53" w:rsidRPr="00C85F53" w:rsidRDefault="00D0760C" w:rsidP="00A211F3">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w:t>
            </w:r>
            <w:r w:rsidRPr="002060DA">
              <w:rPr>
                <w:rFonts w:ascii="Calibri" w:hAnsi="Calibri" w:cs="Calibri"/>
                <w:b/>
                <w:bCs/>
                <w:snapToGrid/>
                <w:color w:val="000000"/>
                <w:sz w:val="24"/>
                <w:szCs w:val="24"/>
              </w:rPr>
              <w:t>/</w:t>
            </w:r>
            <w:r>
              <w:rPr>
                <w:rFonts w:ascii="Calibri" w:hAnsi="Calibri" w:cs="Calibri"/>
                <w:b/>
                <w:bCs/>
                <w:snapToGrid/>
                <w:color w:val="000000"/>
                <w:sz w:val="24"/>
                <w:szCs w:val="24"/>
              </w:rPr>
              <w:t>12</w:t>
            </w:r>
            <w:r w:rsidRPr="002060DA">
              <w:rPr>
                <w:rFonts w:ascii="Calibri" w:hAnsi="Calibri" w:cs="Calibri"/>
                <w:b/>
                <w:bCs/>
                <w:snapToGrid/>
                <w:color w:val="000000"/>
                <w:sz w:val="24"/>
                <w:szCs w:val="24"/>
              </w:rPr>
              <w:t>/201</w:t>
            </w:r>
            <w:r>
              <w:rPr>
                <w:rFonts w:ascii="Calibri" w:hAnsi="Calibri" w:cs="Calibri"/>
                <w:b/>
                <w:bCs/>
                <w:snapToGrid/>
                <w:color w:val="000000"/>
                <w:sz w:val="24"/>
                <w:szCs w:val="24"/>
              </w:rPr>
              <w:t>8</w:t>
            </w:r>
          </w:p>
        </w:tc>
      </w:tr>
      <w:tr w:rsidR="006C7E20" w:rsidRPr="00C85F53" w:rsidTr="00697525">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E20" w:rsidRPr="00C85F53" w:rsidRDefault="006C7E20" w:rsidP="006C7E20">
            <w:pPr>
              <w:widowControl/>
              <w:rPr>
                <w:rFonts w:ascii="Calibri" w:hAnsi="Calibri" w:cs="Calibri"/>
                <w:snapToGrid/>
                <w:color w:val="000000"/>
                <w:sz w:val="24"/>
                <w:szCs w:val="24"/>
              </w:rPr>
            </w:pPr>
            <w:r w:rsidRPr="00C85F53">
              <w:rPr>
                <w:rFonts w:ascii="Calibri" w:hAnsi="Calibri" w:cs="Calibri"/>
                <w:snapToGrid/>
                <w:color w:val="000000"/>
                <w:sz w:val="24"/>
                <w:szCs w:val="24"/>
              </w:rPr>
              <w:t>Pessoal e Encargos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7E20" w:rsidRPr="006C7E20" w:rsidRDefault="006C7E20" w:rsidP="006C7E20">
            <w:pPr>
              <w:widowControl/>
              <w:jc w:val="right"/>
              <w:rPr>
                <w:rFonts w:ascii="Calibri" w:hAnsi="Calibri" w:cs="Calibri"/>
                <w:snapToGrid/>
                <w:color w:val="000000"/>
                <w:sz w:val="24"/>
                <w:szCs w:val="24"/>
              </w:rPr>
            </w:pPr>
            <w:r w:rsidRPr="006C7E20">
              <w:rPr>
                <w:rFonts w:ascii="Calibri" w:hAnsi="Calibri" w:cs="Calibri"/>
                <w:snapToGrid/>
                <w:color w:val="000000"/>
                <w:sz w:val="24"/>
                <w:szCs w:val="24"/>
              </w:rPr>
              <w:t>166.151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7E20" w:rsidRPr="00C85F53" w:rsidRDefault="006C7E20" w:rsidP="006C7E20">
            <w:pPr>
              <w:widowControl/>
              <w:jc w:val="right"/>
              <w:rPr>
                <w:rFonts w:ascii="Calibri" w:hAnsi="Calibri" w:cs="Calibri"/>
                <w:snapToGrid/>
                <w:color w:val="000000"/>
                <w:sz w:val="24"/>
                <w:szCs w:val="24"/>
              </w:rPr>
            </w:pPr>
            <w:r>
              <w:rPr>
                <w:rFonts w:ascii="Calibri" w:hAnsi="Calibri" w:cs="Calibri"/>
                <w:snapToGrid/>
                <w:color w:val="000000"/>
                <w:sz w:val="24"/>
                <w:szCs w:val="24"/>
              </w:rPr>
              <w:t>190.146</w:t>
            </w:r>
          </w:p>
        </w:tc>
      </w:tr>
      <w:tr w:rsidR="006C7E20" w:rsidRPr="00C85F53" w:rsidTr="00697525">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E20" w:rsidRPr="00C85F53" w:rsidRDefault="006C7E20" w:rsidP="006C7E20">
            <w:pPr>
              <w:widowControl/>
              <w:rPr>
                <w:rFonts w:ascii="Calibri" w:hAnsi="Calibri" w:cs="Calibri"/>
                <w:snapToGrid/>
                <w:color w:val="000000"/>
                <w:sz w:val="24"/>
                <w:szCs w:val="24"/>
              </w:rPr>
            </w:pPr>
            <w:r w:rsidRPr="00C85F53">
              <w:rPr>
                <w:rFonts w:ascii="Calibri" w:hAnsi="Calibri" w:cs="Calibri"/>
                <w:snapToGrid/>
                <w:color w:val="000000"/>
                <w:sz w:val="24"/>
                <w:szCs w:val="24"/>
              </w:rPr>
              <w:t>Manutenção</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7E20" w:rsidRPr="006C7E20" w:rsidRDefault="006C7E20" w:rsidP="006C7E20">
            <w:pPr>
              <w:widowControl/>
              <w:jc w:val="right"/>
              <w:rPr>
                <w:rFonts w:ascii="Calibri" w:hAnsi="Calibri" w:cs="Calibri"/>
                <w:snapToGrid/>
                <w:color w:val="000000"/>
                <w:sz w:val="24"/>
                <w:szCs w:val="24"/>
              </w:rPr>
            </w:pPr>
            <w:r w:rsidRPr="006C7E20">
              <w:rPr>
                <w:rFonts w:ascii="Calibri" w:hAnsi="Calibri" w:cs="Calibri"/>
                <w:snapToGrid/>
                <w:color w:val="000000"/>
                <w:sz w:val="24"/>
                <w:szCs w:val="24"/>
              </w:rPr>
              <w:t>13.653</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7E20" w:rsidRPr="00C85F53" w:rsidRDefault="006C7E20" w:rsidP="006C7E20">
            <w:pPr>
              <w:widowControl/>
              <w:jc w:val="right"/>
              <w:rPr>
                <w:rFonts w:ascii="Calibri" w:hAnsi="Calibri" w:cs="Calibri"/>
                <w:snapToGrid/>
                <w:color w:val="000000"/>
                <w:sz w:val="24"/>
                <w:szCs w:val="24"/>
              </w:rPr>
            </w:pPr>
            <w:r>
              <w:rPr>
                <w:rFonts w:ascii="Calibri" w:hAnsi="Calibri" w:cs="Calibri"/>
                <w:snapToGrid/>
                <w:color w:val="000000"/>
                <w:sz w:val="24"/>
                <w:szCs w:val="24"/>
              </w:rPr>
              <w:t>13.913</w:t>
            </w:r>
          </w:p>
        </w:tc>
      </w:tr>
      <w:tr w:rsidR="006C7E20" w:rsidRPr="00C85F53" w:rsidTr="00697525">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E20" w:rsidRPr="00C85F53" w:rsidRDefault="006C7E20" w:rsidP="006C7E20">
            <w:pPr>
              <w:widowControl/>
              <w:rPr>
                <w:rFonts w:ascii="Calibri" w:hAnsi="Calibri" w:cs="Calibri"/>
                <w:snapToGrid/>
                <w:color w:val="000000"/>
                <w:sz w:val="24"/>
                <w:szCs w:val="24"/>
              </w:rPr>
            </w:pPr>
            <w:r w:rsidRPr="00C85F53">
              <w:rPr>
                <w:rFonts w:ascii="Calibri" w:hAnsi="Calibri" w:cs="Calibri"/>
                <w:snapToGrid/>
                <w:color w:val="000000"/>
                <w:sz w:val="24"/>
                <w:szCs w:val="24"/>
              </w:rPr>
              <w:t>Serviços de Terceiros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7E20" w:rsidRPr="006C7E20" w:rsidRDefault="006C7E20" w:rsidP="006C7E20">
            <w:pPr>
              <w:widowControl/>
              <w:jc w:val="right"/>
              <w:rPr>
                <w:rFonts w:ascii="Calibri" w:hAnsi="Calibri" w:cs="Calibri"/>
                <w:snapToGrid/>
                <w:color w:val="000000"/>
                <w:sz w:val="24"/>
                <w:szCs w:val="24"/>
              </w:rPr>
            </w:pPr>
            <w:r w:rsidRPr="006C7E20">
              <w:rPr>
                <w:rFonts w:ascii="Calibri" w:hAnsi="Calibri" w:cs="Calibri"/>
                <w:snapToGrid/>
                <w:color w:val="000000"/>
                <w:sz w:val="24"/>
                <w:szCs w:val="24"/>
              </w:rPr>
              <w:t>2.793</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7E20" w:rsidRPr="00C85F53" w:rsidRDefault="006C7E20" w:rsidP="006C7E20">
            <w:pPr>
              <w:widowControl/>
              <w:jc w:val="right"/>
              <w:rPr>
                <w:rFonts w:ascii="Calibri" w:hAnsi="Calibri" w:cs="Calibri"/>
                <w:snapToGrid/>
                <w:color w:val="000000"/>
                <w:sz w:val="24"/>
                <w:szCs w:val="24"/>
              </w:rPr>
            </w:pPr>
            <w:r>
              <w:rPr>
                <w:rFonts w:ascii="Calibri" w:hAnsi="Calibri" w:cs="Calibri"/>
                <w:snapToGrid/>
                <w:color w:val="000000"/>
                <w:sz w:val="24"/>
                <w:szCs w:val="24"/>
              </w:rPr>
              <w:t>3.373</w:t>
            </w:r>
          </w:p>
        </w:tc>
      </w:tr>
      <w:tr w:rsidR="006C7E20" w:rsidRPr="00C85F53" w:rsidTr="00697525">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E20" w:rsidRPr="00C85F53" w:rsidRDefault="006C7E20" w:rsidP="006C7E20">
            <w:pPr>
              <w:widowControl/>
              <w:rPr>
                <w:rFonts w:ascii="Calibri" w:hAnsi="Calibri" w:cs="Calibri"/>
                <w:snapToGrid/>
                <w:color w:val="000000"/>
                <w:sz w:val="24"/>
                <w:szCs w:val="24"/>
              </w:rPr>
            </w:pPr>
            <w:r w:rsidRPr="00C85F53">
              <w:rPr>
                <w:rFonts w:ascii="Calibri" w:hAnsi="Calibri" w:cs="Calibri"/>
                <w:snapToGrid/>
                <w:color w:val="000000"/>
                <w:sz w:val="24"/>
                <w:szCs w:val="24"/>
              </w:rPr>
              <w:t>Legais e Judiciais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7E20" w:rsidRPr="006C7E20" w:rsidRDefault="006C7E20" w:rsidP="006C7E20">
            <w:pPr>
              <w:widowControl/>
              <w:jc w:val="right"/>
              <w:rPr>
                <w:rFonts w:ascii="Calibri" w:hAnsi="Calibri" w:cs="Calibri"/>
                <w:snapToGrid/>
                <w:color w:val="000000"/>
                <w:sz w:val="24"/>
                <w:szCs w:val="24"/>
              </w:rPr>
            </w:pPr>
            <w:r w:rsidRPr="006C7E20">
              <w:rPr>
                <w:rFonts w:ascii="Calibri" w:hAnsi="Calibri" w:cs="Calibri"/>
                <w:snapToGrid/>
                <w:color w:val="000000"/>
                <w:sz w:val="24"/>
                <w:szCs w:val="24"/>
              </w:rPr>
              <w:t>9.771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7E20" w:rsidRPr="00C85F53" w:rsidRDefault="006C7E20" w:rsidP="006C7E20">
            <w:pPr>
              <w:widowControl/>
              <w:jc w:val="right"/>
              <w:rPr>
                <w:rFonts w:ascii="Calibri" w:hAnsi="Calibri" w:cs="Calibri"/>
                <w:snapToGrid/>
                <w:color w:val="000000"/>
                <w:sz w:val="24"/>
                <w:szCs w:val="24"/>
              </w:rPr>
            </w:pPr>
            <w:r>
              <w:rPr>
                <w:rFonts w:ascii="Calibri" w:hAnsi="Calibri" w:cs="Calibri"/>
                <w:snapToGrid/>
                <w:color w:val="000000"/>
                <w:sz w:val="24"/>
                <w:szCs w:val="24"/>
              </w:rPr>
              <w:t>8.924</w:t>
            </w:r>
          </w:p>
        </w:tc>
      </w:tr>
      <w:tr w:rsidR="006C7E20" w:rsidRPr="00C85F53" w:rsidTr="00697525">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E20" w:rsidRPr="00C85F53" w:rsidRDefault="006C7E20" w:rsidP="006C7E20">
            <w:pPr>
              <w:widowControl/>
              <w:rPr>
                <w:rFonts w:ascii="Calibri" w:hAnsi="Calibri" w:cs="Calibri"/>
                <w:snapToGrid/>
                <w:color w:val="000000"/>
                <w:sz w:val="24"/>
                <w:szCs w:val="24"/>
              </w:rPr>
            </w:pPr>
            <w:r>
              <w:rPr>
                <w:rFonts w:ascii="Calibri" w:hAnsi="Calibri" w:cs="Calibri"/>
                <w:snapToGrid/>
                <w:color w:val="000000"/>
                <w:sz w:val="24"/>
                <w:szCs w:val="24"/>
              </w:rPr>
              <w:t>Impostos e Taxas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7E20" w:rsidRPr="006C7E20" w:rsidRDefault="006C7E20" w:rsidP="006C7E20">
            <w:pPr>
              <w:widowControl/>
              <w:jc w:val="right"/>
              <w:rPr>
                <w:rFonts w:ascii="Calibri" w:hAnsi="Calibri" w:cs="Calibri"/>
                <w:snapToGrid/>
                <w:color w:val="000000"/>
                <w:sz w:val="24"/>
                <w:szCs w:val="24"/>
              </w:rPr>
            </w:pPr>
            <w:r w:rsidRPr="006C7E20">
              <w:rPr>
                <w:rFonts w:ascii="Calibri" w:hAnsi="Calibri" w:cs="Calibri"/>
                <w:snapToGrid/>
                <w:color w:val="000000"/>
                <w:sz w:val="24"/>
                <w:szCs w:val="24"/>
              </w:rPr>
              <w:t>14.844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7E20" w:rsidRPr="00C85F53" w:rsidRDefault="006C7E20" w:rsidP="006C7E20">
            <w:pPr>
              <w:widowControl/>
              <w:jc w:val="right"/>
              <w:rPr>
                <w:rFonts w:ascii="Calibri" w:hAnsi="Calibri" w:cs="Calibri"/>
                <w:snapToGrid/>
                <w:color w:val="000000"/>
                <w:sz w:val="24"/>
                <w:szCs w:val="24"/>
              </w:rPr>
            </w:pPr>
            <w:r>
              <w:rPr>
                <w:rFonts w:ascii="Calibri" w:hAnsi="Calibri" w:cs="Calibri"/>
                <w:snapToGrid/>
                <w:color w:val="000000"/>
                <w:sz w:val="24"/>
                <w:szCs w:val="24"/>
              </w:rPr>
              <w:t>14.260</w:t>
            </w:r>
          </w:p>
        </w:tc>
      </w:tr>
      <w:tr w:rsidR="006C7E20" w:rsidRPr="00C85F53" w:rsidTr="00697525">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7E20" w:rsidRPr="00C85F53" w:rsidRDefault="006C7E20" w:rsidP="006C7E20">
            <w:pPr>
              <w:widowControl/>
              <w:rPr>
                <w:rFonts w:ascii="Calibri" w:hAnsi="Calibri" w:cs="Calibri"/>
                <w:snapToGrid/>
                <w:color w:val="000000"/>
                <w:sz w:val="24"/>
                <w:szCs w:val="24"/>
              </w:rPr>
            </w:pPr>
            <w:r w:rsidRPr="00C85F53">
              <w:rPr>
                <w:rFonts w:ascii="Calibri" w:hAnsi="Calibri" w:cs="Calibri"/>
                <w:snapToGrid/>
                <w:color w:val="000000"/>
                <w:sz w:val="24"/>
                <w:szCs w:val="24"/>
              </w:rPr>
              <w:t>Outras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7E20" w:rsidRPr="006C7E20" w:rsidRDefault="006C7E20" w:rsidP="006C7E20">
            <w:pPr>
              <w:widowControl/>
              <w:jc w:val="right"/>
              <w:rPr>
                <w:rFonts w:ascii="Calibri" w:hAnsi="Calibri" w:cs="Calibri"/>
                <w:snapToGrid/>
                <w:color w:val="000000"/>
                <w:sz w:val="24"/>
                <w:szCs w:val="24"/>
              </w:rPr>
            </w:pPr>
            <w:r w:rsidRPr="006C7E20">
              <w:rPr>
                <w:rFonts w:ascii="Calibri" w:hAnsi="Calibri" w:cs="Calibri"/>
                <w:snapToGrid/>
                <w:color w:val="000000"/>
                <w:sz w:val="24"/>
                <w:szCs w:val="24"/>
              </w:rPr>
              <w:t>1.561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7E20" w:rsidRDefault="006C7E20" w:rsidP="006C7E20">
            <w:pPr>
              <w:widowControl/>
              <w:jc w:val="right"/>
              <w:rPr>
                <w:rFonts w:ascii="Calibri" w:hAnsi="Calibri" w:cs="Calibri"/>
                <w:snapToGrid/>
                <w:color w:val="000000"/>
                <w:sz w:val="24"/>
                <w:szCs w:val="24"/>
              </w:rPr>
            </w:pPr>
            <w:r>
              <w:rPr>
                <w:rFonts w:ascii="Calibri" w:hAnsi="Calibri" w:cs="Calibri"/>
                <w:snapToGrid/>
                <w:color w:val="000000"/>
                <w:sz w:val="24"/>
                <w:szCs w:val="24"/>
              </w:rPr>
              <w:t>1.375</w:t>
            </w:r>
          </w:p>
        </w:tc>
      </w:tr>
      <w:tr w:rsidR="00C85F53" w:rsidRPr="00C85F53" w:rsidTr="00697525">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5F53" w:rsidRPr="00C85F53" w:rsidRDefault="00C85F53" w:rsidP="00C85F53">
            <w:pPr>
              <w:widowControl/>
              <w:rPr>
                <w:rFonts w:ascii="Calibri" w:hAnsi="Calibri" w:cs="Calibri"/>
                <w:b/>
                <w:bCs/>
                <w:snapToGrid/>
                <w:color w:val="000000"/>
                <w:sz w:val="24"/>
                <w:szCs w:val="24"/>
              </w:rPr>
            </w:pPr>
            <w:r w:rsidRPr="00C85F53">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F53" w:rsidRPr="00C85F53" w:rsidRDefault="006C7E20" w:rsidP="00C85F53">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208.773</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F53" w:rsidRPr="00C85F53" w:rsidRDefault="008161EB" w:rsidP="002A7BFC">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231.991</w:t>
            </w:r>
          </w:p>
        </w:tc>
      </w:tr>
    </w:tbl>
    <w:p w:rsidR="003E7F3A" w:rsidRDefault="003E7F3A" w:rsidP="00C16DDB">
      <w:pPr>
        <w:jc w:val="both"/>
        <w:rPr>
          <w:rFonts w:ascii="Calibri" w:hAnsi="Calibri" w:cs="Calibri"/>
          <w:b/>
          <w:sz w:val="24"/>
          <w:szCs w:val="24"/>
        </w:rPr>
      </w:pPr>
    </w:p>
    <w:p w:rsidR="00955480" w:rsidRDefault="00955480" w:rsidP="00C16DDB">
      <w:pPr>
        <w:jc w:val="both"/>
        <w:rPr>
          <w:rFonts w:ascii="Calibri" w:hAnsi="Calibri" w:cs="Calibri"/>
          <w:b/>
          <w:sz w:val="24"/>
          <w:szCs w:val="24"/>
        </w:rPr>
      </w:pPr>
    </w:p>
    <w:p w:rsidR="00C16DDB" w:rsidRPr="00312424" w:rsidRDefault="0004363C" w:rsidP="00C16DDB">
      <w:pPr>
        <w:jc w:val="both"/>
        <w:rPr>
          <w:rFonts w:ascii="Calibri" w:hAnsi="Calibri" w:cs="Calibri"/>
          <w:b/>
          <w:sz w:val="24"/>
          <w:szCs w:val="24"/>
        </w:rPr>
      </w:pPr>
      <w:r>
        <w:rPr>
          <w:rFonts w:ascii="Calibri" w:hAnsi="Calibri" w:cs="Calibri"/>
          <w:b/>
          <w:sz w:val="24"/>
          <w:szCs w:val="24"/>
        </w:rPr>
        <w:t>2</w:t>
      </w:r>
      <w:r w:rsidR="002500FC">
        <w:rPr>
          <w:rFonts w:ascii="Calibri" w:hAnsi="Calibri" w:cs="Calibri"/>
          <w:b/>
          <w:sz w:val="24"/>
          <w:szCs w:val="24"/>
        </w:rPr>
        <w:t>4</w:t>
      </w:r>
      <w:r w:rsidR="00C16DDB" w:rsidRPr="00312424">
        <w:rPr>
          <w:rFonts w:ascii="Calibri" w:hAnsi="Calibri" w:cs="Calibri"/>
          <w:b/>
          <w:sz w:val="24"/>
          <w:szCs w:val="24"/>
        </w:rPr>
        <w:t xml:space="preserve"> – </w:t>
      </w:r>
      <w:r w:rsidR="00CD4CBD">
        <w:rPr>
          <w:rFonts w:ascii="Calibri" w:hAnsi="Calibri" w:cs="Calibri"/>
          <w:b/>
          <w:sz w:val="24"/>
          <w:szCs w:val="24"/>
          <w:u w:val="single"/>
        </w:rPr>
        <w:t>PROVISÕES CONTÁBEIS LÍQUIDAS</w:t>
      </w:r>
    </w:p>
    <w:p w:rsidR="00C16DDB" w:rsidRPr="00312424" w:rsidRDefault="00C16DDB" w:rsidP="00C16DDB">
      <w:pPr>
        <w:jc w:val="both"/>
        <w:rPr>
          <w:rFonts w:ascii="Calibri" w:hAnsi="Calibri" w:cs="Calibri"/>
          <w:sz w:val="24"/>
          <w:szCs w:val="24"/>
        </w:rPr>
      </w:pPr>
    </w:p>
    <w:p w:rsidR="00CD4CBD" w:rsidRDefault="00CD4CBD" w:rsidP="00C16DDB">
      <w:pPr>
        <w:jc w:val="both"/>
        <w:rPr>
          <w:rFonts w:ascii="Calibri" w:hAnsi="Calibri" w:cs="Calibri"/>
          <w:sz w:val="24"/>
          <w:szCs w:val="24"/>
        </w:rPr>
      </w:pPr>
      <w:r>
        <w:rPr>
          <w:rFonts w:ascii="Calibri" w:hAnsi="Calibri" w:cs="Calibri"/>
          <w:sz w:val="24"/>
          <w:szCs w:val="24"/>
        </w:rPr>
        <w:t>As Provisões estão compostas da seguinte maneira:</w:t>
      </w:r>
    </w:p>
    <w:p w:rsidR="00C16DDB" w:rsidRDefault="00C16DDB" w:rsidP="00C16DDB">
      <w:pPr>
        <w:jc w:val="both"/>
        <w:rPr>
          <w:rFonts w:ascii="Calibri" w:hAnsi="Calibri" w:cs="Calibri"/>
          <w:sz w:val="24"/>
          <w:szCs w:val="24"/>
        </w:rPr>
      </w:pPr>
    </w:p>
    <w:tbl>
      <w:tblPr>
        <w:tblW w:w="9200" w:type="dxa"/>
        <w:jc w:val="center"/>
        <w:tblCellMar>
          <w:left w:w="70" w:type="dxa"/>
          <w:right w:w="70" w:type="dxa"/>
        </w:tblCellMar>
        <w:tblLook w:val="04A0" w:firstRow="1" w:lastRow="0" w:firstColumn="1" w:lastColumn="0" w:noHBand="0" w:noVBand="1"/>
      </w:tblPr>
      <w:tblGrid>
        <w:gridCol w:w="5680"/>
        <w:gridCol w:w="1760"/>
        <w:gridCol w:w="1760"/>
      </w:tblGrid>
      <w:tr w:rsidR="003B4F3A" w:rsidRPr="003B4F3A" w:rsidTr="00697525">
        <w:trPr>
          <w:trHeight w:val="284"/>
          <w:jc w:val="center"/>
        </w:trPr>
        <w:tc>
          <w:tcPr>
            <w:tcW w:w="5680" w:type="dxa"/>
            <w:tcBorders>
              <w:top w:val="nil"/>
              <w:left w:val="nil"/>
              <w:bottom w:val="single" w:sz="4" w:space="0" w:color="auto"/>
              <w:right w:val="single" w:sz="4" w:space="0" w:color="auto"/>
            </w:tcBorders>
            <w:shd w:val="clear" w:color="auto" w:fill="auto"/>
            <w:noWrap/>
            <w:vAlign w:val="bottom"/>
            <w:hideMark/>
          </w:tcPr>
          <w:p w:rsidR="003B4F3A" w:rsidRPr="003B4F3A" w:rsidRDefault="003B4F3A" w:rsidP="003B4F3A">
            <w:pPr>
              <w:widowControl/>
              <w:rPr>
                <w:rFonts w:ascii="Calibri" w:hAnsi="Calibri" w:cs="Calibri"/>
                <w:snapToGrid/>
                <w:color w:val="000000"/>
                <w:sz w:val="24"/>
                <w:szCs w:val="24"/>
              </w:rPr>
            </w:pPr>
            <w:r w:rsidRPr="003B4F3A">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F3A" w:rsidRPr="003B4F3A" w:rsidRDefault="00D0760C" w:rsidP="00A211F3">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F3A" w:rsidRPr="003B4F3A" w:rsidRDefault="00D0760C" w:rsidP="00A211F3">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w:t>
            </w:r>
            <w:r w:rsidRPr="002060DA">
              <w:rPr>
                <w:rFonts w:ascii="Calibri" w:hAnsi="Calibri" w:cs="Calibri"/>
                <w:b/>
                <w:bCs/>
                <w:snapToGrid/>
                <w:color w:val="000000"/>
                <w:sz w:val="24"/>
                <w:szCs w:val="24"/>
              </w:rPr>
              <w:t>/</w:t>
            </w:r>
            <w:r>
              <w:rPr>
                <w:rFonts w:ascii="Calibri" w:hAnsi="Calibri" w:cs="Calibri"/>
                <w:b/>
                <w:bCs/>
                <w:snapToGrid/>
                <w:color w:val="000000"/>
                <w:sz w:val="24"/>
                <w:szCs w:val="24"/>
              </w:rPr>
              <w:t>12</w:t>
            </w:r>
            <w:r w:rsidRPr="002060DA">
              <w:rPr>
                <w:rFonts w:ascii="Calibri" w:hAnsi="Calibri" w:cs="Calibri"/>
                <w:b/>
                <w:bCs/>
                <w:snapToGrid/>
                <w:color w:val="000000"/>
                <w:sz w:val="24"/>
                <w:szCs w:val="24"/>
              </w:rPr>
              <w:t>/201</w:t>
            </w:r>
            <w:r>
              <w:rPr>
                <w:rFonts w:ascii="Calibri" w:hAnsi="Calibri" w:cs="Calibri"/>
                <w:b/>
                <w:bCs/>
                <w:snapToGrid/>
                <w:color w:val="000000"/>
                <w:sz w:val="24"/>
                <w:szCs w:val="24"/>
              </w:rPr>
              <w:t>8</w:t>
            </w:r>
          </w:p>
        </w:tc>
      </w:tr>
      <w:tr w:rsidR="008161EB" w:rsidRPr="003B4F3A" w:rsidTr="00697525">
        <w:trPr>
          <w:trHeight w:val="284"/>
          <w:jc w:val="center"/>
        </w:trPr>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1EB" w:rsidRPr="003B4F3A" w:rsidRDefault="008161EB" w:rsidP="008161EB">
            <w:pPr>
              <w:widowControl/>
              <w:rPr>
                <w:rFonts w:ascii="Calibri" w:hAnsi="Calibri" w:cs="Calibri"/>
                <w:snapToGrid/>
                <w:color w:val="000000"/>
                <w:sz w:val="24"/>
                <w:szCs w:val="24"/>
              </w:rPr>
            </w:pPr>
            <w:r w:rsidRPr="003B4F3A">
              <w:rPr>
                <w:rFonts w:ascii="Calibri" w:hAnsi="Calibri" w:cs="Calibri"/>
                <w:snapToGrid/>
                <w:color w:val="000000"/>
                <w:sz w:val="24"/>
                <w:szCs w:val="24"/>
              </w:rPr>
              <w:t>Perdas Estimadas com Créditos de Liquidação Duvidosa</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3B4F3A" w:rsidRDefault="006C7E20" w:rsidP="006C7E20">
            <w:pPr>
              <w:widowControl/>
              <w:jc w:val="right"/>
              <w:rPr>
                <w:rFonts w:ascii="Calibri" w:hAnsi="Calibri" w:cs="Calibri"/>
                <w:snapToGrid/>
                <w:color w:val="000000"/>
                <w:sz w:val="24"/>
                <w:szCs w:val="24"/>
              </w:rPr>
            </w:pPr>
            <w:r>
              <w:rPr>
                <w:rFonts w:ascii="Calibri" w:hAnsi="Calibri" w:cs="Calibri"/>
                <w:snapToGrid/>
                <w:color w:val="000000"/>
                <w:sz w:val="24"/>
                <w:szCs w:val="24"/>
              </w:rPr>
              <w:t>(9.912)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3B4F3A" w:rsidRDefault="008161EB" w:rsidP="008161EB">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3B4F3A">
              <w:rPr>
                <w:rFonts w:ascii="Calibri" w:hAnsi="Calibri" w:cs="Calibri"/>
                <w:snapToGrid/>
                <w:color w:val="000000"/>
                <w:sz w:val="24"/>
                <w:szCs w:val="24"/>
              </w:rPr>
              <w:t>43.441</w:t>
            </w:r>
            <w:r>
              <w:rPr>
                <w:rFonts w:ascii="Calibri" w:hAnsi="Calibri" w:cs="Calibri"/>
                <w:snapToGrid/>
                <w:color w:val="000000"/>
                <w:sz w:val="24"/>
                <w:szCs w:val="24"/>
              </w:rPr>
              <w:t>)</w:t>
            </w:r>
          </w:p>
        </w:tc>
      </w:tr>
      <w:tr w:rsidR="008161EB" w:rsidRPr="003B4F3A" w:rsidTr="00697525">
        <w:trPr>
          <w:trHeight w:val="284"/>
          <w:jc w:val="center"/>
        </w:trPr>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1EB" w:rsidRPr="003B4F3A" w:rsidRDefault="008161EB" w:rsidP="008161EB">
            <w:pPr>
              <w:widowControl/>
              <w:rPr>
                <w:rFonts w:ascii="Calibri" w:hAnsi="Calibri" w:cs="Calibri"/>
                <w:snapToGrid/>
                <w:color w:val="000000"/>
                <w:sz w:val="24"/>
                <w:szCs w:val="24"/>
              </w:rPr>
            </w:pPr>
            <w:r w:rsidRPr="003B4F3A">
              <w:rPr>
                <w:rFonts w:ascii="Calibri" w:hAnsi="Calibri" w:cs="Calibri"/>
                <w:snapToGrid/>
                <w:color w:val="000000"/>
                <w:sz w:val="24"/>
                <w:szCs w:val="24"/>
              </w:rPr>
              <w:t>Provisão de Férias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3B4F3A" w:rsidRDefault="006C7E20" w:rsidP="008161EB">
            <w:pPr>
              <w:widowControl/>
              <w:jc w:val="right"/>
              <w:rPr>
                <w:rFonts w:ascii="Calibri" w:hAnsi="Calibri" w:cs="Calibri"/>
                <w:snapToGrid/>
                <w:color w:val="000000"/>
                <w:sz w:val="24"/>
                <w:szCs w:val="24"/>
              </w:rPr>
            </w:pPr>
            <w:r>
              <w:rPr>
                <w:rFonts w:ascii="Calibri" w:hAnsi="Calibri" w:cs="Calibri"/>
                <w:snapToGrid/>
                <w:color w:val="000000"/>
                <w:sz w:val="24"/>
                <w:szCs w:val="24"/>
              </w:rPr>
              <w:t>10.721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3B4F3A" w:rsidRDefault="008161EB" w:rsidP="008161EB">
            <w:pPr>
              <w:widowControl/>
              <w:jc w:val="right"/>
              <w:rPr>
                <w:rFonts w:ascii="Calibri" w:hAnsi="Calibri" w:cs="Calibri"/>
                <w:snapToGrid/>
                <w:color w:val="000000"/>
                <w:sz w:val="24"/>
                <w:szCs w:val="24"/>
              </w:rPr>
            </w:pPr>
            <w:r w:rsidRPr="003B4F3A">
              <w:rPr>
                <w:rFonts w:ascii="Calibri" w:hAnsi="Calibri" w:cs="Calibri"/>
                <w:snapToGrid/>
                <w:color w:val="000000"/>
                <w:sz w:val="24"/>
                <w:szCs w:val="24"/>
              </w:rPr>
              <w:t>833</w:t>
            </w:r>
          </w:p>
        </w:tc>
      </w:tr>
      <w:tr w:rsidR="008161EB" w:rsidRPr="003B4F3A" w:rsidTr="00697525">
        <w:trPr>
          <w:trHeight w:val="284"/>
          <w:jc w:val="center"/>
        </w:trPr>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1EB" w:rsidRPr="003B4F3A" w:rsidRDefault="008161EB" w:rsidP="008161EB">
            <w:pPr>
              <w:widowControl/>
              <w:rPr>
                <w:rFonts w:ascii="Calibri" w:hAnsi="Calibri" w:cs="Calibri"/>
                <w:snapToGrid/>
                <w:color w:val="000000"/>
                <w:sz w:val="24"/>
                <w:szCs w:val="24"/>
              </w:rPr>
            </w:pPr>
            <w:r w:rsidRPr="003B4F3A">
              <w:rPr>
                <w:rFonts w:ascii="Calibri" w:hAnsi="Calibri" w:cs="Calibri"/>
                <w:snapToGrid/>
                <w:color w:val="000000"/>
                <w:sz w:val="24"/>
                <w:szCs w:val="24"/>
              </w:rPr>
              <w:t>Provisão para o 13º Salário</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3B4F3A" w:rsidRDefault="006C7E20" w:rsidP="008161EB">
            <w:pPr>
              <w:widowControl/>
              <w:jc w:val="right"/>
              <w:rPr>
                <w:rFonts w:ascii="Calibri" w:hAnsi="Calibri" w:cs="Calibri"/>
                <w:snapToGrid/>
                <w:color w:val="000000"/>
                <w:sz w:val="24"/>
                <w:szCs w:val="24"/>
              </w:rPr>
            </w:pPr>
            <w:r>
              <w:rPr>
                <w:rFonts w:ascii="Calibri" w:hAnsi="Calibri" w:cs="Calibri"/>
                <w:snapToGrid/>
                <w:color w:val="000000"/>
                <w:sz w:val="24"/>
                <w:szCs w:val="24"/>
              </w:rPr>
              <w:t>(6.156)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3B4F3A" w:rsidRDefault="008161EB" w:rsidP="008161EB">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3B4F3A">
              <w:rPr>
                <w:rFonts w:ascii="Calibri" w:hAnsi="Calibri" w:cs="Calibri"/>
                <w:snapToGrid/>
                <w:color w:val="000000"/>
                <w:sz w:val="24"/>
                <w:szCs w:val="24"/>
              </w:rPr>
              <w:t>6.28</w:t>
            </w:r>
            <w:r>
              <w:rPr>
                <w:rFonts w:ascii="Calibri" w:hAnsi="Calibri" w:cs="Calibri"/>
                <w:snapToGrid/>
                <w:color w:val="000000"/>
                <w:sz w:val="24"/>
                <w:szCs w:val="24"/>
              </w:rPr>
              <w:t>6)</w:t>
            </w:r>
          </w:p>
        </w:tc>
      </w:tr>
      <w:tr w:rsidR="008161EB" w:rsidRPr="003B4F3A" w:rsidTr="00697525">
        <w:trPr>
          <w:trHeight w:val="284"/>
          <w:jc w:val="center"/>
        </w:trPr>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1EB" w:rsidRPr="003B4F3A" w:rsidRDefault="008161EB" w:rsidP="008161EB">
            <w:pPr>
              <w:widowControl/>
              <w:rPr>
                <w:rFonts w:ascii="Calibri" w:hAnsi="Calibri" w:cs="Calibri"/>
                <w:snapToGrid/>
                <w:color w:val="000000"/>
                <w:sz w:val="24"/>
                <w:szCs w:val="24"/>
              </w:rPr>
            </w:pPr>
            <w:r w:rsidRPr="003B4F3A">
              <w:rPr>
                <w:rFonts w:ascii="Calibri" w:hAnsi="Calibri" w:cs="Calibri"/>
                <w:snapToGrid/>
                <w:color w:val="000000"/>
                <w:sz w:val="24"/>
                <w:szCs w:val="24"/>
              </w:rPr>
              <w:t>Provisão para FGTS do 13º Salário</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3B4F3A" w:rsidRDefault="006C7E20" w:rsidP="008161EB">
            <w:pPr>
              <w:widowControl/>
              <w:jc w:val="right"/>
              <w:rPr>
                <w:rFonts w:ascii="Calibri" w:hAnsi="Calibri" w:cs="Calibri"/>
                <w:snapToGrid/>
                <w:color w:val="000000"/>
                <w:sz w:val="24"/>
                <w:szCs w:val="24"/>
              </w:rPr>
            </w:pPr>
            <w:r>
              <w:rPr>
                <w:rFonts w:ascii="Calibri" w:hAnsi="Calibri" w:cs="Calibri"/>
                <w:snapToGrid/>
                <w:color w:val="000000"/>
                <w:sz w:val="24"/>
                <w:szCs w:val="24"/>
              </w:rPr>
              <w:t>(524)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3B4F3A" w:rsidRDefault="008161EB" w:rsidP="008161EB">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Pr="003B4F3A">
              <w:rPr>
                <w:rFonts w:ascii="Calibri" w:hAnsi="Calibri" w:cs="Calibri"/>
                <w:snapToGrid/>
                <w:color w:val="000000"/>
                <w:sz w:val="24"/>
                <w:szCs w:val="24"/>
              </w:rPr>
              <w:t>11</w:t>
            </w:r>
            <w:r>
              <w:rPr>
                <w:rFonts w:ascii="Calibri" w:hAnsi="Calibri" w:cs="Calibri"/>
                <w:snapToGrid/>
                <w:color w:val="000000"/>
                <w:sz w:val="24"/>
                <w:szCs w:val="24"/>
              </w:rPr>
              <w:t>)</w:t>
            </w:r>
          </w:p>
        </w:tc>
      </w:tr>
      <w:tr w:rsidR="008161EB" w:rsidRPr="003B4F3A" w:rsidTr="00697525">
        <w:trPr>
          <w:trHeight w:val="284"/>
          <w:jc w:val="center"/>
        </w:trPr>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1EB" w:rsidRPr="003B4F3A" w:rsidRDefault="008161EB" w:rsidP="008161EB">
            <w:pPr>
              <w:widowControl/>
              <w:rPr>
                <w:rFonts w:ascii="Calibri" w:hAnsi="Calibri" w:cs="Calibri"/>
                <w:snapToGrid/>
                <w:color w:val="000000"/>
                <w:sz w:val="24"/>
                <w:szCs w:val="24"/>
              </w:rPr>
            </w:pPr>
            <w:r w:rsidRPr="003B4F3A">
              <w:rPr>
                <w:rFonts w:ascii="Calibri" w:hAnsi="Calibri" w:cs="Calibri"/>
                <w:snapToGrid/>
                <w:color w:val="000000"/>
                <w:sz w:val="24"/>
                <w:szCs w:val="24"/>
              </w:rPr>
              <w:t>Provisão para Contingências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3B4F3A" w:rsidRDefault="006C5A96" w:rsidP="008161EB">
            <w:pPr>
              <w:widowControl/>
              <w:jc w:val="right"/>
              <w:rPr>
                <w:rFonts w:ascii="Calibri" w:hAnsi="Calibri" w:cs="Calibri"/>
                <w:snapToGrid/>
                <w:color w:val="000000"/>
                <w:sz w:val="24"/>
                <w:szCs w:val="24"/>
              </w:rPr>
            </w:pPr>
            <w:r>
              <w:rPr>
                <w:rFonts w:ascii="Calibri" w:hAnsi="Calibri" w:cs="Calibri"/>
                <w:snapToGrid/>
                <w:color w:val="000000"/>
                <w:sz w:val="24"/>
                <w:szCs w:val="24"/>
              </w:rPr>
              <w:t>1.021.947</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3B4F3A" w:rsidRDefault="006C5A96" w:rsidP="008161EB">
            <w:pPr>
              <w:widowControl/>
              <w:jc w:val="right"/>
              <w:rPr>
                <w:rFonts w:ascii="Calibri" w:hAnsi="Calibri" w:cs="Calibri"/>
                <w:snapToGrid/>
                <w:color w:val="000000"/>
                <w:sz w:val="24"/>
                <w:szCs w:val="24"/>
              </w:rPr>
            </w:pPr>
            <w:r>
              <w:rPr>
                <w:rFonts w:ascii="Calibri" w:hAnsi="Calibri" w:cs="Calibri"/>
                <w:snapToGrid/>
                <w:color w:val="000000"/>
                <w:sz w:val="24"/>
                <w:szCs w:val="24"/>
              </w:rPr>
              <w:t>(147.386)</w:t>
            </w:r>
          </w:p>
        </w:tc>
      </w:tr>
      <w:tr w:rsidR="008161EB" w:rsidRPr="003B4F3A" w:rsidTr="00697525">
        <w:trPr>
          <w:trHeight w:val="284"/>
          <w:jc w:val="center"/>
        </w:trPr>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8161EB" w:rsidRDefault="008161EB" w:rsidP="008161EB">
            <w:pPr>
              <w:widowControl/>
              <w:rPr>
                <w:rFonts w:ascii="Calibri" w:hAnsi="Calibri" w:cs="Calibri"/>
                <w:bCs/>
                <w:snapToGrid/>
                <w:color w:val="000000"/>
                <w:sz w:val="24"/>
                <w:szCs w:val="24"/>
              </w:rPr>
            </w:pPr>
            <w:r w:rsidRPr="008161EB">
              <w:rPr>
                <w:rFonts w:ascii="Calibri" w:hAnsi="Calibri" w:cs="Calibri"/>
                <w:bCs/>
                <w:snapToGrid/>
                <w:color w:val="000000"/>
                <w:sz w:val="24"/>
                <w:szCs w:val="24"/>
              </w:rPr>
              <w:t>Outras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6C7E20" w:rsidRDefault="00D414A4" w:rsidP="008161EB">
            <w:pPr>
              <w:widowControl/>
              <w:jc w:val="right"/>
              <w:rPr>
                <w:rFonts w:ascii="Calibri" w:hAnsi="Calibri" w:cs="Calibri"/>
                <w:bCs/>
                <w:snapToGrid/>
                <w:color w:val="000000"/>
                <w:sz w:val="24"/>
                <w:szCs w:val="24"/>
              </w:rPr>
            </w:pPr>
            <w:r>
              <w:rPr>
                <w:rFonts w:ascii="Calibri" w:hAnsi="Calibri" w:cs="Calibri"/>
                <w:bCs/>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8161EB" w:rsidRDefault="008161EB" w:rsidP="008161EB">
            <w:pPr>
              <w:widowControl/>
              <w:jc w:val="right"/>
              <w:rPr>
                <w:rFonts w:ascii="Calibri" w:hAnsi="Calibri" w:cs="Calibri"/>
                <w:bCs/>
                <w:snapToGrid/>
                <w:color w:val="000000"/>
                <w:sz w:val="24"/>
                <w:szCs w:val="24"/>
              </w:rPr>
            </w:pPr>
            <w:r w:rsidRPr="008161EB">
              <w:rPr>
                <w:rFonts w:ascii="Calibri" w:hAnsi="Calibri" w:cs="Calibri"/>
                <w:bCs/>
                <w:snapToGrid/>
                <w:color w:val="000000"/>
                <w:sz w:val="24"/>
                <w:szCs w:val="24"/>
              </w:rPr>
              <w:t>(3)</w:t>
            </w:r>
          </w:p>
        </w:tc>
      </w:tr>
      <w:tr w:rsidR="008161EB" w:rsidRPr="003B4F3A" w:rsidTr="00697525">
        <w:trPr>
          <w:trHeight w:val="284"/>
          <w:jc w:val="center"/>
        </w:trPr>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1EB" w:rsidRPr="003B4F3A" w:rsidRDefault="008161EB" w:rsidP="008161EB">
            <w:pPr>
              <w:widowControl/>
              <w:rPr>
                <w:rFonts w:ascii="Calibri" w:hAnsi="Calibri" w:cs="Calibri"/>
                <w:b/>
                <w:bCs/>
                <w:snapToGrid/>
                <w:color w:val="000000"/>
                <w:sz w:val="24"/>
                <w:szCs w:val="24"/>
              </w:rPr>
            </w:pPr>
            <w:r w:rsidRPr="003B4F3A">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3B4F3A" w:rsidRDefault="006C5A96" w:rsidP="006C5A96">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1.016.076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3B4F3A" w:rsidRDefault="006C5A96" w:rsidP="008161EB">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(196.294)</w:t>
            </w:r>
          </w:p>
        </w:tc>
      </w:tr>
    </w:tbl>
    <w:p w:rsidR="00516C4E" w:rsidRDefault="00516C4E" w:rsidP="00C16DDB">
      <w:pPr>
        <w:jc w:val="both"/>
        <w:rPr>
          <w:rFonts w:ascii="Calibri" w:hAnsi="Calibri" w:cs="Calibri"/>
          <w:sz w:val="24"/>
          <w:szCs w:val="24"/>
        </w:rPr>
      </w:pPr>
    </w:p>
    <w:p w:rsidR="00D414A4" w:rsidRDefault="00D414A4" w:rsidP="00C16DDB">
      <w:pPr>
        <w:jc w:val="both"/>
        <w:rPr>
          <w:rFonts w:ascii="Calibri" w:hAnsi="Calibri" w:cs="Calibri"/>
          <w:b/>
          <w:sz w:val="24"/>
          <w:szCs w:val="24"/>
        </w:rPr>
      </w:pPr>
    </w:p>
    <w:p w:rsidR="00C16DDB" w:rsidRPr="00312424" w:rsidRDefault="0004363C" w:rsidP="00C16DDB">
      <w:pPr>
        <w:jc w:val="both"/>
        <w:rPr>
          <w:rFonts w:ascii="Calibri" w:hAnsi="Calibri" w:cs="Calibri"/>
          <w:b/>
          <w:sz w:val="24"/>
          <w:szCs w:val="24"/>
        </w:rPr>
      </w:pPr>
      <w:r>
        <w:rPr>
          <w:rFonts w:ascii="Calibri" w:hAnsi="Calibri" w:cs="Calibri"/>
          <w:b/>
          <w:sz w:val="24"/>
          <w:szCs w:val="24"/>
        </w:rPr>
        <w:t>2</w:t>
      </w:r>
      <w:r w:rsidR="002500FC">
        <w:rPr>
          <w:rFonts w:ascii="Calibri" w:hAnsi="Calibri" w:cs="Calibri"/>
          <w:b/>
          <w:sz w:val="24"/>
          <w:szCs w:val="24"/>
        </w:rPr>
        <w:t>5</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 xml:space="preserve">OUTRAS </w:t>
      </w:r>
      <w:r>
        <w:rPr>
          <w:rFonts w:ascii="Calibri" w:hAnsi="Calibri" w:cs="Calibri"/>
          <w:b/>
          <w:sz w:val="24"/>
          <w:szCs w:val="24"/>
          <w:u w:val="single"/>
        </w:rPr>
        <w:t>RECEITAS</w:t>
      </w:r>
      <w:r w:rsidR="00C16DDB" w:rsidRPr="00312424">
        <w:rPr>
          <w:rFonts w:ascii="Calibri" w:hAnsi="Calibri" w:cs="Calibri"/>
          <w:b/>
          <w:sz w:val="24"/>
          <w:szCs w:val="24"/>
          <w:u w:val="single"/>
        </w:rPr>
        <w:t xml:space="preserve"> OPERACIONAIS</w:t>
      </w:r>
    </w:p>
    <w:p w:rsidR="00C16DDB" w:rsidRDefault="00C16DDB" w:rsidP="00C16DDB">
      <w:pPr>
        <w:jc w:val="both"/>
        <w:rPr>
          <w:rFonts w:ascii="Calibri" w:hAnsi="Calibri" w:cs="Calibri"/>
          <w:sz w:val="24"/>
          <w:szCs w:val="24"/>
        </w:rPr>
      </w:pPr>
    </w:p>
    <w:p w:rsidR="00340FB0" w:rsidRDefault="00340FB0" w:rsidP="00C16DDB">
      <w:pPr>
        <w:jc w:val="both"/>
        <w:rPr>
          <w:rFonts w:ascii="Calibri" w:hAnsi="Calibri" w:cs="Calibri"/>
          <w:sz w:val="24"/>
          <w:szCs w:val="24"/>
        </w:rPr>
      </w:pPr>
      <w:r>
        <w:rPr>
          <w:rFonts w:ascii="Calibri" w:hAnsi="Calibri" w:cs="Calibri"/>
          <w:sz w:val="24"/>
          <w:szCs w:val="24"/>
        </w:rPr>
        <w:t>O grupo possui a seguinte composição:</w:t>
      </w:r>
    </w:p>
    <w:p w:rsidR="0004363C" w:rsidRDefault="0004363C" w:rsidP="00C16DDB">
      <w:pPr>
        <w:jc w:val="both"/>
        <w:rPr>
          <w:rFonts w:ascii="Calibri" w:hAnsi="Calibri" w:cs="Calibri"/>
          <w:sz w:val="24"/>
          <w:szCs w:val="24"/>
        </w:rPr>
      </w:pPr>
    </w:p>
    <w:tbl>
      <w:tblPr>
        <w:tblW w:w="6920" w:type="dxa"/>
        <w:jc w:val="center"/>
        <w:tblCellMar>
          <w:left w:w="70" w:type="dxa"/>
          <w:right w:w="70" w:type="dxa"/>
        </w:tblCellMar>
        <w:tblLook w:val="04A0" w:firstRow="1" w:lastRow="0" w:firstColumn="1" w:lastColumn="0" w:noHBand="0" w:noVBand="1"/>
      </w:tblPr>
      <w:tblGrid>
        <w:gridCol w:w="3400"/>
        <w:gridCol w:w="1760"/>
        <w:gridCol w:w="1760"/>
      </w:tblGrid>
      <w:tr w:rsidR="003D07B8" w:rsidRPr="003D07B8" w:rsidTr="00697525">
        <w:trPr>
          <w:trHeight w:val="284"/>
          <w:jc w:val="center"/>
        </w:trPr>
        <w:tc>
          <w:tcPr>
            <w:tcW w:w="3400" w:type="dxa"/>
            <w:tcBorders>
              <w:top w:val="nil"/>
              <w:left w:val="nil"/>
              <w:bottom w:val="single" w:sz="4" w:space="0" w:color="auto"/>
              <w:right w:val="single" w:sz="4" w:space="0" w:color="auto"/>
            </w:tcBorders>
            <w:shd w:val="clear" w:color="auto" w:fill="auto"/>
            <w:noWrap/>
            <w:vAlign w:val="bottom"/>
            <w:hideMark/>
          </w:tcPr>
          <w:p w:rsidR="003D07B8" w:rsidRPr="003D07B8" w:rsidRDefault="003D07B8" w:rsidP="003D07B8">
            <w:pPr>
              <w:widowControl/>
              <w:rPr>
                <w:rFonts w:ascii="Calibri" w:hAnsi="Calibri" w:cs="Calibri"/>
                <w:snapToGrid/>
                <w:color w:val="000000"/>
                <w:sz w:val="24"/>
                <w:szCs w:val="24"/>
              </w:rPr>
            </w:pPr>
            <w:r w:rsidRPr="003D07B8">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07B8" w:rsidRPr="003D07B8" w:rsidRDefault="00D0760C" w:rsidP="00A211F3">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07B8" w:rsidRPr="003D07B8" w:rsidRDefault="00D0760C" w:rsidP="00A211F3">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w:t>
            </w:r>
            <w:r w:rsidRPr="002060DA">
              <w:rPr>
                <w:rFonts w:ascii="Calibri" w:hAnsi="Calibri" w:cs="Calibri"/>
                <w:b/>
                <w:bCs/>
                <w:snapToGrid/>
                <w:color w:val="000000"/>
                <w:sz w:val="24"/>
                <w:szCs w:val="24"/>
              </w:rPr>
              <w:t>/</w:t>
            </w:r>
            <w:r>
              <w:rPr>
                <w:rFonts w:ascii="Calibri" w:hAnsi="Calibri" w:cs="Calibri"/>
                <w:b/>
                <w:bCs/>
                <w:snapToGrid/>
                <w:color w:val="000000"/>
                <w:sz w:val="24"/>
                <w:szCs w:val="24"/>
              </w:rPr>
              <w:t>12</w:t>
            </w:r>
            <w:r w:rsidRPr="002060DA">
              <w:rPr>
                <w:rFonts w:ascii="Calibri" w:hAnsi="Calibri" w:cs="Calibri"/>
                <w:b/>
                <w:bCs/>
                <w:snapToGrid/>
                <w:color w:val="000000"/>
                <w:sz w:val="24"/>
                <w:szCs w:val="24"/>
              </w:rPr>
              <w:t>/201</w:t>
            </w:r>
            <w:r>
              <w:rPr>
                <w:rFonts w:ascii="Calibri" w:hAnsi="Calibri" w:cs="Calibri"/>
                <w:b/>
                <w:bCs/>
                <w:snapToGrid/>
                <w:color w:val="000000"/>
                <w:sz w:val="24"/>
                <w:szCs w:val="24"/>
              </w:rPr>
              <w:t>8</w:t>
            </w:r>
          </w:p>
        </w:tc>
      </w:tr>
      <w:tr w:rsidR="008161EB" w:rsidRPr="003D07B8" w:rsidTr="00697525">
        <w:trPr>
          <w:trHeight w:val="284"/>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1EB" w:rsidRPr="003D07B8" w:rsidRDefault="008161EB" w:rsidP="008161EB">
            <w:pPr>
              <w:widowControl/>
              <w:rPr>
                <w:rFonts w:ascii="Calibri" w:hAnsi="Calibri" w:cs="Calibri"/>
                <w:snapToGrid/>
                <w:color w:val="000000"/>
                <w:sz w:val="24"/>
                <w:szCs w:val="24"/>
              </w:rPr>
            </w:pPr>
            <w:r w:rsidRPr="003D07B8">
              <w:rPr>
                <w:rFonts w:ascii="Calibri" w:hAnsi="Calibri" w:cs="Calibri"/>
                <w:snapToGrid/>
                <w:color w:val="000000"/>
                <w:sz w:val="24"/>
                <w:szCs w:val="24"/>
              </w:rPr>
              <w:t>Aluguel</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3D07B8" w:rsidRDefault="006C7E20" w:rsidP="008161EB">
            <w:pPr>
              <w:widowControl/>
              <w:jc w:val="right"/>
              <w:rPr>
                <w:rFonts w:ascii="Calibri" w:hAnsi="Calibri" w:cs="Calibri"/>
                <w:snapToGrid/>
                <w:color w:val="000000"/>
                <w:sz w:val="24"/>
                <w:szCs w:val="24"/>
              </w:rPr>
            </w:pPr>
            <w:r>
              <w:rPr>
                <w:rFonts w:ascii="Calibri" w:hAnsi="Calibri" w:cs="Calibri"/>
                <w:snapToGrid/>
                <w:color w:val="000000"/>
                <w:sz w:val="24"/>
                <w:szCs w:val="24"/>
              </w:rPr>
              <w:t>11.628</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3D07B8" w:rsidRDefault="008161EB" w:rsidP="008161EB">
            <w:pPr>
              <w:widowControl/>
              <w:jc w:val="right"/>
              <w:rPr>
                <w:rFonts w:ascii="Calibri" w:hAnsi="Calibri" w:cs="Calibri"/>
                <w:snapToGrid/>
                <w:color w:val="000000"/>
                <w:sz w:val="24"/>
                <w:szCs w:val="24"/>
              </w:rPr>
            </w:pPr>
            <w:r w:rsidRPr="003D07B8">
              <w:rPr>
                <w:rFonts w:ascii="Calibri" w:hAnsi="Calibri" w:cs="Calibri"/>
                <w:snapToGrid/>
                <w:color w:val="000000"/>
                <w:sz w:val="24"/>
                <w:szCs w:val="24"/>
              </w:rPr>
              <w:t>11.92</w:t>
            </w:r>
            <w:r>
              <w:rPr>
                <w:rFonts w:ascii="Calibri" w:hAnsi="Calibri" w:cs="Calibri"/>
                <w:snapToGrid/>
                <w:color w:val="000000"/>
                <w:sz w:val="24"/>
                <w:szCs w:val="24"/>
              </w:rPr>
              <w:t>1</w:t>
            </w:r>
          </w:p>
        </w:tc>
      </w:tr>
      <w:tr w:rsidR="008161EB" w:rsidRPr="003D07B8" w:rsidTr="00697525">
        <w:trPr>
          <w:trHeight w:val="284"/>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1EB" w:rsidRPr="003D07B8" w:rsidRDefault="008161EB" w:rsidP="008161EB">
            <w:pPr>
              <w:widowControl/>
              <w:rPr>
                <w:rFonts w:ascii="Calibri" w:hAnsi="Calibri" w:cs="Calibri"/>
                <w:snapToGrid/>
                <w:color w:val="000000"/>
                <w:sz w:val="24"/>
                <w:szCs w:val="24"/>
              </w:rPr>
            </w:pPr>
            <w:r w:rsidRPr="003D07B8">
              <w:rPr>
                <w:rFonts w:ascii="Calibri" w:hAnsi="Calibri" w:cs="Calibri"/>
                <w:snapToGrid/>
                <w:color w:val="000000"/>
                <w:sz w:val="24"/>
                <w:szCs w:val="24"/>
              </w:rPr>
              <w:t>Multas Aplicadas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3D07B8" w:rsidRDefault="006C7E20" w:rsidP="008161EB">
            <w:pPr>
              <w:widowControl/>
              <w:jc w:val="right"/>
              <w:rPr>
                <w:rFonts w:ascii="Calibri" w:hAnsi="Calibri" w:cs="Calibri"/>
                <w:snapToGrid/>
                <w:color w:val="000000"/>
                <w:sz w:val="24"/>
                <w:szCs w:val="24"/>
              </w:rPr>
            </w:pPr>
            <w:r>
              <w:rPr>
                <w:rFonts w:ascii="Calibri" w:hAnsi="Calibri" w:cs="Calibri"/>
                <w:snapToGrid/>
                <w:color w:val="000000"/>
                <w:sz w:val="24"/>
                <w:szCs w:val="24"/>
              </w:rPr>
              <w:t>11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3D07B8" w:rsidRDefault="008161EB" w:rsidP="008161EB">
            <w:pPr>
              <w:widowControl/>
              <w:jc w:val="right"/>
              <w:rPr>
                <w:rFonts w:ascii="Calibri" w:hAnsi="Calibri" w:cs="Calibri"/>
                <w:snapToGrid/>
                <w:color w:val="000000"/>
                <w:sz w:val="24"/>
                <w:szCs w:val="24"/>
              </w:rPr>
            </w:pPr>
            <w:r w:rsidRPr="003D07B8">
              <w:rPr>
                <w:rFonts w:ascii="Calibri" w:hAnsi="Calibri" w:cs="Calibri"/>
                <w:snapToGrid/>
                <w:color w:val="000000"/>
                <w:sz w:val="24"/>
                <w:szCs w:val="24"/>
              </w:rPr>
              <w:t>2.967</w:t>
            </w:r>
          </w:p>
        </w:tc>
      </w:tr>
      <w:tr w:rsidR="008161EB" w:rsidRPr="003D07B8" w:rsidTr="00697525">
        <w:trPr>
          <w:trHeight w:val="284"/>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1EB" w:rsidRPr="003D07B8" w:rsidRDefault="008161EB" w:rsidP="008161EB">
            <w:pPr>
              <w:widowControl/>
              <w:rPr>
                <w:rFonts w:ascii="Calibri" w:hAnsi="Calibri" w:cs="Calibri"/>
                <w:snapToGrid/>
                <w:color w:val="000000"/>
                <w:sz w:val="24"/>
                <w:szCs w:val="24"/>
              </w:rPr>
            </w:pPr>
            <w:r w:rsidRPr="003D07B8">
              <w:rPr>
                <w:rFonts w:ascii="Calibri" w:hAnsi="Calibri" w:cs="Calibri"/>
                <w:snapToGrid/>
                <w:color w:val="000000"/>
                <w:sz w:val="24"/>
                <w:szCs w:val="24"/>
              </w:rPr>
              <w:t xml:space="preserve">Recuperação de Vencimentos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3D07B8" w:rsidRDefault="00D414A4" w:rsidP="008161EB">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3D07B8" w:rsidRDefault="008161EB" w:rsidP="008161EB">
            <w:pPr>
              <w:widowControl/>
              <w:jc w:val="right"/>
              <w:rPr>
                <w:rFonts w:ascii="Calibri" w:hAnsi="Calibri" w:cs="Calibri"/>
                <w:snapToGrid/>
                <w:color w:val="000000"/>
                <w:sz w:val="24"/>
                <w:szCs w:val="24"/>
              </w:rPr>
            </w:pPr>
            <w:r w:rsidRPr="003D07B8">
              <w:rPr>
                <w:rFonts w:ascii="Calibri" w:hAnsi="Calibri" w:cs="Calibri"/>
                <w:snapToGrid/>
                <w:color w:val="000000"/>
                <w:sz w:val="24"/>
                <w:szCs w:val="24"/>
              </w:rPr>
              <w:t>35.406</w:t>
            </w:r>
          </w:p>
        </w:tc>
      </w:tr>
      <w:tr w:rsidR="008161EB" w:rsidRPr="003D07B8" w:rsidTr="00697525">
        <w:trPr>
          <w:trHeight w:val="284"/>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1EB" w:rsidRPr="003D07B8" w:rsidRDefault="008161EB" w:rsidP="008161EB">
            <w:pPr>
              <w:widowControl/>
              <w:rPr>
                <w:rFonts w:ascii="Calibri" w:hAnsi="Calibri" w:cs="Calibri"/>
                <w:snapToGrid/>
                <w:color w:val="000000"/>
                <w:sz w:val="24"/>
                <w:szCs w:val="24"/>
              </w:rPr>
            </w:pPr>
            <w:r w:rsidRPr="003D07B8">
              <w:rPr>
                <w:rFonts w:ascii="Calibri" w:hAnsi="Calibri" w:cs="Calibri"/>
                <w:snapToGrid/>
                <w:color w:val="000000"/>
                <w:sz w:val="24"/>
                <w:szCs w:val="24"/>
              </w:rPr>
              <w:t>Outras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3D07B8" w:rsidRDefault="006C7E20" w:rsidP="008161EB">
            <w:pPr>
              <w:widowControl/>
              <w:jc w:val="right"/>
              <w:rPr>
                <w:rFonts w:ascii="Calibri" w:hAnsi="Calibri" w:cs="Calibri"/>
                <w:snapToGrid/>
                <w:color w:val="000000"/>
                <w:sz w:val="24"/>
                <w:szCs w:val="24"/>
              </w:rPr>
            </w:pPr>
            <w:r>
              <w:rPr>
                <w:rFonts w:ascii="Calibri" w:hAnsi="Calibri" w:cs="Calibri"/>
                <w:snapToGrid/>
                <w:color w:val="000000"/>
                <w:sz w:val="24"/>
                <w:szCs w:val="24"/>
              </w:rPr>
              <w:t>764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3D07B8" w:rsidRDefault="008161EB" w:rsidP="008161EB">
            <w:pPr>
              <w:widowControl/>
              <w:jc w:val="right"/>
              <w:rPr>
                <w:rFonts w:ascii="Calibri" w:hAnsi="Calibri" w:cs="Calibri"/>
                <w:snapToGrid/>
                <w:color w:val="000000"/>
                <w:sz w:val="24"/>
                <w:szCs w:val="24"/>
              </w:rPr>
            </w:pPr>
            <w:r w:rsidRPr="003D07B8">
              <w:rPr>
                <w:rFonts w:ascii="Calibri" w:hAnsi="Calibri" w:cs="Calibri"/>
                <w:snapToGrid/>
                <w:color w:val="000000"/>
                <w:sz w:val="24"/>
                <w:szCs w:val="24"/>
              </w:rPr>
              <w:t>791</w:t>
            </w:r>
          </w:p>
        </w:tc>
      </w:tr>
      <w:tr w:rsidR="008161EB" w:rsidRPr="003D07B8" w:rsidTr="00697525">
        <w:trPr>
          <w:trHeight w:val="284"/>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1EB" w:rsidRPr="003D07B8" w:rsidRDefault="008161EB" w:rsidP="008161EB">
            <w:pPr>
              <w:widowControl/>
              <w:rPr>
                <w:rFonts w:ascii="Calibri" w:hAnsi="Calibri" w:cs="Calibri"/>
                <w:b/>
                <w:bCs/>
                <w:snapToGrid/>
                <w:color w:val="000000"/>
                <w:sz w:val="24"/>
                <w:szCs w:val="24"/>
              </w:rPr>
            </w:pPr>
            <w:r w:rsidRPr="003D07B8">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3D07B8" w:rsidRDefault="006C7E20" w:rsidP="008161EB">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12.403</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3D07B8" w:rsidRDefault="008161EB" w:rsidP="008161EB">
            <w:pPr>
              <w:widowControl/>
              <w:jc w:val="right"/>
              <w:rPr>
                <w:rFonts w:ascii="Calibri" w:hAnsi="Calibri" w:cs="Calibri"/>
                <w:b/>
                <w:bCs/>
                <w:snapToGrid/>
                <w:color w:val="000000"/>
                <w:sz w:val="24"/>
                <w:szCs w:val="24"/>
              </w:rPr>
            </w:pPr>
            <w:r w:rsidRPr="003D07B8">
              <w:rPr>
                <w:rFonts w:ascii="Calibri" w:hAnsi="Calibri" w:cs="Calibri"/>
                <w:b/>
                <w:bCs/>
                <w:snapToGrid/>
                <w:color w:val="000000"/>
                <w:sz w:val="24"/>
                <w:szCs w:val="24"/>
              </w:rPr>
              <w:t>51.085</w:t>
            </w:r>
          </w:p>
        </w:tc>
      </w:tr>
    </w:tbl>
    <w:p w:rsidR="00C13D42" w:rsidRDefault="00C13D42" w:rsidP="00C16DDB">
      <w:pPr>
        <w:jc w:val="both"/>
        <w:rPr>
          <w:rFonts w:ascii="Calibri" w:hAnsi="Calibri" w:cs="Calibri"/>
          <w:b/>
          <w:sz w:val="24"/>
          <w:szCs w:val="24"/>
        </w:rPr>
      </w:pPr>
    </w:p>
    <w:p w:rsidR="003E7F3A" w:rsidRPr="003E7F3A" w:rsidRDefault="003E7F3A" w:rsidP="00C16DDB">
      <w:pPr>
        <w:jc w:val="both"/>
        <w:rPr>
          <w:rFonts w:ascii="Calibri" w:hAnsi="Calibri" w:cs="Calibri"/>
          <w:sz w:val="24"/>
          <w:szCs w:val="24"/>
        </w:rPr>
      </w:pPr>
      <w:r w:rsidRPr="003E7F3A">
        <w:rPr>
          <w:rFonts w:ascii="Calibri" w:hAnsi="Calibri" w:cs="Calibri"/>
          <w:sz w:val="24"/>
          <w:szCs w:val="24"/>
        </w:rPr>
        <w:t xml:space="preserve">A conta </w:t>
      </w:r>
      <w:r w:rsidRPr="003E7F3A">
        <w:rPr>
          <w:rFonts w:ascii="Calibri" w:hAnsi="Calibri" w:cs="Calibri"/>
          <w:b/>
          <w:sz w:val="24"/>
          <w:szCs w:val="24"/>
        </w:rPr>
        <w:t>Recuperação de Vencimentos</w:t>
      </w:r>
      <w:r w:rsidR="002057B2">
        <w:rPr>
          <w:rFonts w:ascii="Calibri" w:hAnsi="Calibri" w:cs="Calibri"/>
          <w:b/>
          <w:sz w:val="24"/>
          <w:szCs w:val="24"/>
        </w:rPr>
        <w:t>,</w:t>
      </w:r>
      <w:r w:rsidRPr="003E7F3A">
        <w:rPr>
          <w:rFonts w:ascii="Calibri" w:hAnsi="Calibri" w:cs="Calibri"/>
          <w:sz w:val="24"/>
          <w:szCs w:val="24"/>
        </w:rPr>
        <w:t xml:space="preserve"> </w:t>
      </w:r>
      <w:r w:rsidR="002057B2">
        <w:rPr>
          <w:rFonts w:ascii="Calibri" w:hAnsi="Calibri" w:cs="Calibri"/>
          <w:sz w:val="24"/>
          <w:szCs w:val="24"/>
        </w:rPr>
        <w:t xml:space="preserve">que </w:t>
      </w:r>
      <w:r w:rsidRPr="003E7F3A">
        <w:rPr>
          <w:rFonts w:ascii="Calibri" w:hAnsi="Calibri" w:cs="Calibri"/>
          <w:sz w:val="24"/>
          <w:szCs w:val="24"/>
        </w:rPr>
        <w:t xml:space="preserve">registra </w:t>
      </w:r>
      <w:r>
        <w:rPr>
          <w:rFonts w:ascii="Calibri" w:hAnsi="Calibri" w:cs="Calibri"/>
          <w:sz w:val="24"/>
          <w:szCs w:val="24"/>
        </w:rPr>
        <w:t>o recebimento do ressarcimento com os gastos relativos aos empregados da CDRJ cedid</w:t>
      </w:r>
      <w:r w:rsidR="002057B2">
        <w:rPr>
          <w:rFonts w:ascii="Calibri" w:hAnsi="Calibri" w:cs="Calibri"/>
          <w:sz w:val="24"/>
          <w:szCs w:val="24"/>
        </w:rPr>
        <w:t>os a outros ór</w:t>
      </w:r>
      <w:r w:rsidR="00D84E03">
        <w:rPr>
          <w:rFonts w:ascii="Calibri" w:hAnsi="Calibri" w:cs="Calibri"/>
          <w:sz w:val="24"/>
          <w:szCs w:val="24"/>
        </w:rPr>
        <w:t xml:space="preserve">gãos ou entidades, deixou de ser contabilizada como receita, no exercício de 2019, e passou a </w:t>
      </w:r>
      <w:r w:rsidR="00BD3CB0">
        <w:rPr>
          <w:rFonts w:ascii="Calibri" w:hAnsi="Calibri" w:cs="Calibri"/>
          <w:sz w:val="24"/>
          <w:szCs w:val="24"/>
        </w:rPr>
        <w:t xml:space="preserve">reduzir </w:t>
      </w:r>
      <w:r w:rsidR="00D84E03">
        <w:rPr>
          <w:rFonts w:ascii="Calibri" w:hAnsi="Calibri" w:cs="Calibri"/>
          <w:sz w:val="24"/>
          <w:szCs w:val="24"/>
        </w:rPr>
        <w:t xml:space="preserve">o grupo das contas </w:t>
      </w:r>
      <w:r w:rsidR="00BD3CB0">
        <w:rPr>
          <w:rFonts w:ascii="Calibri" w:hAnsi="Calibri" w:cs="Calibri"/>
          <w:sz w:val="24"/>
          <w:szCs w:val="24"/>
        </w:rPr>
        <w:t>relativas aos</w:t>
      </w:r>
      <w:r w:rsidR="00D84E03">
        <w:rPr>
          <w:rFonts w:ascii="Calibri" w:hAnsi="Calibri" w:cs="Calibri"/>
          <w:sz w:val="24"/>
          <w:szCs w:val="24"/>
        </w:rPr>
        <w:t xml:space="preserve"> </w:t>
      </w:r>
      <w:r w:rsidR="00BD3CB0">
        <w:rPr>
          <w:rFonts w:ascii="Calibri" w:hAnsi="Calibri" w:cs="Calibri"/>
          <w:sz w:val="24"/>
          <w:szCs w:val="24"/>
        </w:rPr>
        <w:t>g</w:t>
      </w:r>
      <w:r w:rsidR="00D84E03">
        <w:rPr>
          <w:rFonts w:ascii="Calibri" w:hAnsi="Calibri" w:cs="Calibri"/>
          <w:sz w:val="24"/>
          <w:szCs w:val="24"/>
        </w:rPr>
        <w:t xml:space="preserve">astos com </w:t>
      </w:r>
      <w:r w:rsidR="00BD3CB0">
        <w:rPr>
          <w:rFonts w:ascii="Calibri" w:hAnsi="Calibri" w:cs="Calibri"/>
          <w:sz w:val="24"/>
          <w:szCs w:val="24"/>
        </w:rPr>
        <w:t>p</w:t>
      </w:r>
      <w:r w:rsidR="00D84E03">
        <w:rPr>
          <w:rFonts w:ascii="Calibri" w:hAnsi="Calibri" w:cs="Calibri"/>
          <w:sz w:val="24"/>
          <w:szCs w:val="24"/>
        </w:rPr>
        <w:t>essoal.</w:t>
      </w:r>
    </w:p>
    <w:p w:rsidR="00C13D42" w:rsidRDefault="00C13D42" w:rsidP="00C16DDB">
      <w:pPr>
        <w:jc w:val="both"/>
        <w:rPr>
          <w:rFonts w:ascii="Calibri" w:hAnsi="Calibri" w:cs="Calibri"/>
          <w:b/>
          <w:sz w:val="24"/>
          <w:szCs w:val="24"/>
        </w:rPr>
      </w:pPr>
    </w:p>
    <w:p w:rsidR="001C4695" w:rsidRDefault="001C4695" w:rsidP="00C16DDB">
      <w:pPr>
        <w:jc w:val="both"/>
        <w:rPr>
          <w:rFonts w:ascii="Calibri" w:hAnsi="Calibri" w:cs="Calibri"/>
          <w:b/>
          <w:sz w:val="24"/>
          <w:szCs w:val="24"/>
        </w:rPr>
      </w:pPr>
    </w:p>
    <w:p w:rsidR="00E875D1" w:rsidRPr="00312424" w:rsidRDefault="00E875D1" w:rsidP="00E875D1">
      <w:pPr>
        <w:jc w:val="both"/>
        <w:rPr>
          <w:rFonts w:ascii="Calibri" w:hAnsi="Calibri" w:cs="Calibri"/>
          <w:b/>
          <w:sz w:val="24"/>
          <w:szCs w:val="24"/>
        </w:rPr>
      </w:pPr>
      <w:r>
        <w:rPr>
          <w:rFonts w:ascii="Calibri" w:hAnsi="Calibri" w:cs="Calibri"/>
          <w:b/>
          <w:sz w:val="24"/>
          <w:szCs w:val="24"/>
        </w:rPr>
        <w:lastRenderedPageBreak/>
        <w:t>26</w:t>
      </w:r>
      <w:r w:rsidRPr="00312424">
        <w:rPr>
          <w:rFonts w:ascii="Calibri" w:hAnsi="Calibri" w:cs="Calibri"/>
          <w:b/>
          <w:sz w:val="24"/>
          <w:szCs w:val="24"/>
        </w:rPr>
        <w:t xml:space="preserve"> – </w:t>
      </w:r>
      <w:r w:rsidRPr="00312424">
        <w:rPr>
          <w:rFonts w:ascii="Calibri" w:hAnsi="Calibri" w:cs="Calibri"/>
          <w:b/>
          <w:sz w:val="24"/>
          <w:szCs w:val="24"/>
          <w:u w:val="single"/>
        </w:rPr>
        <w:t xml:space="preserve">OUTRAS </w:t>
      </w:r>
      <w:r>
        <w:rPr>
          <w:rFonts w:ascii="Calibri" w:hAnsi="Calibri" w:cs="Calibri"/>
          <w:b/>
          <w:sz w:val="24"/>
          <w:szCs w:val="24"/>
          <w:u w:val="single"/>
        </w:rPr>
        <w:t>DESPESAS</w:t>
      </w:r>
      <w:r w:rsidRPr="00312424">
        <w:rPr>
          <w:rFonts w:ascii="Calibri" w:hAnsi="Calibri" w:cs="Calibri"/>
          <w:b/>
          <w:sz w:val="24"/>
          <w:szCs w:val="24"/>
          <w:u w:val="single"/>
        </w:rPr>
        <w:t xml:space="preserve"> OPERACIONAIS</w:t>
      </w:r>
    </w:p>
    <w:p w:rsidR="00E875D1" w:rsidRDefault="00E875D1" w:rsidP="00E875D1">
      <w:pPr>
        <w:jc w:val="both"/>
        <w:rPr>
          <w:rFonts w:ascii="Calibri" w:hAnsi="Calibri" w:cs="Calibri"/>
          <w:sz w:val="24"/>
          <w:szCs w:val="24"/>
        </w:rPr>
      </w:pPr>
    </w:p>
    <w:p w:rsidR="00E875D1" w:rsidRDefault="00E875D1" w:rsidP="00E875D1">
      <w:pPr>
        <w:jc w:val="both"/>
        <w:rPr>
          <w:rFonts w:ascii="Calibri" w:hAnsi="Calibri" w:cs="Calibri"/>
          <w:sz w:val="24"/>
          <w:szCs w:val="24"/>
        </w:rPr>
      </w:pPr>
      <w:r>
        <w:rPr>
          <w:rFonts w:ascii="Calibri" w:hAnsi="Calibri" w:cs="Calibri"/>
          <w:sz w:val="24"/>
          <w:szCs w:val="24"/>
        </w:rPr>
        <w:t>O grupo possui a seguinte composição:</w:t>
      </w:r>
    </w:p>
    <w:p w:rsidR="00E875D1" w:rsidRDefault="00E875D1" w:rsidP="00E875D1">
      <w:pPr>
        <w:jc w:val="both"/>
        <w:rPr>
          <w:rFonts w:ascii="Calibri" w:hAnsi="Calibri" w:cs="Calibri"/>
          <w:sz w:val="24"/>
          <w:szCs w:val="24"/>
        </w:rPr>
      </w:pPr>
    </w:p>
    <w:tbl>
      <w:tblPr>
        <w:tblW w:w="6920" w:type="dxa"/>
        <w:jc w:val="center"/>
        <w:tblCellMar>
          <w:left w:w="70" w:type="dxa"/>
          <w:right w:w="70" w:type="dxa"/>
        </w:tblCellMar>
        <w:tblLook w:val="04A0" w:firstRow="1" w:lastRow="0" w:firstColumn="1" w:lastColumn="0" w:noHBand="0" w:noVBand="1"/>
      </w:tblPr>
      <w:tblGrid>
        <w:gridCol w:w="3400"/>
        <w:gridCol w:w="1760"/>
        <w:gridCol w:w="1760"/>
      </w:tblGrid>
      <w:tr w:rsidR="00E875D1" w:rsidRPr="003D07B8" w:rsidTr="00E875D1">
        <w:trPr>
          <w:trHeight w:val="284"/>
          <w:jc w:val="center"/>
        </w:trPr>
        <w:tc>
          <w:tcPr>
            <w:tcW w:w="3400" w:type="dxa"/>
            <w:tcBorders>
              <w:top w:val="nil"/>
              <w:left w:val="nil"/>
              <w:bottom w:val="single" w:sz="4" w:space="0" w:color="auto"/>
              <w:right w:val="single" w:sz="4" w:space="0" w:color="auto"/>
            </w:tcBorders>
            <w:shd w:val="clear" w:color="auto" w:fill="auto"/>
            <w:noWrap/>
            <w:vAlign w:val="bottom"/>
            <w:hideMark/>
          </w:tcPr>
          <w:p w:rsidR="00E875D1" w:rsidRPr="003D07B8" w:rsidRDefault="00E875D1" w:rsidP="00E875D1">
            <w:pPr>
              <w:widowControl/>
              <w:rPr>
                <w:rFonts w:ascii="Calibri" w:hAnsi="Calibri" w:cs="Calibri"/>
                <w:snapToGrid/>
                <w:color w:val="000000"/>
                <w:sz w:val="24"/>
                <w:szCs w:val="24"/>
              </w:rPr>
            </w:pPr>
            <w:r w:rsidRPr="003D07B8">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75D1" w:rsidRPr="003D07B8" w:rsidRDefault="00E875D1" w:rsidP="00E875D1">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75D1" w:rsidRPr="003D07B8" w:rsidRDefault="00E875D1" w:rsidP="00E875D1">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w:t>
            </w:r>
            <w:r w:rsidRPr="002060DA">
              <w:rPr>
                <w:rFonts w:ascii="Calibri" w:hAnsi="Calibri" w:cs="Calibri"/>
                <w:b/>
                <w:bCs/>
                <w:snapToGrid/>
                <w:color w:val="000000"/>
                <w:sz w:val="24"/>
                <w:szCs w:val="24"/>
              </w:rPr>
              <w:t>/</w:t>
            </w:r>
            <w:r>
              <w:rPr>
                <w:rFonts w:ascii="Calibri" w:hAnsi="Calibri" w:cs="Calibri"/>
                <w:b/>
                <w:bCs/>
                <w:snapToGrid/>
                <w:color w:val="000000"/>
                <w:sz w:val="24"/>
                <w:szCs w:val="24"/>
              </w:rPr>
              <w:t>12</w:t>
            </w:r>
            <w:r w:rsidRPr="002060DA">
              <w:rPr>
                <w:rFonts w:ascii="Calibri" w:hAnsi="Calibri" w:cs="Calibri"/>
                <w:b/>
                <w:bCs/>
                <w:snapToGrid/>
                <w:color w:val="000000"/>
                <w:sz w:val="24"/>
                <w:szCs w:val="24"/>
              </w:rPr>
              <w:t>/201</w:t>
            </w:r>
            <w:r>
              <w:rPr>
                <w:rFonts w:ascii="Calibri" w:hAnsi="Calibri" w:cs="Calibri"/>
                <w:b/>
                <w:bCs/>
                <w:snapToGrid/>
                <w:color w:val="000000"/>
                <w:sz w:val="24"/>
                <w:szCs w:val="24"/>
              </w:rPr>
              <w:t>8</w:t>
            </w:r>
          </w:p>
        </w:tc>
      </w:tr>
      <w:tr w:rsidR="00E875D1" w:rsidRPr="003D07B8" w:rsidTr="00E875D1">
        <w:trPr>
          <w:trHeight w:val="284"/>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75D1" w:rsidRPr="003D07B8" w:rsidRDefault="006C5A96" w:rsidP="00E875D1">
            <w:pPr>
              <w:widowControl/>
              <w:rPr>
                <w:rFonts w:ascii="Calibri" w:hAnsi="Calibri" w:cs="Calibri"/>
                <w:snapToGrid/>
                <w:color w:val="000000"/>
                <w:sz w:val="24"/>
                <w:szCs w:val="24"/>
              </w:rPr>
            </w:pPr>
            <w:r>
              <w:rPr>
                <w:rFonts w:ascii="Calibri" w:hAnsi="Calibri" w:cs="Calibri"/>
                <w:snapToGrid/>
                <w:color w:val="000000"/>
                <w:sz w:val="24"/>
                <w:szCs w:val="24"/>
              </w:rPr>
              <w:t>Baixa do Ativo Imobilizado</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75D1" w:rsidRPr="003D07B8" w:rsidRDefault="006C5A96" w:rsidP="00E875D1">
            <w:pPr>
              <w:widowControl/>
              <w:jc w:val="right"/>
              <w:rPr>
                <w:rFonts w:ascii="Calibri" w:hAnsi="Calibri" w:cs="Calibri"/>
                <w:snapToGrid/>
                <w:color w:val="000000"/>
                <w:sz w:val="24"/>
                <w:szCs w:val="24"/>
              </w:rPr>
            </w:pPr>
            <w:r>
              <w:rPr>
                <w:rFonts w:ascii="Calibri" w:hAnsi="Calibri" w:cs="Calibri"/>
                <w:snapToGrid/>
                <w:color w:val="000000"/>
                <w:sz w:val="24"/>
                <w:szCs w:val="24"/>
              </w:rPr>
              <w:t>84.947</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75D1" w:rsidRPr="003D07B8" w:rsidRDefault="00D414A4" w:rsidP="00E875D1">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E875D1" w:rsidRPr="003D07B8" w:rsidTr="00E875D1">
        <w:trPr>
          <w:trHeight w:val="284"/>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75D1" w:rsidRPr="003D07B8" w:rsidRDefault="006C5A96" w:rsidP="00E875D1">
            <w:pPr>
              <w:widowControl/>
              <w:rPr>
                <w:rFonts w:ascii="Calibri" w:hAnsi="Calibri" w:cs="Calibri"/>
                <w:snapToGrid/>
                <w:color w:val="000000"/>
                <w:sz w:val="24"/>
                <w:szCs w:val="24"/>
              </w:rPr>
            </w:pPr>
            <w:r>
              <w:rPr>
                <w:rFonts w:ascii="Calibri" w:hAnsi="Calibri" w:cs="Calibri"/>
                <w:snapToGrid/>
                <w:color w:val="000000"/>
                <w:sz w:val="24"/>
                <w:szCs w:val="24"/>
              </w:rPr>
              <w:t>Ajustes Diversos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75D1" w:rsidRPr="003D07B8" w:rsidRDefault="0011080B" w:rsidP="00E875D1">
            <w:pPr>
              <w:widowControl/>
              <w:jc w:val="right"/>
              <w:rPr>
                <w:rFonts w:ascii="Calibri" w:hAnsi="Calibri" w:cs="Calibri"/>
                <w:snapToGrid/>
                <w:color w:val="000000"/>
                <w:sz w:val="24"/>
                <w:szCs w:val="24"/>
              </w:rPr>
            </w:pPr>
            <w:r>
              <w:rPr>
                <w:rFonts w:ascii="Calibri" w:hAnsi="Calibri" w:cs="Calibri"/>
                <w:snapToGrid/>
                <w:color w:val="000000"/>
                <w:sz w:val="24"/>
                <w:szCs w:val="24"/>
              </w:rPr>
              <w:t>5</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75D1" w:rsidRPr="003D07B8" w:rsidRDefault="0011080B" w:rsidP="00E875D1">
            <w:pPr>
              <w:widowControl/>
              <w:jc w:val="right"/>
              <w:rPr>
                <w:rFonts w:ascii="Calibri" w:hAnsi="Calibri" w:cs="Calibri"/>
                <w:snapToGrid/>
                <w:color w:val="000000"/>
                <w:sz w:val="24"/>
                <w:szCs w:val="24"/>
              </w:rPr>
            </w:pPr>
            <w:r>
              <w:rPr>
                <w:rFonts w:ascii="Calibri" w:hAnsi="Calibri" w:cs="Calibri"/>
                <w:snapToGrid/>
                <w:color w:val="000000"/>
                <w:sz w:val="24"/>
                <w:szCs w:val="24"/>
              </w:rPr>
              <w:t>117</w:t>
            </w:r>
          </w:p>
        </w:tc>
      </w:tr>
      <w:tr w:rsidR="00E875D1" w:rsidRPr="003D07B8" w:rsidTr="00E875D1">
        <w:trPr>
          <w:trHeight w:val="284"/>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75D1" w:rsidRPr="003D07B8" w:rsidRDefault="00E875D1" w:rsidP="00E875D1">
            <w:pPr>
              <w:widowControl/>
              <w:rPr>
                <w:rFonts w:ascii="Calibri" w:hAnsi="Calibri" w:cs="Calibri"/>
                <w:b/>
                <w:bCs/>
                <w:snapToGrid/>
                <w:color w:val="000000"/>
                <w:sz w:val="24"/>
                <w:szCs w:val="24"/>
              </w:rPr>
            </w:pPr>
            <w:r w:rsidRPr="003D07B8">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75D1" w:rsidRPr="003D07B8" w:rsidRDefault="0011080B" w:rsidP="00E875D1">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84.952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75D1" w:rsidRPr="003D07B8" w:rsidRDefault="0011080B" w:rsidP="00E875D1">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117</w:t>
            </w:r>
          </w:p>
        </w:tc>
      </w:tr>
    </w:tbl>
    <w:p w:rsidR="00E875D1" w:rsidRDefault="00E875D1" w:rsidP="00E875D1">
      <w:pPr>
        <w:jc w:val="both"/>
        <w:rPr>
          <w:rFonts w:ascii="Calibri" w:hAnsi="Calibri" w:cs="Calibri"/>
          <w:b/>
          <w:sz w:val="24"/>
          <w:szCs w:val="24"/>
        </w:rPr>
      </w:pPr>
    </w:p>
    <w:p w:rsidR="00E875D1" w:rsidRPr="00312424" w:rsidRDefault="00E875D1" w:rsidP="00C16DDB">
      <w:pPr>
        <w:jc w:val="both"/>
        <w:rPr>
          <w:rFonts w:ascii="Calibri" w:hAnsi="Calibri" w:cs="Calibri"/>
          <w:b/>
          <w:sz w:val="24"/>
          <w:szCs w:val="24"/>
        </w:rPr>
      </w:pPr>
    </w:p>
    <w:p w:rsidR="00C16DDB" w:rsidRPr="00312424" w:rsidRDefault="00340FB0" w:rsidP="00C16DDB">
      <w:pPr>
        <w:jc w:val="both"/>
        <w:rPr>
          <w:rFonts w:ascii="Calibri" w:hAnsi="Calibri" w:cs="Calibri"/>
          <w:b/>
          <w:sz w:val="24"/>
          <w:szCs w:val="24"/>
          <w:u w:val="single"/>
        </w:rPr>
      </w:pPr>
      <w:r>
        <w:rPr>
          <w:rFonts w:ascii="Calibri" w:hAnsi="Calibri" w:cs="Calibri"/>
          <w:b/>
          <w:sz w:val="24"/>
          <w:szCs w:val="24"/>
        </w:rPr>
        <w:t>2</w:t>
      </w:r>
      <w:r w:rsidR="00E875D1">
        <w:rPr>
          <w:rFonts w:ascii="Calibri" w:hAnsi="Calibri" w:cs="Calibri"/>
          <w:b/>
          <w:sz w:val="24"/>
          <w:szCs w:val="24"/>
        </w:rPr>
        <w:t>7</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RESULTADO FINANCEIRO LÍQUIDO</w:t>
      </w:r>
    </w:p>
    <w:p w:rsidR="00C16DDB" w:rsidRPr="00312424" w:rsidRDefault="00C16DDB" w:rsidP="00C16DDB">
      <w:pPr>
        <w:jc w:val="both"/>
        <w:rPr>
          <w:rFonts w:ascii="Calibri" w:hAnsi="Calibri" w:cs="Calibri"/>
          <w:b/>
          <w:sz w:val="24"/>
          <w:szCs w:val="24"/>
          <w:u w:val="single"/>
        </w:rPr>
      </w:pPr>
    </w:p>
    <w:p w:rsidR="00C16DDB" w:rsidRDefault="00340FB0" w:rsidP="00C16DDB">
      <w:pPr>
        <w:ind w:left="1080" w:hanging="1080"/>
        <w:jc w:val="both"/>
        <w:rPr>
          <w:rFonts w:ascii="Calibri" w:hAnsi="Calibri" w:cs="Calibri"/>
          <w:sz w:val="24"/>
          <w:szCs w:val="24"/>
        </w:rPr>
      </w:pPr>
      <w:r w:rsidRPr="00340FB0">
        <w:rPr>
          <w:rFonts w:ascii="Calibri" w:hAnsi="Calibri" w:cs="Calibri"/>
          <w:sz w:val="24"/>
          <w:szCs w:val="24"/>
        </w:rPr>
        <w:t>O g</w:t>
      </w:r>
      <w:r>
        <w:rPr>
          <w:rFonts w:ascii="Calibri" w:hAnsi="Calibri" w:cs="Calibri"/>
          <w:sz w:val="24"/>
          <w:szCs w:val="24"/>
        </w:rPr>
        <w:t>rupo possui a seguinte composição:</w:t>
      </w:r>
    </w:p>
    <w:p w:rsidR="00C16DDB" w:rsidRDefault="00C16DDB" w:rsidP="00C16DDB">
      <w:pPr>
        <w:ind w:left="1080" w:hanging="1080"/>
        <w:jc w:val="both"/>
        <w:rPr>
          <w:rFonts w:ascii="Calibri" w:hAnsi="Calibri" w:cs="Calibri"/>
          <w:b/>
          <w:sz w:val="24"/>
          <w:szCs w:val="24"/>
        </w:rPr>
      </w:pPr>
    </w:p>
    <w:tbl>
      <w:tblPr>
        <w:tblW w:w="6920" w:type="dxa"/>
        <w:jc w:val="center"/>
        <w:tblCellMar>
          <w:left w:w="70" w:type="dxa"/>
          <w:right w:w="70" w:type="dxa"/>
        </w:tblCellMar>
        <w:tblLook w:val="04A0" w:firstRow="1" w:lastRow="0" w:firstColumn="1" w:lastColumn="0" w:noHBand="0" w:noVBand="1"/>
      </w:tblPr>
      <w:tblGrid>
        <w:gridCol w:w="3400"/>
        <w:gridCol w:w="1760"/>
        <w:gridCol w:w="1760"/>
      </w:tblGrid>
      <w:tr w:rsidR="00C13D42" w:rsidRPr="00C13D42" w:rsidTr="00697525">
        <w:trPr>
          <w:trHeight w:val="284"/>
          <w:jc w:val="center"/>
        </w:trPr>
        <w:tc>
          <w:tcPr>
            <w:tcW w:w="3400" w:type="dxa"/>
            <w:tcBorders>
              <w:top w:val="nil"/>
              <w:left w:val="nil"/>
              <w:bottom w:val="single" w:sz="4" w:space="0" w:color="auto"/>
              <w:right w:val="single" w:sz="4" w:space="0" w:color="auto"/>
            </w:tcBorders>
            <w:shd w:val="clear" w:color="auto" w:fill="auto"/>
            <w:noWrap/>
            <w:vAlign w:val="bottom"/>
            <w:hideMark/>
          </w:tcPr>
          <w:p w:rsidR="00C13D42" w:rsidRPr="00C13D42" w:rsidRDefault="00C13D42" w:rsidP="00C13D42">
            <w:pPr>
              <w:widowControl/>
              <w:rPr>
                <w:rFonts w:ascii="Calibri" w:hAnsi="Calibri" w:cs="Calibri"/>
                <w:snapToGrid/>
                <w:color w:val="000000"/>
                <w:sz w:val="24"/>
                <w:szCs w:val="24"/>
              </w:rPr>
            </w:pPr>
            <w:r w:rsidRPr="00C13D42">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3D42" w:rsidRPr="00C13D42" w:rsidRDefault="00D0760C" w:rsidP="00A211F3">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3D42" w:rsidRPr="00C13D42" w:rsidRDefault="00D0760C" w:rsidP="00A211F3">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w:t>
            </w:r>
            <w:r w:rsidRPr="002060DA">
              <w:rPr>
                <w:rFonts w:ascii="Calibri" w:hAnsi="Calibri" w:cs="Calibri"/>
                <w:b/>
                <w:bCs/>
                <w:snapToGrid/>
                <w:color w:val="000000"/>
                <w:sz w:val="24"/>
                <w:szCs w:val="24"/>
              </w:rPr>
              <w:t>/</w:t>
            </w:r>
            <w:r>
              <w:rPr>
                <w:rFonts w:ascii="Calibri" w:hAnsi="Calibri" w:cs="Calibri"/>
                <w:b/>
                <w:bCs/>
                <w:snapToGrid/>
                <w:color w:val="000000"/>
                <w:sz w:val="24"/>
                <w:szCs w:val="24"/>
              </w:rPr>
              <w:t>12</w:t>
            </w:r>
            <w:r w:rsidRPr="002060DA">
              <w:rPr>
                <w:rFonts w:ascii="Calibri" w:hAnsi="Calibri" w:cs="Calibri"/>
                <w:b/>
                <w:bCs/>
                <w:snapToGrid/>
                <w:color w:val="000000"/>
                <w:sz w:val="24"/>
                <w:szCs w:val="24"/>
              </w:rPr>
              <w:t>/201</w:t>
            </w:r>
            <w:r>
              <w:rPr>
                <w:rFonts w:ascii="Calibri" w:hAnsi="Calibri" w:cs="Calibri"/>
                <w:b/>
                <w:bCs/>
                <w:snapToGrid/>
                <w:color w:val="000000"/>
                <w:sz w:val="24"/>
                <w:szCs w:val="24"/>
              </w:rPr>
              <w:t>8</w:t>
            </w:r>
          </w:p>
        </w:tc>
      </w:tr>
      <w:tr w:rsidR="008161EB" w:rsidRPr="00C13D42" w:rsidTr="00697525">
        <w:trPr>
          <w:trHeight w:val="284"/>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1EB" w:rsidRPr="00C13D42" w:rsidRDefault="008161EB" w:rsidP="008161EB">
            <w:pPr>
              <w:widowControl/>
              <w:rPr>
                <w:rFonts w:ascii="Calibri" w:hAnsi="Calibri" w:cs="Calibri"/>
                <w:snapToGrid/>
                <w:color w:val="000000"/>
                <w:sz w:val="24"/>
                <w:szCs w:val="24"/>
              </w:rPr>
            </w:pPr>
            <w:r w:rsidRPr="00C13D42">
              <w:rPr>
                <w:rFonts w:ascii="Calibri" w:hAnsi="Calibri" w:cs="Calibri"/>
                <w:snapToGrid/>
                <w:color w:val="000000"/>
                <w:sz w:val="24"/>
                <w:szCs w:val="24"/>
              </w:rPr>
              <w:t>Receitas Financeiras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C13D42" w:rsidRDefault="00386840" w:rsidP="008161EB">
            <w:pPr>
              <w:widowControl/>
              <w:jc w:val="right"/>
              <w:rPr>
                <w:rFonts w:ascii="Calibri" w:hAnsi="Calibri" w:cs="Calibri"/>
                <w:snapToGrid/>
                <w:color w:val="000000"/>
                <w:sz w:val="24"/>
                <w:szCs w:val="24"/>
              </w:rPr>
            </w:pPr>
            <w:r>
              <w:rPr>
                <w:rFonts w:ascii="Calibri" w:hAnsi="Calibri" w:cs="Calibri"/>
                <w:snapToGrid/>
                <w:color w:val="000000"/>
                <w:sz w:val="24"/>
                <w:szCs w:val="24"/>
              </w:rPr>
              <w:t>53.101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C13D42" w:rsidRDefault="008161EB" w:rsidP="008161EB">
            <w:pPr>
              <w:widowControl/>
              <w:jc w:val="right"/>
              <w:rPr>
                <w:rFonts w:ascii="Calibri" w:hAnsi="Calibri" w:cs="Calibri"/>
                <w:snapToGrid/>
                <w:color w:val="000000"/>
                <w:sz w:val="24"/>
                <w:szCs w:val="24"/>
              </w:rPr>
            </w:pPr>
            <w:r w:rsidRPr="00C13D42">
              <w:rPr>
                <w:rFonts w:ascii="Calibri" w:hAnsi="Calibri" w:cs="Calibri"/>
                <w:snapToGrid/>
                <w:color w:val="000000"/>
                <w:sz w:val="24"/>
                <w:szCs w:val="24"/>
              </w:rPr>
              <w:t>31.673</w:t>
            </w:r>
          </w:p>
        </w:tc>
      </w:tr>
      <w:tr w:rsidR="008161EB" w:rsidRPr="00C13D42" w:rsidTr="00697525">
        <w:trPr>
          <w:trHeight w:val="284"/>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1EB" w:rsidRPr="00C13D42" w:rsidRDefault="008161EB" w:rsidP="008161EB">
            <w:pPr>
              <w:widowControl/>
              <w:rPr>
                <w:rFonts w:ascii="Calibri" w:hAnsi="Calibri" w:cs="Calibri"/>
                <w:snapToGrid/>
                <w:color w:val="000000"/>
                <w:sz w:val="24"/>
                <w:szCs w:val="24"/>
              </w:rPr>
            </w:pPr>
            <w:r w:rsidRPr="00C13D42">
              <w:rPr>
                <w:rFonts w:ascii="Calibri" w:hAnsi="Calibri" w:cs="Calibri"/>
                <w:snapToGrid/>
                <w:color w:val="000000"/>
                <w:sz w:val="24"/>
                <w:szCs w:val="24"/>
              </w:rPr>
              <w:t>Despesas Financeiras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C13D42" w:rsidRDefault="00386840" w:rsidP="008161EB">
            <w:pPr>
              <w:widowControl/>
              <w:jc w:val="right"/>
              <w:rPr>
                <w:rFonts w:ascii="Calibri" w:hAnsi="Calibri" w:cs="Calibri"/>
                <w:snapToGrid/>
                <w:color w:val="000000"/>
                <w:sz w:val="24"/>
                <w:szCs w:val="24"/>
              </w:rPr>
            </w:pPr>
            <w:r>
              <w:rPr>
                <w:rFonts w:ascii="Calibri" w:hAnsi="Calibri" w:cs="Calibri"/>
                <w:snapToGrid/>
                <w:color w:val="000000"/>
                <w:sz w:val="24"/>
                <w:szCs w:val="24"/>
              </w:rPr>
              <w:t>(169.191)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C13D42" w:rsidRDefault="008161EB" w:rsidP="0011080B">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11080B">
              <w:rPr>
                <w:rFonts w:ascii="Calibri" w:hAnsi="Calibri" w:cs="Calibri"/>
                <w:snapToGrid/>
                <w:color w:val="000000"/>
                <w:sz w:val="24"/>
                <w:szCs w:val="24"/>
              </w:rPr>
              <w:t>278.510</w:t>
            </w:r>
            <w:r>
              <w:rPr>
                <w:rFonts w:ascii="Calibri" w:hAnsi="Calibri" w:cs="Calibri"/>
                <w:snapToGrid/>
                <w:color w:val="000000"/>
                <w:sz w:val="24"/>
                <w:szCs w:val="24"/>
              </w:rPr>
              <w:t>)</w:t>
            </w:r>
          </w:p>
        </w:tc>
      </w:tr>
      <w:tr w:rsidR="008161EB" w:rsidRPr="00C13D42" w:rsidTr="00697525">
        <w:trPr>
          <w:trHeight w:val="284"/>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1EB" w:rsidRPr="00C13D42" w:rsidRDefault="008161EB" w:rsidP="008161EB">
            <w:pPr>
              <w:widowControl/>
              <w:rPr>
                <w:rFonts w:ascii="Calibri" w:hAnsi="Calibri" w:cs="Calibri"/>
                <w:b/>
                <w:bCs/>
                <w:snapToGrid/>
                <w:color w:val="000000"/>
                <w:sz w:val="24"/>
                <w:szCs w:val="24"/>
              </w:rPr>
            </w:pPr>
            <w:r w:rsidRPr="00C13D42">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C13D42" w:rsidRDefault="00386840" w:rsidP="008161EB">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(116.090)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1EB" w:rsidRPr="00C13D42" w:rsidRDefault="008161EB" w:rsidP="0011080B">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w:t>
            </w:r>
            <w:r w:rsidR="0011080B">
              <w:rPr>
                <w:rFonts w:ascii="Calibri" w:hAnsi="Calibri" w:cs="Calibri"/>
                <w:b/>
                <w:bCs/>
                <w:snapToGrid/>
                <w:color w:val="000000"/>
                <w:sz w:val="24"/>
                <w:szCs w:val="24"/>
              </w:rPr>
              <w:t>246</w:t>
            </w:r>
            <w:r w:rsidRPr="00C13D42">
              <w:rPr>
                <w:rFonts w:ascii="Calibri" w:hAnsi="Calibri" w:cs="Calibri"/>
                <w:b/>
                <w:bCs/>
                <w:snapToGrid/>
                <w:color w:val="000000"/>
                <w:sz w:val="24"/>
                <w:szCs w:val="24"/>
              </w:rPr>
              <w:t>.</w:t>
            </w:r>
            <w:r w:rsidR="0011080B">
              <w:rPr>
                <w:rFonts w:ascii="Calibri" w:hAnsi="Calibri" w:cs="Calibri"/>
                <w:b/>
                <w:bCs/>
                <w:snapToGrid/>
                <w:color w:val="000000"/>
                <w:sz w:val="24"/>
                <w:szCs w:val="24"/>
              </w:rPr>
              <w:t>837</w:t>
            </w:r>
            <w:r>
              <w:rPr>
                <w:rFonts w:ascii="Calibri" w:hAnsi="Calibri" w:cs="Calibri"/>
                <w:b/>
                <w:bCs/>
                <w:snapToGrid/>
                <w:color w:val="000000"/>
                <w:sz w:val="24"/>
                <w:szCs w:val="24"/>
              </w:rPr>
              <w:t>)</w:t>
            </w:r>
          </w:p>
        </w:tc>
      </w:tr>
    </w:tbl>
    <w:p w:rsidR="00F10FEB" w:rsidRDefault="00F10FEB" w:rsidP="00C16DDB">
      <w:pPr>
        <w:ind w:left="1080" w:hanging="1080"/>
        <w:jc w:val="both"/>
        <w:rPr>
          <w:rFonts w:ascii="Calibri" w:hAnsi="Calibri" w:cs="Calibri"/>
          <w:b/>
          <w:sz w:val="24"/>
          <w:szCs w:val="24"/>
        </w:rPr>
      </w:pPr>
    </w:p>
    <w:p w:rsidR="001C4695" w:rsidRDefault="001C4695" w:rsidP="00C16DDB">
      <w:pPr>
        <w:ind w:left="1080" w:hanging="1080"/>
        <w:jc w:val="both"/>
        <w:rPr>
          <w:rFonts w:ascii="Calibri" w:hAnsi="Calibri" w:cs="Calibri"/>
          <w:b/>
          <w:sz w:val="24"/>
          <w:szCs w:val="24"/>
        </w:rPr>
      </w:pPr>
    </w:p>
    <w:p w:rsidR="001C4695" w:rsidRPr="00312424" w:rsidRDefault="001C4695" w:rsidP="001C4695">
      <w:pPr>
        <w:jc w:val="both"/>
        <w:rPr>
          <w:rFonts w:ascii="Calibri" w:hAnsi="Calibri" w:cs="Calibri"/>
          <w:b/>
          <w:sz w:val="24"/>
          <w:szCs w:val="24"/>
          <w:u w:val="single"/>
        </w:rPr>
      </w:pPr>
      <w:r>
        <w:rPr>
          <w:rFonts w:ascii="Calibri" w:hAnsi="Calibri" w:cs="Calibri"/>
          <w:b/>
          <w:sz w:val="24"/>
          <w:szCs w:val="24"/>
        </w:rPr>
        <w:t>28</w:t>
      </w:r>
      <w:r w:rsidRPr="00312424">
        <w:rPr>
          <w:rFonts w:ascii="Calibri" w:hAnsi="Calibri" w:cs="Calibri"/>
          <w:b/>
          <w:sz w:val="24"/>
          <w:szCs w:val="24"/>
        </w:rPr>
        <w:t xml:space="preserve"> – </w:t>
      </w:r>
      <w:r w:rsidR="008A71CD">
        <w:rPr>
          <w:rFonts w:ascii="Calibri" w:hAnsi="Calibri" w:cs="Calibri"/>
          <w:b/>
          <w:sz w:val="24"/>
          <w:szCs w:val="24"/>
          <w:u w:val="single"/>
        </w:rPr>
        <w:t>INSTRUMENTOS FINANCEIROS</w:t>
      </w:r>
    </w:p>
    <w:p w:rsidR="001C4695" w:rsidRPr="008A71CD" w:rsidRDefault="001C4695" w:rsidP="008A71CD">
      <w:pPr>
        <w:ind w:left="1080" w:hanging="1080"/>
        <w:jc w:val="both"/>
        <w:rPr>
          <w:rFonts w:asciiTheme="minorHAnsi" w:hAnsiTheme="minorHAnsi" w:cstheme="minorHAnsi"/>
          <w:b/>
          <w:sz w:val="24"/>
          <w:szCs w:val="24"/>
        </w:rPr>
      </w:pPr>
    </w:p>
    <w:p w:rsidR="008A71CD" w:rsidRDefault="008A71CD" w:rsidP="008A71CD">
      <w:pPr>
        <w:pStyle w:val="ColorfulList-Accent11"/>
        <w:tabs>
          <w:tab w:val="left" w:pos="142"/>
        </w:tabs>
        <w:ind w:left="851"/>
        <w:jc w:val="both"/>
        <w:rPr>
          <w:rFonts w:asciiTheme="minorHAnsi" w:hAnsiTheme="minorHAnsi" w:cstheme="minorHAnsi"/>
          <w:b/>
          <w:bCs/>
          <w:sz w:val="24"/>
          <w:szCs w:val="24"/>
        </w:rPr>
      </w:pPr>
      <w:r>
        <w:rPr>
          <w:rFonts w:asciiTheme="minorHAnsi" w:hAnsiTheme="minorHAnsi" w:cstheme="minorHAnsi"/>
          <w:b/>
          <w:bCs/>
          <w:sz w:val="24"/>
          <w:szCs w:val="24"/>
        </w:rPr>
        <w:t>28.</w:t>
      </w:r>
      <w:r w:rsidRPr="008A71CD">
        <w:rPr>
          <w:rFonts w:asciiTheme="minorHAnsi" w:hAnsiTheme="minorHAnsi" w:cstheme="minorHAnsi"/>
          <w:b/>
          <w:bCs/>
          <w:sz w:val="24"/>
          <w:szCs w:val="24"/>
        </w:rPr>
        <w:t xml:space="preserve">1 </w:t>
      </w:r>
      <w:r>
        <w:rPr>
          <w:rFonts w:asciiTheme="minorHAnsi" w:hAnsiTheme="minorHAnsi" w:cstheme="minorHAnsi"/>
          <w:b/>
          <w:bCs/>
          <w:sz w:val="24"/>
          <w:szCs w:val="24"/>
        </w:rPr>
        <w:t xml:space="preserve">   </w:t>
      </w:r>
      <w:r w:rsidRPr="008A71CD">
        <w:rPr>
          <w:rFonts w:asciiTheme="minorHAnsi" w:hAnsiTheme="minorHAnsi" w:cstheme="minorHAnsi"/>
          <w:b/>
          <w:bCs/>
          <w:sz w:val="24"/>
          <w:szCs w:val="24"/>
        </w:rPr>
        <w:t>Classificação dos instrumentos financeiros por categoria</w:t>
      </w:r>
    </w:p>
    <w:p w:rsidR="008A71CD" w:rsidRPr="008A71CD" w:rsidRDefault="008A71CD" w:rsidP="008A71CD">
      <w:pPr>
        <w:pStyle w:val="ColorfulList-Accent11"/>
        <w:tabs>
          <w:tab w:val="left" w:pos="142"/>
        </w:tabs>
        <w:ind w:left="851"/>
        <w:jc w:val="both"/>
        <w:rPr>
          <w:rFonts w:asciiTheme="minorHAnsi" w:hAnsiTheme="minorHAnsi" w:cstheme="minorHAnsi"/>
          <w:b/>
          <w:bCs/>
          <w:sz w:val="24"/>
          <w:szCs w:val="24"/>
        </w:rPr>
      </w:pPr>
    </w:p>
    <w:p w:rsidR="008A71CD" w:rsidRDefault="008A71CD" w:rsidP="008A71CD">
      <w:pPr>
        <w:pStyle w:val="ColorfulList-Accent11"/>
        <w:tabs>
          <w:tab w:val="left" w:pos="142"/>
        </w:tabs>
        <w:ind w:left="851"/>
        <w:jc w:val="both"/>
        <w:rPr>
          <w:rFonts w:asciiTheme="minorHAnsi" w:hAnsiTheme="minorHAnsi" w:cstheme="minorHAnsi"/>
          <w:sz w:val="24"/>
          <w:szCs w:val="24"/>
        </w:rPr>
      </w:pPr>
      <w:r w:rsidRPr="008A71CD">
        <w:rPr>
          <w:rFonts w:asciiTheme="minorHAnsi" w:hAnsiTheme="minorHAnsi" w:cstheme="minorHAnsi"/>
          <w:b/>
          <w:bCs/>
          <w:sz w:val="24"/>
          <w:szCs w:val="24"/>
        </w:rPr>
        <w:tab/>
      </w:r>
      <w:r w:rsidRPr="008A71CD">
        <w:rPr>
          <w:rFonts w:asciiTheme="minorHAnsi" w:hAnsiTheme="minorHAnsi" w:cstheme="minorHAnsi"/>
          <w:sz w:val="24"/>
          <w:szCs w:val="24"/>
        </w:rPr>
        <w:t>A classificação dos ativos e passivos financeiros é a seguinte:</w:t>
      </w:r>
    </w:p>
    <w:p w:rsidR="008A71CD" w:rsidRPr="008A71CD" w:rsidRDefault="008A71CD" w:rsidP="008A71CD">
      <w:pPr>
        <w:pStyle w:val="ColorfulList-Accent11"/>
        <w:tabs>
          <w:tab w:val="left" w:pos="142"/>
        </w:tabs>
        <w:ind w:left="0"/>
        <w:jc w:val="both"/>
        <w:rPr>
          <w:rFonts w:asciiTheme="minorHAnsi" w:hAnsiTheme="minorHAnsi" w:cstheme="minorHAnsi"/>
          <w:sz w:val="10"/>
          <w:szCs w:val="10"/>
        </w:rPr>
      </w:pPr>
    </w:p>
    <w:p w:rsidR="008A71CD" w:rsidRPr="008A71CD" w:rsidRDefault="008A71CD" w:rsidP="008A71CD">
      <w:pPr>
        <w:pStyle w:val="ColorfulList-Accent11"/>
        <w:tabs>
          <w:tab w:val="left" w:pos="142"/>
        </w:tabs>
        <w:ind w:left="709"/>
        <w:jc w:val="both"/>
        <w:rPr>
          <w:rFonts w:asciiTheme="minorHAnsi" w:hAnsiTheme="minorHAnsi" w:cstheme="minorHAnsi"/>
          <w:b/>
          <w:bCs/>
          <w:sz w:val="24"/>
          <w:szCs w:val="24"/>
        </w:rPr>
      </w:pPr>
      <w:r w:rsidRPr="008A71CD">
        <w:rPr>
          <w:rFonts w:asciiTheme="minorHAnsi" w:hAnsiTheme="minorHAnsi" w:cstheme="minorHAnsi"/>
          <w:noProof/>
          <w:sz w:val="24"/>
          <w:szCs w:val="24"/>
          <w:lang w:eastAsia="pt-BR"/>
        </w:rPr>
        <w:drawing>
          <wp:inline distT="0" distB="0" distL="0" distR="0" wp14:anchorId="76CE0483" wp14:editId="589004DB">
            <wp:extent cx="5400040" cy="3781425"/>
            <wp:effectExtent l="0" t="0" r="0"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3781425"/>
                    </a:xfrm>
                    <a:prstGeom prst="rect">
                      <a:avLst/>
                    </a:prstGeom>
                    <a:noFill/>
                    <a:ln>
                      <a:noFill/>
                    </a:ln>
                  </pic:spPr>
                </pic:pic>
              </a:graphicData>
            </a:graphic>
          </wp:inline>
        </w:drawing>
      </w:r>
    </w:p>
    <w:p w:rsidR="008A71CD" w:rsidRDefault="008A71CD" w:rsidP="008A71CD">
      <w:pPr>
        <w:pStyle w:val="ColorfulList-Accent11"/>
        <w:tabs>
          <w:tab w:val="left" w:pos="142"/>
        </w:tabs>
        <w:ind w:left="851"/>
        <w:jc w:val="both"/>
        <w:rPr>
          <w:rFonts w:asciiTheme="minorHAnsi" w:hAnsiTheme="minorHAnsi" w:cstheme="minorHAnsi"/>
          <w:b/>
          <w:bCs/>
          <w:sz w:val="24"/>
          <w:szCs w:val="24"/>
        </w:rPr>
      </w:pPr>
      <w:r>
        <w:rPr>
          <w:rFonts w:asciiTheme="minorHAnsi" w:hAnsiTheme="minorHAnsi" w:cstheme="minorHAnsi"/>
          <w:b/>
          <w:bCs/>
          <w:sz w:val="24"/>
          <w:szCs w:val="24"/>
        </w:rPr>
        <w:lastRenderedPageBreak/>
        <w:t>28</w:t>
      </w:r>
      <w:r w:rsidRPr="008A71CD">
        <w:rPr>
          <w:rFonts w:asciiTheme="minorHAnsi" w:hAnsiTheme="minorHAnsi" w:cstheme="minorHAnsi"/>
          <w:b/>
          <w:bCs/>
          <w:sz w:val="24"/>
          <w:szCs w:val="24"/>
        </w:rPr>
        <w:t>.2</w:t>
      </w:r>
      <w:r w:rsidRPr="008A71CD">
        <w:rPr>
          <w:rFonts w:asciiTheme="minorHAnsi" w:hAnsiTheme="minorHAnsi" w:cstheme="minorHAnsi"/>
          <w:b/>
          <w:bCs/>
          <w:sz w:val="24"/>
          <w:szCs w:val="24"/>
        </w:rPr>
        <w:tab/>
      </w:r>
      <w:r>
        <w:rPr>
          <w:rFonts w:asciiTheme="minorHAnsi" w:hAnsiTheme="minorHAnsi" w:cstheme="minorHAnsi"/>
          <w:b/>
          <w:bCs/>
          <w:sz w:val="24"/>
          <w:szCs w:val="24"/>
        </w:rPr>
        <w:t xml:space="preserve"> </w:t>
      </w:r>
      <w:r w:rsidRPr="008A71CD">
        <w:rPr>
          <w:rFonts w:asciiTheme="minorHAnsi" w:hAnsiTheme="minorHAnsi" w:cstheme="minorHAnsi"/>
          <w:b/>
          <w:bCs/>
          <w:sz w:val="24"/>
          <w:szCs w:val="24"/>
        </w:rPr>
        <w:t>Classificações contábeis e valores justos</w:t>
      </w:r>
    </w:p>
    <w:p w:rsidR="008A71CD" w:rsidRPr="008A71CD" w:rsidRDefault="008A71CD" w:rsidP="008A71CD">
      <w:pPr>
        <w:pStyle w:val="ColorfulList-Accent11"/>
        <w:tabs>
          <w:tab w:val="left" w:pos="142"/>
        </w:tabs>
        <w:ind w:left="851"/>
        <w:jc w:val="both"/>
        <w:rPr>
          <w:rFonts w:asciiTheme="minorHAnsi" w:hAnsiTheme="minorHAnsi" w:cstheme="minorHAnsi"/>
          <w:b/>
          <w:bCs/>
          <w:sz w:val="24"/>
          <w:szCs w:val="24"/>
        </w:rPr>
      </w:pPr>
    </w:p>
    <w:p w:rsidR="008A71CD" w:rsidRPr="008A71CD" w:rsidRDefault="008A71CD" w:rsidP="008A71CD">
      <w:pPr>
        <w:tabs>
          <w:tab w:val="left" w:pos="142"/>
        </w:tabs>
        <w:ind w:left="851"/>
        <w:jc w:val="both"/>
        <w:rPr>
          <w:rFonts w:asciiTheme="minorHAnsi" w:hAnsiTheme="minorHAnsi" w:cstheme="minorHAnsi"/>
          <w:b/>
          <w:i/>
          <w:sz w:val="24"/>
          <w:szCs w:val="24"/>
        </w:rPr>
      </w:pPr>
      <w:r w:rsidRPr="008A71CD">
        <w:rPr>
          <w:rFonts w:asciiTheme="minorHAnsi" w:hAnsiTheme="minorHAnsi" w:cstheme="minorHAnsi"/>
          <w:bCs/>
          <w:sz w:val="24"/>
          <w:szCs w:val="24"/>
        </w:rPr>
        <w:t>Devido ao ciclo de curto prazo, pressupõe-se que o valor justo dos saldos de caixa e equivalentes de caixa, contas a receber e contas a pagar de fornecedores estejam próximos aos seus valores contábeis. Para mensuração e determinação do valor justo, a Companhia utiliza métodos incluindo abordagens de mercado, de resultado ou de custo, de forma a estimar o valor que os participantes do mercado utilizaram para precificar o ativo ou passivo. Os ativos e passivos financeiros registrados a valor justo são classificados e divulgados de acordo com os níveis a seguir:</w:t>
      </w:r>
    </w:p>
    <w:p w:rsidR="008A71CD" w:rsidRPr="008A71CD" w:rsidRDefault="008A71CD" w:rsidP="008A71CD">
      <w:pPr>
        <w:ind w:left="851"/>
        <w:jc w:val="both"/>
        <w:outlineLvl w:val="1"/>
        <w:rPr>
          <w:rFonts w:asciiTheme="minorHAnsi" w:hAnsiTheme="minorHAnsi" w:cstheme="minorHAnsi"/>
          <w:sz w:val="24"/>
          <w:szCs w:val="24"/>
        </w:rPr>
      </w:pPr>
    </w:p>
    <w:p w:rsidR="008A71CD" w:rsidRPr="008A71CD" w:rsidRDefault="008A71CD" w:rsidP="008A71CD">
      <w:pPr>
        <w:pStyle w:val="Marcador1"/>
        <w:numPr>
          <w:ilvl w:val="0"/>
          <w:numId w:val="28"/>
        </w:numPr>
        <w:spacing w:after="0"/>
        <w:ind w:left="851" w:firstLine="0"/>
        <w:jc w:val="both"/>
        <w:rPr>
          <w:rFonts w:asciiTheme="minorHAnsi" w:hAnsiTheme="minorHAnsi" w:cstheme="minorHAnsi"/>
          <w:bCs/>
          <w:sz w:val="24"/>
          <w:szCs w:val="24"/>
        </w:rPr>
      </w:pPr>
      <w:r w:rsidRPr="008A71CD">
        <w:rPr>
          <w:rFonts w:asciiTheme="minorHAnsi" w:hAnsiTheme="minorHAnsi" w:cstheme="minorHAnsi"/>
          <w:bCs/>
          <w:sz w:val="24"/>
          <w:szCs w:val="24"/>
        </w:rPr>
        <w:t>Nível 1 - Preços cotados não ajustados em mercados ativos para ativos e passivos e idênticos.</w:t>
      </w:r>
    </w:p>
    <w:p w:rsidR="008A71CD" w:rsidRPr="008A71CD" w:rsidRDefault="008A71CD" w:rsidP="008A71CD">
      <w:pPr>
        <w:pStyle w:val="Marcador1"/>
        <w:numPr>
          <w:ilvl w:val="0"/>
          <w:numId w:val="28"/>
        </w:numPr>
        <w:spacing w:after="0"/>
        <w:ind w:left="851" w:firstLine="0"/>
        <w:jc w:val="both"/>
        <w:rPr>
          <w:rFonts w:asciiTheme="minorHAnsi" w:hAnsiTheme="minorHAnsi" w:cstheme="minorHAnsi"/>
          <w:bCs/>
          <w:sz w:val="24"/>
          <w:szCs w:val="24"/>
        </w:rPr>
      </w:pPr>
      <w:r w:rsidRPr="008A71CD">
        <w:rPr>
          <w:rFonts w:asciiTheme="minorHAnsi" w:hAnsiTheme="minorHAnsi" w:cstheme="minorHAnsi"/>
          <w:bCs/>
          <w:sz w:val="24"/>
          <w:szCs w:val="24"/>
        </w:rPr>
        <w:t>Nível 2 - Inputs, exceto preços cotados, incluídos no Nível 1 que são observáveis para o ativo ou passivo (diretamente preços ou indiretamente derivado de preços).</w:t>
      </w:r>
    </w:p>
    <w:p w:rsidR="008A71CD" w:rsidRPr="008A71CD" w:rsidRDefault="008A71CD" w:rsidP="008A71CD">
      <w:pPr>
        <w:pStyle w:val="Marcador1"/>
        <w:numPr>
          <w:ilvl w:val="0"/>
          <w:numId w:val="28"/>
        </w:numPr>
        <w:spacing w:after="0"/>
        <w:ind w:left="851" w:firstLine="0"/>
        <w:jc w:val="both"/>
        <w:rPr>
          <w:rFonts w:asciiTheme="minorHAnsi" w:hAnsiTheme="minorHAnsi" w:cstheme="minorHAnsi"/>
          <w:bCs/>
          <w:sz w:val="24"/>
          <w:szCs w:val="24"/>
        </w:rPr>
      </w:pPr>
      <w:r w:rsidRPr="008A71CD">
        <w:rPr>
          <w:rFonts w:asciiTheme="minorHAnsi" w:hAnsiTheme="minorHAnsi" w:cstheme="minorHAnsi"/>
          <w:bCs/>
          <w:sz w:val="24"/>
          <w:szCs w:val="24"/>
        </w:rPr>
        <w:t>Nível 3 - Premissas, para o ativo ou passivo, que não são baseadas em dados observáveis de mercado (inputs não observáveis).</w:t>
      </w:r>
    </w:p>
    <w:p w:rsidR="008A71CD" w:rsidRPr="008A71CD" w:rsidRDefault="008A71CD" w:rsidP="008A71CD">
      <w:pPr>
        <w:ind w:left="851"/>
        <w:jc w:val="both"/>
        <w:rPr>
          <w:rFonts w:asciiTheme="minorHAnsi" w:hAnsiTheme="minorHAnsi" w:cstheme="minorHAnsi"/>
          <w:bCs/>
          <w:sz w:val="24"/>
          <w:szCs w:val="24"/>
        </w:rPr>
      </w:pPr>
      <w:r w:rsidRPr="008A71CD">
        <w:rPr>
          <w:rFonts w:asciiTheme="minorHAnsi" w:hAnsiTheme="minorHAnsi" w:cstheme="minorHAnsi"/>
          <w:bCs/>
          <w:sz w:val="24"/>
          <w:szCs w:val="24"/>
        </w:rPr>
        <w:t>Todos os instrumentos financeiros registrados e classificados pela Companhia a valor justo por meio do resultado foram classificados no nível 2. Não houve instrumentos financeiros alocados aos Níveis 1 e 3, nem ocorreram transferências de níveis no exercício observado.</w:t>
      </w:r>
    </w:p>
    <w:p w:rsidR="008A71CD" w:rsidRDefault="008A71CD" w:rsidP="00C16DDB">
      <w:pPr>
        <w:ind w:left="1080" w:hanging="1080"/>
        <w:jc w:val="both"/>
        <w:rPr>
          <w:rFonts w:ascii="Calibri" w:hAnsi="Calibri" w:cs="Calibri"/>
          <w:b/>
          <w:sz w:val="24"/>
          <w:szCs w:val="24"/>
        </w:rPr>
      </w:pPr>
    </w:p>
    <w:p w:rsidR="00BE3108" w:rsidRDefault="00BE3108" w:rsidP="00C16DDB">
      <w:pPr>
        <w:ind w:left="1080" w:hanging="1080"/>
        <w:jc w:val="both"/>
        <w:rPr>
          <w:rFonts w:ascii="Calibri" w:hAnsi="Calibri" w:cs="Calibri"/>
          <w:b/>
          <w:sz w:val="24"/>
          <w:szCs w:val="24"/>
        </w:rPr>
      </w:pPr>
    </w:p>
    <w:p w:rsidR="00D0760C" w:rsidRPr="00312424" w:rsidRDefault="00D0760C" w:rsidP="00D0760C">
      <w:pPr>
        <w:jc w:val="both"/>
        <w:rPr>
          <w:rFonts w:ascii="Calibri" w:hAnsi="Calibri" w:cs="Calibri"/>
          <w:b/>
          <w:sz w:val="24"/>
          <w:szCs w:val="24"/>
          <w:u w:val="single"/>
        </w:rPr>
      </w:pPr>
      <w:r>
        <w:rPr>
          <w:rFonts w:ascii="Calibri" w:hAnsi="Calibri" w:cs="Calibri"/>
          <w:b/>
          <w:sz w:val="24"/>
          <w:szCs w:val="24"/>
        </w:rPr>
        <w:t>2</w:t>
      </w:r>
      <w:r w:rsidR="008A71CD">
        <w:rPr>
          <w:rFonts w:ascii="Calibri" w:hAnsi="Calibri" w:cs="Calibri"/>
          <w:b/>
          <w:sz w:val="24"/>
          <w:szCs w:val="24"/>
        </w:rPr>
        <w:t>9</w:t>
      </w:r>
      <w:r w:rsidRPr="00312424">
        <w:rPr>
          <w:rFonts w:ascii="Calibri" w:hAnsi="Calibri" w:cs="Calibri"/>
          <w:b/>
          <w:sz w:val="24"/>
          <w:szCs w:val="24"/>
        </w:rPr>
        <w:t xml:space="preserve"> – </w:t>
      </w:r>
      <w:r>
        <w:rPr>
          <w:rFonts w:ascii="Calibri" w:hAnsi="Calibri" w:cs="Calibri"/>
          <w:b/>
          <w:sz w:val="24"/>
          <w:szCs w:val="24"/>
          <w:u w:val="single"/>
        </w:rPr>
        <w:t>TRANSAÇÕES COM PARTES RELACIONADAS</w:t>
      </w:r>
    </w:p>
    <w:p w:rsidR="00516C4E" w:rsidRDefault="00516C4E" w:rsidP="00C16DDB">
      <w:pPr>
        <w:ind w:left="1080" w:hanging="1080"/>
        <w:jc w:val="both"/>
        <w:rPr>
          <w:rFonts w:ascii="Calibri" w:hAnsi="Calibri" w:cs="Calibri"/>
          <w:b/>
          <w:sz w:val="24"/>
          <w:szCs w:val="24"/>
        </w:rPr>
      </w:pPr>
    </w:p>
    <w:p w:rsidR="00386840" w:rsidRPr="00CD3174" w:rsidRDefault="00386840" w:rsidP="00386840">
      <w:pPr>
        <w:jc w:val="both"/>
        <w:rPr>
          <w:rFonts w:ascii="Calibri" w:hAnsi="Calibri" w:cs="Calibri"/>
          <w:sz w:val="24"/>
          <w:szCs w:val="24"/>
        </w:rPr>
      </w:pPr>
      <w:r w:rsidRPr="00CD3174">
        <w:rPr>
          <w:rFonts w:ascii="Calibri" w:hAnsi="Calibri" w:cs="Calibri"/>
          <w:sz w:val="24"/>
          <w:szCs w:val="24"/>
        </w:rPr>
        <w:t xml:space="preserve">A CDRJ possui política de transações com partes relacionadas aprovada pelo Conselho de Administração e divulgada em sua página eletrônica. A política estabelece regras e consolida os procedimentos a serem observados pela </w:t>
      </w:r>
      <w:r w:rsidR="003924AB">
        <w:rPr>
          <w:rFonts w:ascii="Calibri" w:hAnsi="Calibri" w:cs="Calibri"/>
          <w:sz w:val="24"/>
          <w:szCs w:val="24"/>
        </w:rPr>
        <w:t>Companhia</w:t>
      </w:r>
      <w:r w:rsidRPr="00CD3174">
        <w:rPr>
          <w:rFonts w:ascii="Calibri" w:hAnsi="Calibri" w:cs="Calibri"/>
          <w:sz w:val="24"/>
          <w:szCs w:val="24"/>
        </w:rPr>
        <w:t xml:space="preserve"> quando da ocorrência de transações entre partes relacionadas, assegurando a competitividade, conformidade, transparência, equidade e comutatividade nas transações. A política se aplica a todos os colaboradores e administradores da CDRJ. As definições de partes relacionadas estão contidas no Pronunciamento Técnico nº 05, do Comitê de Pronunciamentos Contábeis – CPC. Dentre as transações realizadas pela CDRJ com suas partes relacionadas, destacamos:</w:t>
      </w:r>
    </w:p>
    <w:p w:rsidR="00386840" w:rsidRPr="00CD3174" w:rsidRDefault="00386840" w:rsidP="00386840">
      <w:pPr>
        <w:jc w:val="both"/>
        <w:rPr>
          <w:rFonts w:ascii="Calibri" w:hAnsi="Calibri" w:cs="Calibri"/>
          <w:sz w:val="24"/>
          <w:szCs w:val="24"/>
        </w:rPr>
      </w:pPr>
    </w:p>
    <w:p w:rsidR="00386840" w:rsidRPr="00CD3174" w:rsidRDefault="00386840" w:rsidP="00386840">
      <w:pPr>
        <w:jc w:val="both"/>
        <w:rPr>
          <w:rFonts w:ascii="Calibri" w:hAnsi="Calibri" w:cs="Calibri"/>
          <w:sz w:val="24"/>
          <w:szCs w:val="24"/>
        </w:rPr>
      </w:pPr>
      <w:r w:rsidRPr="00DC1BB0">
        <w:rPr>
          <w:rFonts w:ascii="Calibri" w:hAnsi="Calibri" w:cs="Calibri"/>
          <w:b/>
          <w:sz w:val="24"/>
          <w:szCs w:val="24"/>
        </w:rPr>
        <w:t>Transações com o Tesouro Nacional</w:t>
      </w:r>
      <w:r>
        <w:rPr>
          <w:rFonts w:ascii="Calibri" w:hAnsi="Calibri" w:cs="Calibri"/>
          <w:b/>
          <w:sz w:val="24"/>
          <w:szCs w:val="24"/>
        </w:rPr>
        <w:t xml:space="preserve">: </w:t>
      </w:r>
      <w:r w:rsidRPr="00CD3174">
        <w:rPr>
          <w:rFonts w:ascii="Calibri" w:hAnsi="Calibri" w:cs="Calibri"/>
          <w:sz w:val="24"/>
          <w:szCs w:val="24"/>
        </w:rPr>
        <w:t xml:space="preserve">A CDRJ celebrou três contratos de cessão de créditos, com o Tesouro Nacional, nos exercícios de 1998 a 2000, nos quais a CDRJ transferiu à União os direitos de créditos decorrentes de dois contratos de arrendamento: C-DEPJUR Nº 010/98, de 11/03/1998, celebrado entre a CDRJ e o arrendatário Libra Terminal Rio S.A. e o contrato C-DEPJUR Nº 069/98, de 23/10/98, celebrado entre a CDRJ e o arrendatário Sepetiba Tecon S.A. </w:t>
      </w:r>
      <w:r>
        <w:rPr>
          <w:rFonts w:ascii="Calibri" w:hAnsi="Calibri" w:cs="Calibri"/>
          <w:sz w:val="24"/>
          <w:szCs w:val="24"/>
        </w:rPr>
        <w:t>Do</w:t>
      </w:r>
      <w:r w:rsidRPr="00CD3174">
        <w:rPr>
          <w:rFonts w:ascii="Calibri" w:hAnsi="Calibri" w:cs="Calibri"/>
          <w:sz w:val="24"/>
          <w:szCs w:val="24"/>
        </w:rPr>
        <w:t>s créditos decorrentes do arrendamento da Libra Terminal Rio S.A. result</w:t>
      </w:r>
      <w:r>
        <w:rPr>
          <w:rFonts w:ascii="Calibri" w:hAnsi="Calibri" w:cs="Calibri"/>
          <w:sz w:val="24"/>
          <w:szCs w:val="24"/>
        </w:rPr>
        <w:t>aram</w:t>
      </w:r>
      <w:r w:rsidRPr="00CD3174">
        <w:rPr>
          <w:rFonts w:ascii="Calibri" w:hAnsi="Calibri" w:cs="Calibri"/>
          <w:sz w:val="24"/>
          <w:szCs w:val="24"/>
        </w:rPr>
        <w:t xml:space="preserve"> dois contratos de cessão, relativos à parte fixa e variável, cujo</w:t>
      </w:r>
      <w:r>
        <w:rPr>
          <w:rFonts w:ascii="Calibri" w:hAnsi="Calibri" w:cs="Calibri"/>
          <w:sz w:val="24"/>
          <w:szCs w:val="24"/>
        </w:rPr>
        <w:t>s</w:t>
      </w:r>
      <w:r w:rsidRPr="00CD3174">
        <w:rPr>
          <w:rFonts w:ascii="Calibri" w:hAnsi="Calibri" w:cs="Calibri"/>
          <w:sz w:val="24"/>
          <w:szCs w:val="24"/>
        </w:rPr>
        <w:t xml:space="preserve"> vencimento</w:t>
      </w:r>
      <w:r>
        <w:rPr>
          <w:rFonts w:ascii="Calibri" w:hAnsi="Calibri" w:cs="Calibri"/>
          <w:sz w:val="24"/>
          <w:szCs w:val="24"/>
        </w:rPr>
        <w:t>s</w:t>
      </w:r>
      <w:r w:rsidRPr="00CD3174">
        <w:rPr>
          <w:rFonts w:ascii="Calibri" w:hAnsi="Calibri" w:cs="Calibri"/>
          <w:sz w:val="24"/>
          <w:szCs w:val="24"/>
        </w:rPr>
        <w:t xml:space="preserve"> ocorrer</w:t>
      </w:r>
      <w:r>
        <w:rPr>
          <w:rFonts w:ascii="Calibri" w:hAnsi="Calibri" w:cs="Calibri"/>
          <w:sz w:val="24"/>
          <w:szCs w:val="24"/>
        </w:rPr>
        <w:t xml:space="preserve">ão </w:t>
      </w:r>
      <w:r w:rsidRPr="00CD3174">
        <w:rPr>
          <w:rFonts w:ascii="Calibri" w:hAnsi="Calibri" w:cs="Calibri"/>
          <w:sz w:val="24"/>
          <w:szCs w:val="24"/>
        </w:rPr>
        <w:t>em 8 de maio de 2023.</w:t>
      </w:r>
      <w:r>
        <w:rPr>
          <w:rFonts w:ascii="Calibri" w:hAnsi="Calibri" w:cs="Calibri"/>
          <w:sz w:val="24"/>
          <w:szCs w:val="24"/>
        </w:rPr>
        <w:t xml:space="preserve"> </w:t>
      </w:r>
      <w:r w:rsidRPr="00CD3174">
        <w:rPr>
          <w:rFonts w:ascii="Calibri" w:hAnsi="Calibri" w:cs="Calibri"/>
          <w:sz w:val="24"/>
          <w:szCs w:val="24"/>
        </w:rPr>
        <w:t>O contrato relativo ao arrendamento da Sepetiba Tecon S.A. possui vigência até 1º de outubro de 2025.</w:t>
      </w:r>
    </w:p>
    <w:p w:rsidR="00386840" w:rsidRPr="00CD3174" w:rsidRDefault="00386840" w:rsidP="00386840">
      <w:pPr>
        <w:jc w:val="both"/>
        <w:rPr>
          <w:rFonts w:ascii="Calibri" w:hAnsi="Calibri" w:cs="Calibri"/>
          <w:sz w:val="24"/>
          <w:szCs w:val="24"/>
        </w:rPr>
      </w:pPr>
    </w:p>
    <w:p w:rsidR="00386840" w:rsidRPr="00CD3174" w:rsidRDefault="00386840" w:rsidP="00386840">
      <w:pPr>
        <w:jc w:val="both"/>
        <w:rPr>
          <w:rFonts w:ascii="Calibri" w:hAnsi="Calibri" w:cs="Calibri"/>
          <w:sz w:val="24"/>
          <w:szCs w:val="24"/>
        </w:rPr>
      </w:pPr>
      <w:r w:rsidRPr="00DC1BB0">
        <w:rPr>
          <w:rFonts w:ascii="Calibri" w:hAnsi="Calibri" w:cs="Calibri"/>
          <w:b/>
          <w:sz w:val="24"/>
          <w:szCs w:val="24"/>
        </w:rPr>
        <w:t>Transações com a Petrobrás</w:t>
      </w:r>
      <w:r>
        <w:rPr>
          <w:rFonts w:ascii="Calibri" w:hAnsi="Calibri" w:cs="Calibri"/>
          <w:b/>
          <w:sz w:val="24"/>
          <w:szCs w:val="24"/>
        </w:rPr>
        <w:t xml:space="preserve">: </w:t>
      </w:r>
      <w:r>
        <w:rPr>
          <w:rFonts w:ascii="Calibri" w:hAnsi="Calibri" w:cs="Calibri"/>
          <w:sz w:val="24"/>
          <w:szCs w:val="24"/>
        </w:rPr>
        <w:t>A Petrobrás opera com duas de suas filiais no Porto do Rio de Janeiro, em terminal privativo e com utilização do cais público. Quando opera em área privativa, a empresa efetua pagamento das tarifas portuárias de acesso ao canal e de fundeio. No cais público, são cobradas tarifas de atracação, movimentação de cargas e serviços diversos. No exercício de 2019, o valor total faturado foi de R$ 34.966 mil (R$ 32.410 em 2018).</w:t>
      </w:r>
    </w:p>
    <w:p w:rsidR="0011080B" w:rsidRDefault="0011080B" w:rsidP="00386840">
      <w:pPr>
        <w:jc w:val="both"/>
        <w:rPr>
          <w:rFonts w:ascii="Calibri" w:hAnsi="Calibri" w:cs="Calibri"/>
          <w:sz w:val="24"/>
          <w:szCs w:val="24"/>
        </w:rPr>
      </w:pPr>
    </w:p>
    <w:p w:rsidR="001C4695" w:rsidRPr="00CD3174" w:rsidRDefault="001C4695" w:rsidP="00386840">
      <w:pPr>
        <w:jc w:val="both"/>
        <w:rPr>
          <w:rFonts w:ascii="Calibri" w:hAnsi="Calibri" w:cs="Calibri"/>
          <w:sz w:val="24"/>
          <w:szCs w:val="24"/>
        </w:rPr>
      </w:pPr>
    </w:p>
    <w:p w:rsidR="00386840" w:rsidRPr="00CD3174" w:rsidRDefault="00386840" w:rsidP="00386840">
      <w:pPr>
        <w:jc w:val="both"/>
        <w:rPr>
          <w:rFonts w:ascii="Calibri" w:hAnsi="Calibri" w:cs="Calibri"/>
          <w:sz w:val="24"/>
          <w:szCs w:val="24"/>
        </w:rPr>
      </w:pPr>
      <w:r w:rsidRPr="00DC1BB0">
        <w:rPr>
          <w:rFonts w:ascii="Calibri" w:hAnsi="Calibri" w:cs="Calibri"/>
          <w:b/>
          <w:sz w:val="24"/>
          <w:szCs w:val="24"/>
        </w:rPr>
        <w:lastRenderedPageBreak/>
        <w:t>Transações com Cessionários</w:t>
      </w:r>
      <w:r>
        <w:rPr>
          <w:rFonts w:ascii="Calibri" w:hAnsi="Calibri" w:cs="Calibri"/>
          <w:b/>
          <w:sz w:val="24"/>
          <w:szCs w:val="24"/>
        </w:rPr>
        <w:t xml:space="preserve">: </w:t>
      </w:r>
      <w:r w:rsidRPr="00CD3174">
        <w:rPr>
          <w:rFonts w:ascii="Calibri" w:hAnsi="Calibri" w:cs="Calibri"/>
          <w:sz w:val="24"/>
          <w:szCs w:val="24"/>
        </w:rPr>
        <w:t>A CDRJ cede mão de obra para as entidades públicas abaixo listadas:</w:t>
      </w:r>
    </w:p>
    <w:p w:rsidR="00386840" w:rsidRPr="00CD3174" w:rsidRDefault="00386840" w:rsidP="00386840">
      <w:pPr>
        <w:jc w:val="both"/>
        <w:rPr>
          <w:rFonts w:ascii="Calibri" w:hAnsi="Calibri" w:cs="Calibri"/>
          <w:sz w:val="24"/>
          <w:szCs w:val="24"/>
        </w:rPr>
      </w:pPr>
      <w:r w:rsidRPr="00CD3174">
        <w:rPr>
          <w:rFonts w:ascii="Calibri" w:hAnsi="Calibri" w:cs="Calibri"/>
          <w:sz w:val="24"/>
          <w:szCs w:val="24"/>
        </w:rPr>
        <w:t>Advocacia-Geral da União - AGU</w:t>
      </w:r>
    </w:p>
    <w:p w:rsidR="00386840" w:rsidRPr="00CD3174" w:rsidRDefault="00386840" w:rsidP="00386840">
      <w:pPr>
        <w:jc w:val="both"/>
        <w:rPr>
          <w:rFonts w:ascii="Calibri" w:hAnsi="Calibri" w:cs="Calibri"/>
          <w:sz w:val="24"/>
          <w:szCs w:val="24"/>
        </w:rPr>
      </w:pPr>
      <w:r w:rsidRPr="00CD3174">
        <w:rPr>
          <w:rFonts w:ascii="Calibri" w:hAnsi="Calibri" w:cs="Calibri"/>
          <w:sz w:val="24"/>
          <w:szCs w:val="24"/>
        </w:rPr>
        <w:t xml:space="preserve">Agência Nacional de Transportes </w:t>
      </w:r>
      <w:proofErr w:type="spellStart"/>
      <w:r w:rsidRPr="00CD3174">
        <w:rPr>
          <w:rFonts w:ascii="Calibri" w:hAnsi="Calibri" w:cs="Calibri"/>
          <w:sz w:val="24"/>
          <w:szCs w:val="24"/>
        </w:rPr>
        <w:t>Aquaviários</w:t>
      </w:r>
      <w:proofErr w:type="spellEnd"/>
      <w:r w:rsidRPr="00CD3174">
        <w:rPr>
          <w:rFonts w:ascii="Calibri" w:hAnsi="Calibri" w:cs="Calibri"/>
          <w:sz w:val="24"/>
          <w:szCs w:val="24"/>
        </w:rPr>
        <w:t xml:space="preserve"> – ANTAQ</w:t>
      </w:r>
    </w:p>
    <w:p w:rsidR="00386840" w:rsidRPr="00CD3174" w:rsidRDefault="00386840" w:rsidP="00386840">
      <w:pPr>
        <w:jc w:val="both"/>
        <w:rPr>
          <w:rFonts w:ascii="Calibri" w:hAnsi="Calibri" w:cs="Calibri"/>
          <w:sz w:val="24"/>
          <w:szCs w:val="24"/>
        </w:rPr>
      </w:pPr>
      <w:r w:rsidRPr="00CD3174">
        <w:rPr>
          <w:rFonts w:ascii="Calibri" w:hAnsi="Calibri" w:cs="Calibri"/>
          <w:sz w:val="24"/>
          <w:szCs w:val="24"/>
        </w:rPr>
        <w:t>Agência Nacional de Transportes Terrestres – ANTT</w:t>
      </w:r>
    </w:p>
    <w:p w:rsidR="00386840" w:rsidRPr="00CD3174" w:rsidRDefault="00386840" w:rsidP="00386840">
      <w:pPr>
        <w:jc w:val="both"/>
        <w:rPr>
          <w:rFonts w:ascii="Calibri" w:hAnsi="Calibri" w:cs="Calibri"/>
          <w:sz w:val="24"/>
          <w:szCs w:val="24"/>
        </w:rPr>
      </w:pPr>
      <w:r w:rsidRPr="00CD3174">
        <w:rPr>
          <w:rFonts w:ascii="Calibri" w:hAnsi="Calibri" w:cs="Calibri"/>
          <w:sz w:val="24"/>
          <w:szCs w:val="24"/>
        </w:rPr>
        <w:t xml:space="preserve">Departamento Nacional de Infraestrutura de Transportes – DNIT </w:t>
      </w:r>
    </w:p>
    <w:p w:rsidR="00386840" w:rsidRPr="00CD3174" w:rsidRDefault="00386840" w:rsidP="00386840">
      <w:pPr>
        <w:jc w:val="both"/>
        <w:rPr>
          <w:rFonts w:ascii="Calibri" w:hAnsi="Calibri" w:cs="Calibri"/>
          <w:sz w:val="24"/>
          <w:szCs w:val="24"/>
        </w:rPr>
      </w:pPr>
      <w:r w:rsidRPr="00CD3174">
        <w:rPr>
          <w:rFonts w:ascii="Calibri" w:hAnsi="Calibri" w:cs="Calibri"/>
          <w:sz w:val="24"/>
          <w:szCs w:val="24"/>
        </w:rPr>
        <w:t>Empresa de Planejamento e Logística S.A. – EPL</w:t>
      </w:r>
    </w:p>
    <w:p w:rsidR="00386840" w:rsidRPr="00CD3174" w:rsidRDefault="00386840" w:rsidP="00386840">
      <w:pPr>
        <w:jc w:val="both"/>
        <w:rPr>
          <w:rFonts w:ascii="Calibri" w:hAnsi="Calibri" w:cs="Calibri"/>
          <w:sz w:val="24"/>
          <w:szCs w:val="24"/>
        </w:rPr>
      </w:pPr>
      <w:r w:rsidRPr="00CD3174">
        <w:rPr>
          <w:rFonts w:ascii="Calibri" w:hAnsi="Calibri" w:cs="Calibri"/>
          <w:sz w:val="24"/>
          <w:szCs w:val="24"/>
        </w:rPr>
        <w:t>Ministério da Infraestrutura – MINFRA</w:t>
      </w:r>
    </w:p>
    <w:p w:rsidR="00386840" w:rsidRPr="00CD3174" w:rsidRDefault="00386840" w:rsidP="00386840">
      <w:pPr>
        <w:jc w:val="both"/>
        <w:rPr>
          <w:rFonts w:ascii="Calibri" w:hAnsi="Calibri" w:cs="Calibri"/>
          <w:sz w:val="24"/>
          <w:szCs w:val="24"/>
        </w:rPr>
      </w:pPr>
      <w:r w:rsidRPr="00CD3174">
        <w:rPr>
          <w:rFonts w:ascii="Calibri" w:hAnsi="Calibri" w:cs="Calibri"/>
          <w:sz w:val="24"/>
          <w:szCs w:val="24"/>
        </w:rPr>
        <w:t>Prefeitura de Camboriú</w:t>
      </w:r>
    </w:p>
    <w:p w:rsidR="00386840" w:rsidRPr="00CD3174" w:rsidRDefault="00386840" w:rsidP="00386840">
      <w:pPr>
        <w:jc w:val="both"/>
        <w:rPr>
          <w:rFonts w:ascii="Calibri" w:hAnsi="Calibri" w:cs="Calibri"/>
          <w:sz w:val="24"/>
          <w:szCs w:val="24"/>
        </w:rPr>
      </w:pPr>
      <w:r w:rsidRPr="00CD3174">
        <w:rPr>
          <w:rFonts w:ascii="Calibri" w:hAnsi="Calibri" w:cs="Calibri"/>
          <w:sz w:val="24"/>
          <w:szCs w:val="24"/>
        </w:rPr>
        <w:t>Prefeitura do Rio de Janeiro</w:t>
      </w:r>
    </w:p>
    <w:p w:rsidR="00386840" w:rsidRPr="00CD3174" w:rsidRDefault="00386840" w:rsidP="00386840">
      <w:pPr>
        <w:jc w:val="both"/>
        <w:rPr>
          <w:rFonts w:ascii="Calibri" w:hAnsi="Calibri" w:cs="Calibri"/>
          <w:sz w:val="24"/>
          <w:szCs w:val="24"/>
        </w:rPr>
      </w:pPr>
      <w:r w:rsidRPr="00CD3174">
        <w:rPr>
          <w:rFonts w:ascii="Calibri" w:hAnsi="Calibri" w:cs="Calibri"/>
          <w:sz w:val="24"/>
          <w:szCs w:val="24"/>
        </w:rPr>
        <w:t>Universidade Federal Rural do Rio de Janeiro – UFRRJ</w:t>
      </w:r>
    </w:p>
    <w:p w:rsidR="00386840" w:rsidRPr="00CD3174" w:rsidRDefault="00386840" w:rsidP="00386840">
      <w:pPr>
        <w:jc w:val="both"/>
        <w:rPr>
          <w:rFonts w:ascii="Calibri" w:hAnsi="Calibri" w:cs="Calibri"/>
          <w:sz w:val="24"/>
          <w:szCs w:val="24"/>
        </w:rPr>
      </w:pPr>
    </w:p>
    <w:p w:rsidR="00386840" w:rsidRPr="00CD3174" w:rsidRDefault="00386840" w:rsidP="00386840">
      <w:pPr>
        <w:jc w:val="both"/>
        <w:rPr>
          <w:rFonts w:ascii="Calibri" w:hAnsi="Calibri" w:cs="Calibri"/>
          <w:sz w:val="24"/>
          <w:szCs w:val="24"/>
        </w:rPr>
      </w:pPr>
      <w:r w:rsidRPr="00CD3174">
        <w:rPr>
          <w:rFonts w:ascii="Calibri" w:hAnsi="Calibri" w:cs="Calibri"/>
          <w:sz w:val="24"/>
          <w:szCs w:val="24"/>
        </w:rPr>
        <w:t>Os cessionários transferem à CDRJ, mensalmente, a título de ressarcimento, os valores relativos aos gastos com os salários e demais benefícios. O valor total do ressarcimento no exercício de 2019 foi de R$ 22.368 mil (R$ 26.288 mil em 2018) e valor médio mensal foi de R$ 1.721 mil (R$ 2.022 mil em 2018).</w:t>
      </w:r>
    </w:p>
    <w:p w:rsidR="00386840" w:rsidRPr="00CD3174" w:rsidRDefault="00386840" w:rsidP="00386840">
      <w:pPr>
        <w:jc w:val="both"/>
        <w:rPr>
          <w:rFonts w:ascii="Calibri" w:hAnsi="Calibri" w:cs="Calibri"/>
          <w:sz w:val="24"/>
          <w:szCs w:val="24"/>
        </w:rPr>
      </w:pPr>
    </w:p>
    <w:p w:rsidR="00386840" w:rsidRPr="00CD3174" w:rsidRDefault="00386840" w:rsidP="00386840">
      <w:pPr>
        <w:jc w:val="both"/>
        <w:rPr>
          <w:rFonts w:ascii="Calibri" w:hAnsi="Calibri" w:cs="Calibri"/>
          <w:sz w:val="24"/>
          <w:szCs w:val="24"/>
        </w:rPr>
      </w:pPr>
      <w:r w:rsidRPr="00DC1BB0">
        <w:rPr>
          <w:rFonts w:ascii="Calibri" w:hAnsi="Calibri" w:cs="Calibri"/>
          <w:b/>
          <w:sz w:val="24"/>
          <w:szCs w:val="24"/>
        </w:rPr>
        <w:t>Transações com o INEA</w:t>
      </w:r>
      <w:r>
        <w:rPr>
          <w:rFonts w:ascii="Calibri" w:hAnsi="Calibri" w:cs="Calibri"/>
          <w:b/>
          <w:sz w:val="24"/>
          <w:szCs w:val="24"/>
        </w:rPr>
        <w:t xml:space="preserve">: </w:t>
      </w:r>
      <w:r>
        <w:rPr>
          <w:rFonts w:ascii="Calibri" w:hAnsi="Calibri" w:cs="Calibri"/>
          <w:sz w:val="24"/>
          <w:szCs w:val="24"/>
        </w:rPr>
        <w:t>A CDRJ celebrou o Termo de Convênio nº 120/2012 com o Instituto Estadual do Ambiente – INEA, visando ações de despoluição da Praia de Sepetiba. Após o término do contrato, o INEA realizou prestação de contas e pleiteou aditivo com fins de utilização do saldo de R$ 1.200 mil, que deveria ser restituído à CDRJ. A Diretoria Executiva da CDRJ rejeitou a proposta e determinou a cobrança. Até o encerramento do exercício de 2019, permanecia em aberto o valor a receber do ente.</w:t>
      </w:r>
    </w:p>
    <w:p w:rsidR="00386840" w:rsidRPr="00CD3174" w:rsidRDefault="00386840" w:rsidP="00386840">
      <w:pPr>
        <w:jc w:val="both"/>
        <w:rPr>
          <w:rFonts w:ascii="Calibri" w:hAnsi="Calibri" w:cs="Calibri"/>
          <w:sz w:val="24"/>
          <w:szCs w:val="24"/>
        </w:rPr>
      </w:pPr>
    </w:p>
    <w:p w:rsidR="00386840" w:rsidRDefault="00386840" w:rsidP="00386840">
      <w:pPr>
        <w:jc w:val="both"/>
        <w:rPr>
          <w:rFonts w:ascii="Calibri" w:hAnsi="Calibri" w:cs="Calibri"/>
          <w:sz w:val="24"/>
          <w:szCs w:val="24"/>
        </w:rPr>
      </w:pPr>
      <w:r w:rsidRPr="00DC1BB0">
        <w:rPr>
          <w:rFonts w:ascii="Calibri" w:hAnsi="Calibri" w:cs="Calibri"/>
          <w:b/>
          <w:sz w:val="24"/>
          <w:szCs w:val="24"/>
        </w:rPr>
        <w:t>Transações com o Município do Rio de Janeiro</w:t>
      </w:r>
      <w:r>
        <w:rPr>
          <w:rFonts w:ascii="Calibri" w:hAnsi="Calibri" w:cs="Calibri"/>
          <w:b/>
          <w:sz w:val="24"/>
          <w:szCs w:val="24"/>
        </w:rPr>
        <w:t xml:space="preserve">: </w:t>
      </w:r>
      <w:r>
        <w:rPr>
          <w:rFonts w:ascii="Calibri" w:hAnsi="Calibri" w:cs="Calibri"/>
          <w:sz w:val="24"/>
          <w:szCs w:val="24"/>
        </w:rPr>
        <w:t>A CDRJ possui saldo a receber referente à indenização por desapropriação administrativa de imóveis declarados de utilidade pública, ocorrida no exercício de 2014. O saldo a receber em 2019 era de R$ 47.</w:t>
      </w:r>
      <w:r w:rsidR="00ED5D19">
        <w:rPr>
          <w:rFonts w:ascii="Calibri" w:hAnsi="Calibri" w:cs="Calibri"/>
          <w:sz w:val="24"/>
          <w:szCs w:val="24"/>
        </w:rPr>
        <w:t>360</w:t>
      </w:r>
      <w:r>
        <w:rPr>
          <w:rFonts w:ascii="Calibri" w:hAnsi="Calibri" w:cs="Calibri"/>
          <w:sz w:val="24"/>
          <w:szCs w:val="24"/>
        </w:rPr>
        <w:t xml:space="preserve"> mil (R$ 47.079 em 2018).</w:t>
      </w:r>
    </w:p>
    <w:p w:rsidR="00386840" w:rsidRPr="00CD3174" w:rsidRDefault="00386840" w:rsidP="00386840">
      <w:pPr>
        <w:jc w:val="both"/>
        <w:rPr>
          <w:rFonts w:ascii="Calibri" w:hAnsi="Calibri" w:cs="Calibri"/>
          <w:sz w:val="24"/>
          <w:szCs w:val="24"/>
        </w:rPr>
      </w:pPr>
    </w:p>
    <w:p w:rsidR="00386840" w:rsidRPr="00CD3174" w:rsidRDefault="00386840" w:rsidP="00386840">
      <w:pPr>
        <w:jc w:val="both"/>
        <w:rPr>
          <w:rFonts w:ascii="Calibri" w:hAnsi="Calibri" w:cs="Calibri"/>
          <w:sz w:val="24"/>
          <w:szCs w:val="24"/>
        </w:rPr>
      </w:pPr>
      <w:r w:rsidRPr="00DC1BB0">
        <w:rPr>
          <w:rFonts w:ascii="Calibri" w:hAnsi="Calibri" w:cs="Calibri"/>
          <w:b/>
          <w:sz w:val="24"/>
          <w:szCs w:val="24"/>
        </w:rPr>
        <w:t>Outras transações</w:t>
      </w:r>
      <w:r>
        <w:rPr>
          <w:rFonts w:ascii="Calibri" w:hAnsi="Calibri" w:cs="Calibri"/>
          <w:b/>
          <w:sz w:val="24"/>
          <w:szCs w:val="24"/>
        </w:rPr>
        <w:t xml:space="preserve">: </w:t>
      </w:r>
      <w:r w:rsidRPr="00CD3174">
        <w:rPr>
          <w:rFonts w:ascii="Calibri" w:hAnsi="Calibri" w:cs="Calibri"/>
          <w:sz w:val="24"/>
          <w:szCs w:val="24"/>
        </w:rPr>
        <w:t>A CDRJ mantém transações no curso de suas operações com outras entidades governamentais, como o Banco do Brasil, Caixa Econômica Federal</w:t>
      </w:r>
      <w:r>
        <w:rPr>
          <w:rFonts w:ascii="Calibri" w:hAnsi="Calibri" w:cs="Calibri"/>
          <w:sz w:val="24"/>
          <w:szCs w:val="24"/>
        </w:rPr>
        <w:t>,</w:t>
      </w:r>
      <w:r w:rsidRPr="00CD3174">
        <w:rPr>
          <w:rFonts w:ascii="Calibri" w:hAnsi="Calibri" w:cs="Calibri"/>
          <w:sz w:val="24"/>
          <w:szCs w:val="24"/>
        </w:rPr>
        <w:t xml:space="preserve"> Empresa Brasil de Comunicações</w:t>
      </w:r>
      <w:r>
        <w:rPr>
          <w:rFonts w:ascii="Calibri" w:hAnsi="Calibri" w:cs="Calibri"/>
          <w:sz w:val="24"/>
          <w:szCs w:val="24"/>
        </w:rPr>
        <w:t xml:space="preserve"> – EBC, Companhia Docas do Pará – CDP e Empresa Gerencial de Projetos Navais – EMGEPRON.</w:t>
      </w:r>
    </w:p>
    <w:p w:rsidR="00D414A4" w:rsidRPr="00CD3174" w:rsidRDefault="00D414A4" w:rsidP="00386840">
      <w:pPr>
        <w:jc w:val="both"/>
        <w:rPr>
          <w:rFonts w:ascii="Calibri" w:hAnsi="Calibri" w:cs="Calibri"/>
          <w:sz w:val="24"/>
          <w:szCs w:val="24"/>
        </w:rPr>
      </w:pPr>
    </w:p>
    <w:p w:rsidR="00386840" w:rsidRDefault="00386840" w:rsidP="00386840">
      <w:pPr>
        <w:jc w:val="both"/>
        <w:rPr>
          <w:rFonts w:ascii="Calibri" w:hAnsi="Calibri" w:cs="Calibri"/>
          <w:b/>
          <w:sz w:val="24"/>
          <w:szCs w:val="24"/>
        </w:rPr>
      </w:pPr>
      <w:r w:rsidRPr="00DC1BB0">
        <w:rPr>
          <w:rFonts w:ascii="Calibri" w:hAnsi="Calibri" w:cs="Calibri"/>
          <w:b/>
          <w:sz w:val="24"/>
          <w:szCs w:val="24"/>
        </w:rPr>
        <w:t>Remuneração de empregados e dirigentes (valores expressos em Reais):</w:t>
      </w:r>
    </w:p>
    <w:p w:rsidR="00386840" w:rsidRPr="00DC1BB0" w:rsidRDefault="00386840" w:rsidP="00386840">
      <w:pPr>
        <w:jc w:val="both"/>
        <w:rPr>
          <w:rFonts w:ascii="Calibri" w:hAnsi="Calibri" w:cs="Calibri"/>
          <w:b/>
          <w:sz w:val="24"/>
          <w:szCs w:val="24"/>
        </w:rPr>
      </w:pPr>
    </w:p>
    <w:p w:rsidR="00386840" w:rsidRDefault="00386840" w:rsidP="00386840">
      <w:pPr>
        <w:jc w:val="both"/>
        <w:rPr>
          <w:rFonts w:ascii="Calibri" w:hAnsi="Calibri" w:cs="Calibri"/>
          <w:sz w:val="24"/>
          <w:szCs w:val="24"/>
        </w:rPr>
      </w:pPr>
      <w:r w:rsidRPr="00CD3174">
        <w:rPr>
          <w:rFonts w:ascii="Calibri" w:hAnsi="Calibri" w:cs="Calibri"/>
          <w:sz w:val="24"/>
          <w:szCs w:val="24"/>
        </w:rPr>
        <w:t>Custos com remunerações e outros benefícios atribuídos aos membros da diretoria:</w:t>
      </w:r>
    </w:p>
    <w:p w:rsidR="00386840" w:rsidRPr="00CD3174" w:rsidRDefault="00386840" w:rsidP="00386840">
      <w:pPr>
        <w:jc w:val="both"/>
        <w:rPr>
          <w:rFonts w:ascii="Calibri" w:hAnsi="Calibri" w:cs="Calibri"/>
          <w:sz w:val="24"/>
          <w:szCs w:val="24"/>
        </w:rPr>
      </w:pPr>
    </w:p>
    <w:tbl>
      <w:tblPr>
        <w:tblStyle w:val="Tabelacomgrade"/>
        <w:tblW w:w="0" w:type="auto"/>
        <w:tblLook w:val="04A0" w:firstRow="1" w:lastRow="0" w:firstColumn="1" w:lastColumn="0" w:noHBand="0" w:noVBand="1"/>
      </w:tblPr>
      <w:tblGrid>
        <w:gridCol w:w="421"/>
        <w:gridCol w:w="4394"/>
        <w:gridCol w:w="1559"/>
        <w:gridCol w:w="1559"/>
      </w:tblGrid>
      <w:tr w:rsidR="00386840" w:rsidRPr="00CD3174" w:rsidTr="00ED5D19">
        <w:tc>
          <w:tcPr>
            <w:tcW w:w="4815" w:type="dxa"/>
            <w:gridSpan w:val="2"/>
          </w:tcPr>
          <w:p w:rsidR="00386840" w:rsidRPr="00CD3174" w:rsidRDefault="00386840" w:rsidP="00697525">
            <w:pPr>
              <w:jc w:val="center"/>
              <w:rPr>
                <w:rFonts w:ascii="Calibri" w:hAnsi="Calibri" w:cs="Calibri"/>
                <w:sz w:val="24"/>
                <w:szCs w:val="24"/>
              </w:rPr>
            </w:pPr>
          </w:p>
        </w:tc>
        <w:tc>
          <w:tcPr>
            <w:tcW w:w="1559" w:type="dxa"/>
          </w:tcPr>
          <w:p w:rsidR="00386840" w:rsidRPr="00ED5D19" w:rsidRDefault="00386840" w:rsidP="00697525">
            <w:pPr>
              <w:jc w:val="center"/>
              <w:rPr>
                <w:rFonts w:ascii="Calibri" w:hAnsi="Calibri" w:cs="Calibri"/>
                <w:b/>
                <w:sz w:val="24"/>
                <w:szCs w:val="24"/>
              </w:rPr>
            </w:pPr>
            <w:r w:rsidRPr="00ED5D19">
              <w:rPr>
                <w:rFonts w:ascii="Calibri" w:hAnsi="Calibri" w:cs="Calibri"/>
                <w:b/>
                <w:sz w:val="24"/>
                <w:szCs w:val="24"/>
              </w:rPr>
              <w:t>2019</w:t>
            </w:r>
          </w:p>
        </w:tc>
        <w:tc>
          <w:tcPr>
            <w:tcW w:w="1559" w:type="dxa"/>
          </w:tcPr>
          <w:p w:rsidR="00386840" w:rsidRPr="00ED5D19" w:rsidRDefault="00386840" w:rsidP="00697525">
            <w:pPr>
              <w:jc w:val="center"/>
              <w:rPr>
                <w:rFonts w:ascii="Calibri" w:hAnsi="Calibri" w:cs="Calibri"/>
                <w:b/>
                <w:sz w:val="24"/>
                <w:szCs w:val="24"/>
              </w:rPr>
            </w:pPr>
            <w:r w:rsidRPr="00ED5D19">
              <w:rPr>
                <w:rFonts w:ascii="Calibri" w:hAnsi="Calibri" w:cs="Calibri"/>
                <w:b/>
                <w:sz w:val="24"/>
                <w:szCs w:val="24"/>
              </w:rPr>
              <w:t>2018</w:t>
            </w:r>
          </w:p>
        </w:tc>
      </w:tr>
      <w:tr w:rsidR="00386840" w:rsidRPr="00CD3174" w:rsidTr="00ED5D19">
        <w:tc>
          <w:tcPr>
            <w:tcW w:w="4815" w:type="dxa"/>
            <w:gridSpan w:val="2"/>
          </w:tcPr>
          <w:p w:rsidR="00386840" w:rsidRPr="00CD3174" w:rsidRDefault="00386840" w:rsidP="00697525">
            <w:pPr>
              <w:jc w:val="both"/>
              <w:rPr>
                <w:rFonts w:ascii="Calibri" w:hAnsi="Calibri" w:cs="Calibri"/>
                <w:sz w:val="24"/>
                <w:szCs w:val="24"/>
              </w:rPr>
            </w:pPr>
            <w:r w:rsidRPr="00CD3174">
              <w:rPr>
                <w:rFonts w:ascii="Calibri" w:hAnsi="Calibri" w:cs="Calibri"/>
                <w:sz w:val="24"/>
                <w:szCs w:val="24"/>
              </w:rPr>
              <w:t>Benefícios de Curto Prazo</w:t>
            </w:r>
          </w:p>
        </w:tc>
        <w:tc>
          <w:tcPr>
            <w:tcW w:w="1559" w:type="dxa"/>
          </w:tcPr>
          <w:p w:rsidR="00386840" w:rsidRPr="00CD3174" w:rsidRDefault="00386840" w:rsidP="00697525">
            <w:pPr>
              <w:jc w:val="right"/>
              <w:rPr>
                <w:rFonts w:ascii="Calibri" w:hAnsi="Calibri" w:cs="Calibri"/>
                <w:sz w:val="24"/>
                <w:szCs w:val="24"/>
              </w:rPr>
            </w:pPr>
          </w:p>
        </w:tc>
        <w:tc>
          <w:tcPr>
            <w:tcW w:w="1559" w:type="dxa"/>
          </w:tcPr>
          <w:p w:rsidR="00386840" w:rsidRPr="00CD3174" w:rsidRDefault="00386840" w:rsidP="00697525">
            <w:pPr>
              <w:jc w:val="right"/>
              <w:rPr>
                <w:rFonts w:ascii="Calibri" w:hAnsi="Calibri" w:cs="Calibri"/>
                <w:sz w:val="24"/>
                <w:szCs w:val="24"/>
              </w:rPr>
            </w:pPr>
          </w:p>
        </w:tc>
      </w:tr>
      <w:tr w:rsidR="00386840" w:rsidRPr="00CD3174" w:rsidTr="00ED5D19">
        <w:tc>
          <w:tcPr>
            <w:tcW w:w="421" w:type="dxa"/>
          </w:tcPr>
          <w:p w:rsidR="00386840" w:rsidRPr="00CD3174" w:rsidRDefault="00386840" w:rsidP="00697525">
            <w:pPr>
              <w:jc w:val="both"/>
              <w:rPr>
                <w:rFonts w:ascii="Calibri" w:hAnsi="Calibri" w:cs="Calibri"/>
                <w:sz w:val="24"/>
                <w:szCs w:val="24"/>
              </w:rPr>
            </w:pPr>
          </w:p>
        </w:tc>
        <w:tc>
          <w:tcPr>
            <w:tcW w:w="4394" w:type="dxa"/>
          </w:tcPr>
          <w:p w:rsidR="00386840" w:rsidRPr="00CD3174" w:rsidRDefault="00386840" w:rsidP="00697525">
            <w:pPr>
              <w:jc w:val="both"/>
              <w:rPr>
                <w:rFonts w:ascii="Calibri" w:hAnsi="Calibri" w:cs="Calibri"/>
                <w:sz w:val="24"/>
                <w:szCs w:val="24"/>
              </w:rPr>
            </w:pPr>
            <w:r w:rsidRPr="00CD3174">
              <w:rPr>
                <w:rFonts w:ascii="Calibri" w:hAnsi="Calibri" w:cs="Calibri"/>
                <w:sz w:val="24"/>
                <w:szCs w:val="24"/>
              </w:rPr>
              <w:t>Honorários, benefícios e encargos</w:t>
            </w:r>
          </w:p>
        </w:tc>
        <w:tc>
          <w:tcPr>
            <w:tcW w:w="1559" w:type="dxa"/>
          </w:tcPr>
          <w:p w:rsidR="00386840" w:rsidRPr="00CD3174" w:rsidRDefault="00386840" w:rsidP="00697525">
            <w:pPr>
              <w:jc w:val="right"/>
              <w:rPr>
                <w:rFonts w:ascii="Calibri" w:hAnsi="Calibri" w:cs="Calibri"/>
                <w:sz w:val="24"/>
                <w:szCs w:val="24"/>
              </w:rPr>
            </w:pPr>
            <w:r w:rsidRPr="00CD3174">
              <w:rPr>
                <w:rFonts w:ascii="Calibri" w:hAnsi="Calibri" w:cs="Calibri"/>
                <w:sz w:val="24"/>
                <w:szCs w:val="24"/>
              </w:rPr>
              <w:t>1.389.075,29</w:t>
            </w:r>
          </w:p>
        </w:tc>
        <w:tc>
          <w:tcPr>
            <w:tcW w:w="1559" w:type="dxa"/>
          </w:tcPr>
          <w:p w:rsidR="00386840" w:rsidRPr="00CD3174" w:rsidRDefault="00386840" w:rsidP="00697525">
            <w:pPr>
              <w:jc w:val="right"/>
              <w:rPr>
                <w:rFonts w:ascii="Calibri" w:hAnsi="Calibri" w:cs="Calibri"/>
                <w:sz w:val="24"/>
                <w:szCs w:val="24"/>
              </w:rPr>
            </w:pPr>
            <w:r w:rsidRPr="00CD3174">
              <w:rPr>
                <w:rFonts w:ascii="Calibri" w:hAnsi="Calibri" w:cs="Calibri"/>
                <w:sz w:val="24"/>
                <w:szCs w:val="24"/>
              </w:rPr>
              <w:t>1.382.770,84</w:t>
            </w:r>
          </w:p>
        </w:tc>
      </w:tr>
      <w:tr w:rsidR="00386840" w:rsidRPr="00CD3174" w:rsidTr="00ED5D19">
        <w:tc>
          <w:tcPr>
            <w:tcW w:w="421" w:type="dxa"/>
          </w:tcPr>
          <w:p w:rsidR="00386840" w:rsidRPr="00CD3174" w:rsidRDefault="00386840" w:rsidP="00697525">
            <w:pPr>
              <w:jc w:val="both"/>
              <w:rPr>
                <w:rFonts w:ascii="Calibri" w:hAnsi="Calibri" w:cs="Calibri"/>
                <w:sz w:val="24"/>
                <w:szCs w:val="24"/>
              </w:rPr>
            </w:pPr>
          </w:p>
        </w:tc>
        <w:tc>
          <w:tcPr>
            <w:tcW w:w="4394" w:type="dxa"/>
          </w:tcPr>
          <w:p w:rsidR="00386840" w:rsidRPr="00CD3174" w:rsidRDefault="00386840" w:rsidP="00697525">
            <w:pPr>
              <w:jc w:val="both"/>
              <w:rPr>
                <w:rFonts w:ascii="Calibri" w:hAnsi="Calibri" w:cs="Calibri"/>
                <w:sz w:val="24"/>
                <w:szCs w:val="24"/>
              </w:rPr>
            </w:pPr>
            <w:r w:rsidRPr="00CD3174">
              <w:rPr>
                <w:rFonts w:ascii="Calibri" w:hAnsi="Calibri" w:cs="Calibri"/>
                <w:sz w:val="24"/>
                <w:szCs w:val="24"/>
              </w:rPr>
              <w:t>Remuneração variável</w:t>
            </w:r>
          </w:p>
        </w:tc>
        <w:tc>
          <w:tcPr>
            <w:tcW w:w="1559" w:type="dxa"/>
          </w:tcPr>
          <w:p w:rsidR="00386840" w:rsidRPr="00CD3174" w:rsidRDefault="00386840" w:rsidP="00697525">
            <w:pPr>
              <w:jc w:val="right"/>
              <w:rPr>
                <w:rFonts w:ascii="Calibri" w:hAnsi="Calibri" w:cs="Calibri"/>
                <w:sz w:val="24"/>
                <w:szCs w:val="24"/>
              </w:rPr>
            </w:pPr>
            <w:r w:rsidRPr="00CD3174">
              <w:rPr>
                <w:rFonts w:ascii="Calibri" w:hAnsi="Calibri" w:cs="Calibri"/>
                <w:sz w:val="24"/>
                <w:szCs w:val="24"/>
              </w:rPr>
              <w:t>326.097,44</w:t>
            </w:r>
          </w:p>
        </w:tc>
        <w:tc>
          <w:tcPr>
            <w:tcW w:w="1559" w:type="dxa"/>
          </w:tcPr>
          <w:p w:rsidR="00386840" w:rsidRPr="00CD3174" w:rsidRDefault="00386840" w:rsidP="00697525">
            <w:pPr>
              <w:jc w:val="right"/>
              <w:rPr>
                <w:rFonts w:ascii="Calibri" w:hAnsi="Calibri" w:cs="Calibri"/>
                <w:sz w:val="24"/>
                <w:szCs w:val="24"/>
              </w:rPr>
            </w:pPr>
            <w:r w:rsidRPr="00CD3174">
              <w:rPr>
                <w:rFonts w:ascii="Calibri" w:hAnsi="Calibri" w:cs="Calibri"/>
                <w:sz w:val="24"/>
                <w:szCs w:val="24"/>
              </w:rPr>
              <w:t>311.703,86</w:t>
            </w:r>
          </w:p>
        </w:tc>
      </w:tr>
      <w:tr w:rsidR="00386840" w:rsidRPr="00CD3174" w:rsidTr="00ED5D19">
        <w:tc>
          <w:tcPr>
            <w:tcW w:w="421" w:type="dxa"/>
          </w:tcPr>
          <w:p w:rsidR="00386840" w:rsidRPr="00CD3174" w:rsidRDefault="00386840" w:rsidP="00697525">
            <w:pPr>
              <w:jc w:val="both"/>
              <w:rPr>
                <w:rFonts w:ascii="Calibri" w:hAnsi="Calibri" w:cs="Calibri"/>
                <w:sz w:val="24"/>
                <w:szCs w:val="24"/>
              </w:rPr>
            </w:pPr>
          </w:p>
        </w:tc>
        <w:tc>
          <w:tcPr>
            <w:tcW w:w="4394" w:type="dxa"/>
          </w:tcPr>
          <w:p w:rsidR="00386840" w:rsidRPr="00CD3174" w:rsidRDefault="00386840" w:rsidP="00697525">
            <w:pPr>
              <w:jc w:val="both"/>
              <w:rPr>
                <w:rFonts w:ascii="Calibri" w:hAnsi="Calibri" w:cs="Calibri"/>
                <w:sz w:val="24"/>
                <w:szCs w:val="24"/>
              </w:rPr>
            </w:pPr>
          </w:p>
        </w:tc>
        <w:tc>
          <w:tcPr>
            <w:tcW w:w="1559" w:type="dxa"/>
          </w:tcPr>
          <w:p w:rsidR="00386840" w:rsidRPr="00CD3174" w:rsidRDefault="00386840" w:rsidP="00697525">
            <w:pPr>
              <w:jc w:val="right"/>
              <w:rPr>
                <w:rFonts w:ascii="Calibri" w:hAnsi="Calibri" w:cs="Calibri"/>
                <w:sz w:val="24"/>
                <w:szCs w:val="24"/>
              </w:rPr>
            </w:pPr>
          </w:p>
        </w:tc>
        <w:tc>
          <w:tcPr>
            <w:tcW w:w="1559" w:type="dxa"/>
          </w:tcPr>
          <w:p w:rsidR="00386840" w:rsidRPr="00CD3174" w:rsidRDefault="00386840" w:rsidP="00697525">
            <w:pPr>
              <w:jc w:val="right"/>
              <w:rPr>
                <w:rFonts w:ascii="Calibri" w:hAnsi="Calibri" w:cs="Calibri"/>
                <w:sz w:val="24"/>
                <w:szCs w:val="24"/>
              </w:rPr>
            </w:pPr>
          </w:p>
        </w:tc>
      </w:tr>
      <w:tr w:rsidR="00386840" w:rsidRPr="00CD3174" w:rsidTr="00ED5D19">
        <w:tc>
          <w:tcPr>
            <w:tcW w:w="4815" w:type="dxa"/>
            <w:gridSpan w:val="2"/>
          </w:tcPr>
          <w:p w:rsidR="00386840" w:rsidRPr="00CD3174" w:rsidRDefault="00386840" w:rsidP="00ED5D19">
            <w:pPr>
              <w:jc w:val="both"/>
              <w:rPr>
                <w:rFonts w:ascii="Calibri" w:hAnsi="Calibri" w:cs="Calibri"/>
                <w:sz w:val="24"/>
                <w:szCs w:val="24"/>
              </w:rPr>
            </w:pPr>
            <w:r w:rsidRPr="00CD3174">
              <w:rPr>
                <w:rFonts w:ascii="Calibri" w:hAnsi="Calibri" w:cs="Calibri"/>
                <w:sz w:val="24"/>
                <w:szCs w:val="24"/>
              </w:rPr>
              <w:t xml:space="preserve">Benefícios </w:t>
            </w:r>
            <w:r w:rsidR="00ED5D19">
              <w:rPr>
                <w:rFonts w:ascii="Calibri" w:hAnsi="Calibri" w:cs="Calibri"/>
                <w:sz w:val="24"/>
                <w:szCs w:val="24"/>
              </w:rPr>
              <w:t>P</w:t>
            </w:r>
            <w:r w:rsidRPr="00CD3174">
              <w:rPr>
                <w:rFonts w:ascii="Calibri" w:hAnsi="Calibri" w:cs="Calibri"/>
                <w:sz w:val="24"/>
                <w:szCs w:val="24"/>
              </w:rPr>
              <w:t>ós</w:t>
            </w:r>
            <w:r w:rsidR="00ED5D19">
              <w:rPr>
                <w:rFonts w:ascii="Calibri" w:hAnsi="Calibri" w:cs="Calibri"/>
                <w:sz w:val="24"/>
                <w:szCs w:val="24"/>
              </w:rPr>
              <w:t xml:space="preserve"> E</w:t>
            </w:r>
            <w:r w:rsidRPr="00CD3174">
              <w:rPr>
                <w:rFonts w:ascii="Calibri" w:hAnsi="Calibri" w:cs="Calibri"/>
                <w:sz w:val="24"/>
                <w:szCs w:val="24"/>
              </w:rPr>
              <w:t>mprego</w:t>
            </w:r>
          </w:p>
        </w:tc>
        <w:tc>
          <w:tcPr>
            <w:tcW w:w="1559" w:type="dxa"/>
          </w:tcPr>
          <w:p w:rsidR="00386840" w:rsidRPr="00CD3174" w:rsidRDefault="00386840" w:rsidP="00697525">
            <w:pPr>
              <w:jc w:val="right"/>
              <w:rPr>
                <w:rFonts w:ascii="Calibri" w:hAnsi="Calibri" w:cs="Calibri"/>
                <w:sz w:val="24"/>
                <w:szCs w:val="24"/>
              </w:rPr>
            </w:pPr>
          </w:p>
        </w:tc>
        <w:tc>
          <w:tcPr>
            <w:tcW w:w="1559" w:type="dxa"/>
          </w:tcPr>
          <w:p w:rsidR="00386840" w:rsidRPr="00CD3174" w:rsidRDefault="00386840" w:rsidP="00697525">
            <w:pPr>
              <w:jc w:val="right"/>
              <w:rPr>
                <w:rFonts w:ascii="Calibri" w:hAnsi="Calibri" w:cs="Calibri"/>
                <w:sz w:val="24"/>
                <w:szCs w:val="24"/>
              </w:rPr>
            </w:pPr>
          </w:p>
        </w:tc>
      </w:tr>
      <w:tr w:rsidR="00386840" w:rsidRPr="00CD3174" w:rsidTr="00ED5D19">
        <w:tc>
          <w:tcPr>
            <w:tcW w:w="421" w:type="dxa"/>
          </w:tcPr>
          <w:p w:rsidR="00386840" w:rsidRPr="00CD3174" w:rsidRDefault="00386840" w:rsidP="00697525">
            <w:pPr>
              <w:jc w:val="both"/>
              <w:rPr>
                <w:rFonts w:ascii="Calibri" w:hAnsi="Calibri" w:cs="Calibri"/>
                <w:sz w:val="24"/>
                <w:szCs w:val="24"/>
              </w:rPr>
            </w:pPr>
          </w:p>
        </w:tc>
        <w:tc>
          <w:tcPr>
            <w:tcW w:w="4394" w:type="dxa"/>
          </w:tcPr>
          <w:p w:rsidR="00386840" w:rsidRPr="00CD3174" w:rsidRDefault="00386840" w:rsidP="00697525">
            <w:pPr>
              <w:jc w:val="both"/>
              <w:rPr>
                <w:rFonts w:ascii="Calibri" w:hAnsi="Calibri" w:cs="Calibri"/>
                <w:sz w:val="24"/>
                <w:szCs w:val="24"/>
              </w:rPr>
            </w:pPr>
            <w:r w:rsidRPr="00CD3174">
              <w:rPr>
                <w:rFonts w:ascii="Calibri" w:hAnsi="Calibri" w:cs="Calibri"/>
                <w:sz w:val="24"/>
                <w:szCs w:val="24"/>
              </w:rPr>
              <w:t>Remuneração compensatória - quarentena</w:t>
            </w:r>
          </w:p>
        </w:tc>
        <w:tc>
          <w:tcPr>
            <w:tcW w:w="1559" w:type="dxa"/>
          </w:tcPr>
          <w:p w:rsidR="00386840" w:rsidRPr="00CD3174" w:rsidRDefault="00386840" w:rsidP="00697525">
            <w:pPr>
              <w:jc w:val="right"/>
              <w:rPr>
                <w:rFonts w:ascii="Calibri" w:hAnsi="Calibri" w:cs="Calibri"/>
                <w:sz w:val="24"/>
                <w:szCs w:val="24"/>
              </w:rPr>
            </w:pPr>
            <w:r w:rsidRPr="00CD3174">
              <w:rPr>
                <w:rFonts w:ascii="Calibri" w:hAnsi="Calibri" w:cs="Calibri"/>
                <w:sz w:val="24"/>
                <w:szCs w:val="24"/>
              </w:rPr>
              <w:t>418.804,68</w:t>
            </w:r>
          </w:p>
        </w:tc>
        <w:tc>
          <w:tcPr>
            <w:tcW w:w="1559" w:type="dxa"/>
          </w:tcPr>
          <w:p w:rsidR="00386840" w:rsidRPr="00CD3174" w:rsidRDefault="00D414A4" w:rsidP="00697525">
            <w:pPr>
              <w:jc w:val="right"/>
              <w:rPr>
                <w:rFonts w:ascii="Calibri" w:hAnsi="Calibri" w:cs="Calibri"/>
                <w:sz w:val="24"/>
                <w:szCs w:val="24"/>
              </w:rPr>
            </w:pPr>
            <w:r>
              <w:rPr>
                <w:rFonts w:ascii="Calibri" w:hAnsi="Calibri" w:cs="Calibri"/>
                <w:sz w:val="24"/>
                <w:szCs w:val="24"/>
              </w:rPr>
              <w:t>-</w:t>
            </w:r>
          </w:p>
        </w:tc>
      </w:tr>
      <w:tr w:rsidR="00386840" w:rsidRPr="00CD3174" w:rsidTr="00ED5D19">
        <w:tc>
          <w:tcPr>
            <w:tcW w:w="421" w:type="dxa"/>
          </w:tcPr>
          <w:p w:rsidR="00386840" w:rsidRPr="00CD3174" w:rsidRDefault="00386840" w:rsidP="00697525">
            <w:pPr>
              <w:jc w:val="both"/>
              <w:rPr>
                <w:rFonts w:ascii="Calibri" w:hAnsi="Calibri" w:cs="Calibri"/>
                <w:sz w:val="24"/>
                <w:szCs w:val="24"/>
              </w:rPr>
            </w:pPr>
          </w:p>
        </w:tc>
        <w:tc>
          <w:tcPr>
            <w:tcW w:w="4394" w:type="dxa"/>
          </w:tcPr>
          <w:p w:rsidR="00386840" w:rsidRPr="00CD3174" w:rsidRDefault="00386840" w:rsidP="00697525">
            <w:pPr>
              <w:jc w:val="both"/>
              <w:rPr>
                <w:rFonts w:ascii="Calibri" w:hAnsi="Calibri" w:cs="Calibri"/>
                <w:sz w:val="24"/>
                <w:szCs w:val="24"/>
              </w:rPr>
            </w:pPr>
          </w:p>
        </w:tc>
        <w:tc>
          <w:tcPr>
            <w:tcW w:w="1559" w:type="dxa"/>
          </w:tcPr>
          <w:p w:rsidR="00386840" w:rsidRPr="00CD3174" w:rsidRDefault="00386840" w:rsidP="00697525">
            <w:pPr>
              <w:jc w:val="right"/>
              <w:rPr>
                <w:rFonts w:ascii="Calibri" w:hAnsi="Calibri" w:cs="Calibri"/>
                <w:sz w:val="24"/>
                <w:szCs w:val="24"/>
              </w:rPr>
            </w:pPr>
          </w:p>
        </w:tc>
        <w:tc>
          <w:tcPr>
            <w:tcW w:w="1559" w:type="dxa"/>
          </w:tcPr>
          <w:p w:rsidR="00386840" w:rsidRPr="00CD3174" w:rsidRDefault="00386840" w:rsidP="00697525">
            <w:pPr>
              <w:jc w:val="right"/>
              <w:rPr>
                <w:rFonts w:ascii="Calibri" w:hAnsi="Calibri" w:cs="Calibri"/>
                <w:sz w:val="24"/>
                <w:szCs w:val="24"/>
              </w:rPr>
            </w:pPr>
          </w:p>
        </w:tc>
      </w:tr>
      <w:tr w:rsidR="00386840" w:rsidRPr="00CD3174" w:rsidTr="00ED5D19">
        <w:tc>
          <w:tcPr>
            <w:tcW w:w="4815" w:type="dxa"/>
            <w:gridSpan w:val="2"/>
          </w:tcPr>
          <w:p w:rsidR="00386840" w:rsidRPr="00CD3174" w:rsidRDefault="00386840" w:rsidP="00697525">
            <w:pPr>
              <w:jc w:val="both"/>
              <w:rPr>
                <w:rFonts w:ascii="Calibri" w:hAnsi="Calibri" w:cs="Calibri"/>
                <w:sz w:val="24"/>
                <w:szCs w:val="24"/>
              </w:rPr>
            </w:pPr>
            <w:r w:rsidRPr="00CD3174">
              <w:rPr>
                <w:rFonts w:ascii="Calibri" w:hAnsi="Calibri" w:cs="Calibri"/>
                <w:sz w:val="24"/>
                <w:szCs w:val="24"/>
              </w:rPr>
              <w:t>Benefícios de Rescisão de Contrato de Trabalho</w:t>
            </w:r>
          </w:p>
        </w:tc>
        <w:tc>
          <w:tcPr>
            <w:tcW w:w="1559" w:type="dxa"/>
          </w:tcPr>
          <w:p w:rsidR="00386840" w:rsidRPr="00CD3174" w:rsidRDefault="00386840" w:rsidP="00697525">
            <w:pPr>
              <w:jc w:val="right"/>
              <w:rPr>
                <w:rFonts w:ascii="Calibri" w:hAnsi="Calibri" w:cs="Calibri"/>
                <w:sz w:val="24"/>
                <w:szCs w:val="24"/>
              </w:rPr>
            </w:pPr>
          </w:p>
        </w:tc>
        <w:tc>
          <w:tcPr>
            <w:tcW w:w="1559" w:type="dxa"/>
          </w:tcPr>
          <w:p w:rsidR="00386840" w:rsidRPr="00CD3174" w:rsidRDefault="00386840" w:rsidP="00697525">
            <w:pPr>
              <w:jc w:val="right"/>
              <w:rPr>
                <w:rFonts w:ascii="Calibri" w:hAnsi="Calibri" w:cs="Calibri"/>
                <w:sz w:val="24"/>
                <w:szCs w:val="24"/>
              </w:rPr>
            </w:pPr>
          </w:p>
        </w:tc>
      </w:tr>
      <w:tr w:rsidR="00386840" w:rsidRPr="00CD3174" w:rsidTr="00ED5D19">
        <w:tc>
          <w:tcPr>
            <w:tcW w:w="421" w:type="dxa"/>
          </w:tcPr>
          <w:p w:rsidR="00386840" w:rsidRPr="00CD3174" w:rsidRDefault="00386840" w:rsidP="00697525">
            <w:pPr>
              <w:jc w:val="both"/>
              <w:rPr>
                <w:rFonts w:ascii="Calibri" w:hAnsi="Calibri" w:cs="Calibri"/>
                <w:sz w:val="24"/>
                <w:szCs w:val="24"/>
              </w:rPr>
            </w:pPr>
          </w:p>
        </w:tc>
        <w:tc>
          <w:tcPr>
            <w:tcW w:w="4394" w:type="dxa"/>
          </w:tcPr>
          <w:p w:rsidR="00386840" w:rsidRPr="00CD3174" w:rsidRDefault="00386840" w:rsidP="00697525">
            <w:pPr>
              <w:jc w:val="both"/>
              <w:rPr>
                <w:rFonts w:ascii="Calibri" w:hAnsi="Calibri" w:cs="Calibri"/>
                <w:sz w:val="24"/>
                <w:szCs w:val="24"/>
              </w:rPr>
            </w:pPr>
            <w:r w:rsidRPr="00CD3174">
              <w:rPr>
                <w:rFonts w:ascii="Calibri" w:hAnsi="Calibri" w:cs="Calibri"/>
                <w:sz w:val="24"/>
                <w:szCs w:val="24"/>
              </w:rPr>
              <w:t>Férias proporcionais e indenizadas</w:t>
            </w:r>
          </w:p>
        </w:tc>
        <w:tc>
          <w:tcPr>
            <w:tcW w:w="1559" w:type="dxa"/>
          </w:tcPr>
          <w:p w:rsidR="00386840" w:rsidRPr="00CD3174" w:rsidRDefault="00386840" w:rsidP="00697525">
            <w:pPr>
              <w:jc w:val="right"/>
              <w:rPr>
                <w:rFonts w:ascii="Calibri" w:hAnsi="Calibri" w:cs="Calibri"/>
                <w:sz w:val="24"/>
                <w:szCs w:val="24"/>
              </w:rPr>
            </w:pPr>
            <w:r w:rsidRPr="00CD3174">
              <w:rPr>
                <w:rFonts w:ascii="Calibri" w:hAnsi="Calibri" w:cs="Calibri"/>
                <w:sz w:val="24"/>
                <w:szCs w:val="24"/>
              </w:rPr>
              <w:t>78.548,06</w:t>
            </w:r>
          </w:p>
        </w:tc>
        <w:tc>
          <w:tcPr>
            <w:tcW w:w="1559" w:type="dxa"/>
          </w:tcPr>
          <w:p w:rsidR="00386840" w:rsidRPr="00CD3174" w:rsidRDefault="00D414A4" w:rsidP="00D414A4">
            <w:pPr>
              <w:jc w:val="right"/>
              <w:rPr>
                <w:rFonts w:ascii="Calibri" w:hAnsi="Calibri" w:cs="Calibri"/>
                <w:sz w:val="24"/>
                <w:szCs w:val="24"/>
              </w:rPr>
            </w:pPr>
            <w:r>
              <w:rPr>
                <w:rFonts w:ascii="Calibri" w:hAnsi="Calibri" w:cs="Calibri"/>
                <w:sz w:val="24"/>
                <w:szCs w:val="24"/>
              </w:rPr>
              <w:t>-</w:t>
            </w:r>
          </w:p>
        </w:tc>
      </w:tr>
    </w:tbl>
    <w:p w:rsidR="0011080B" w:rsidRDefault="0011080B" w:rsidP="00386840">
      <w:pPr>
        <w:jc w:val="both"/>
        <w:rPr>
          <w:rFonts w:ascii="Calibri" w:hAnsi="Calibri" w:cs="Calibri"/>
          <w:sz w:val="24"/>
          <w:szCs w:val="24"/>
        </w:rPr>
      </w:pPr>
    </w:p>
    <w:p w:rsidR="001C4695" w:rsidRDefault="001C4695" w:rsidP="00386840">
      <w:pPr>
        <w:jc w:val="both"/>
        <w:rPr>
          <w:rFonts w:ascii="Calibri" w:hAnsi="Calibri" w:cs="Calibri"/>
          <w:sz w:val="24"/>
          <w:szCs w:val="24"/>
        </w:rPr>
      </w:pPr>
    </w:p>
    <w:p w:rsidR="001C4695" w:rsidRDefault="001C4695" w:rsidP="00386840">
      <w:pPr>
        <w:jc w:val="both"/>
        <w:rPr>
          <w:rFonts w:ascii="Calibri" w:hAnsi="Calibri" w:cs="Calibri"/>
          <w:sz w:val="24"/>
          <w:szCs w:val="24"/>
        </w:rPr>
      </w:pPr>
    </w:p>
    <w:p w:rsidR="00386840" w:rsidRDefault="00386840" w:rsidP="00386840">
      <w:pPr>
        <w:jc w:val="both"/>
        <w:rPr>
          <w:rFonts w:ascii="Calibri" w:hAnsi="Calibri" w:cs="Calibri"/>
          <w:sz w:val="24"/>
          <w:szCs w:val="24"/>
        </w:rPr>
      </w:pPr>
      <w:r w:rsidRPr="00CD3174">
        <w:rPr>
          <w:rFonts w:ascii="Calibri" w:hAnsi="Calibri" w:cs="Calibri"/>
          <w:sz w:val="24"/>
          <w:szCs w:val="24"/>
        </w:rPr>
        <w:lastRenderedPageBreak/>
        <w:t>Custos com remunerações e outros benefícios atribuídos aos membros do Conselho de Administração, do Conselho Fiscal e do Comitê de Auditoria Estatutário:</w:t>
      </w:r>
    </w:p>
    <w:p w:rsidR="00386840" w:rsidRPr="00CD3174" w:rsidRDefault="00386840" w:rsidP="00386840">
      <w:pPr>
        <w:jc w:val="both"/>
        <w:rPr>
          <w:rFonts w:ascii="Calibri" w:hAnsi="Calibri" w:cs="Calibri"/>
          <w:sz w:val="24"/>
          <w:szCs w:val="24"/>
        </w:rPr>
      </w:pPr>
    </w:p>
    <w:tbl>
      <w:tblPr>
        <w:tblStyle w:val="Tabelacomgrade"/>
        <w:tblW w:w="0" w:type="auto"/>
        <w:tblLook w:val="04A0" w:firstRow="1" w:lastRow="0" w:firstColumn="1" w:lastColumn="0" w:noHBand="0" w:noVBand="1"/>
      </w:tblPr>
      <w:tblGrid>
        <w:gridCol w:w="3539"/>
        <w:gridCol w:w="1488"/>
        <w:gridCol w:w="1489"/>
      </w:tblGrid>
      <w:tr w:rsidR="00386840" w:rsidRPr="00CD3174" w:rsidTr="00ED5D19">
        <w:tc>
          <w:tcPr>
            <w:tcW w:w="3539" w:type="dxa"/>
          </w:tcPr>
          <w:p w:rsidR="00386840" w:rsidRPr="00CD3174" w:rsidRDefault="00386840" w:rsidP="00697525">
            <w:pPr>
              <w:jc w:val="both"/>
              <w:rPr>
                <w:rFonts w:ascii="Calibri" w:hAnsi="Calibri" w:cs="Calibri"/>
                <w:sz w:val="24"/>
                <w:szCs w:val="24"/>
              </w:rPr>
            </w:pPr>
          </w:p>
        </w:tc>
        <w:tc>
          <w:tcPr>
            <w:tcW w:w="1488" w:type="dxa"/>
          </w:tcPr>
          <w:p w:rsidR="00386840" w:rsidRPr="00ED5D19" w:rsidRDefault="00386840" w:rsidP="00697525">
            <w:pPr>
              <w:jc w:val="center"/>
              <w:rPr>
                <w:rFonts w:ascii="Calibri" w:hAnsi="Calibri" w:cs="Calibri"/>
                <w:b/>
                <w:sz w:val="24"/>
                <w:szCs w:val="24"/>
              </w:rPr>
            </w:pPr>
            <w:r w:rsidRPr="00ED5D19">
              <w:rPr>
                <w:rFonts w:ascii="Calibri" w:hAnsi="Calibri" w:cs="Calibri"/>
                <w:b/>
                <w:sz w:val="24"/>
                <w:szCs w:val="24"/>
              </w:rPr>
              <w:t>2019</w:t>
            </w:r>
          </w:p>
        </w:tc>
        <w:tc>
          <w:tcPr>
            <w:tcW w:w="1489" w:type="dxa"/>
          </w:tcPr>
          <w:p w:rsidR="00386840" w:rsidRPr="00ED5D19" w:rsidRDefault="00386840" w:rsidP="00697525">
            <w:pPr>
              <w:jc w:val="center"/>
              <w:rPr>
                <w:rFonts w:ascii="Calibri" w:hAnsi="Calibri" w:cs="Calibri"/>
                <w:b/>
                <w:sz w:val="24"/>
                <w:szCs w:val="24"/>
              </w:rPr>
            </w:pPr>
            <w:r w:rsidRPr="00ED5D19">
              <w:rPr>
                <w:rFonts w:ascii="Calibri" w:hAnsi="Calibri" w:cs="Calibri"/>
                <w:b/>
                <w:sz w:val="24"/>
                <w:szCs w:val="24"/>
              </w:rPr>
              <w:t>2018</w:t>
            </w:r>
          </w:p>
        </w:tc>
      </w:tr>
      <w:tr w:rsidR="00386840" w:rsidRPr="00CD3174" w:rsidTr="00ED5D19">
        <w:tc>
          <w:tcPr>
            <w:tcW w:w="3539" w:type="dxa"/>
          </w:tcPr>
          <w:p w:rsidR="00386840" w:rsidRPr="00CD3174" w:rsidRDefault="00386840" w:rsidP="00697525">
            <w:pPr>
              <w:jc w:val="both"/>
              <w:rPr>
                <w:rFonts w:ascii="Calibri" w:hAnsi="Calibri" w:cs="Calibri"/>
                <w:sz w:val="24"/>
                <w:szCs w:val="24"/>
              </w:rPr>
            </w:pPr>
            <w:r w:rsidRPr="00CD3174">
              <w:rPr>
                <w:rFonts w:ascii="Calibri" w:hAnsi="Calibri" w:cs="Calibri"/>
                <w:sz w:val="24"/>
                <w:szCs w:val="24"/>
              </w:rPr>
              <w:t>Conselho de Administração</w:t>
            </w:r>
          </w:p>
        </w:tc>
        <w:tc>
          <w:tcPr>
            <w:tcW w:w="1488" w:type="dxa"/>
          </w:tcPr>
          <w:p w:rsidR="00386840" w:rsidRPr="00CD3174" w:rsidRDefault="00386840" w:rsidP="00697525">
            <w:pPr>
              <w:jc w:val="right"/>
              <w:rPr>
                <w:rFonts w:ascii="Calibri" w:hAnsi="Calibri" w:cs="Calibri"/>
                <w:sz w:val="24"/>
                <w:szCs w:val="24"/>
              </w:rPr>
            </w:pPr>
            <w:r w:rsidRPr="00CD3174">
              <w:rPr>
                <w:rFonts w:ascii="Calibri" w:hAnsi="Calibri" w:cs="Calibri"/>
                <w:sz w:val="24"/>
                <w:szCs w:val="24"/>
              </w:rPr>
              <w:t>252.019,48</w:t>
            </w:r>
          </w:p>
        </w:tc>
        <w:tc>
          <w:tcPr>
            <w:tcW w:w="1489" w:type="dxa"/>
          </w:tcPr>
          <w:p w:rsidR="00386840" w:rsidRPr="00CD3174" w:rsidRDefault="00386840" w:rsidP="00697525">
            <w:pPr>
              <w:jc w:val="right"/>
              <w:rPr>
                <w:rFonts w:ascii="Calibri" w:hAnsi="Calibri" w:cs="Calibri"/>
                <w:sz w:val="24"/>
                <w:szCs w:val="24"/>
              </w:rPr>
            </w:pPr>
            <w:r w:rsidRPr="00CD3174">
              <w:rPr>
                <w:rFonts w:ascii="Calibri" w:hAnsi="Calibri" w:cs="Calibri"/>
                <w:sz w:val="24"/>
                <w:szCs w:val="24"/>
              </w:rPr>
              <w:t>297.363,73</w:t>
            </w:r>
          </w:p>
        </w:tc>
      </w:tr>
      <w:tr w:rsidR="00386840" w:rsidRPr="00CD3174" w:rsidTr="00ED5D19">
        <w:tc>
          <w:tcPr>
            <w:tcW w:w="3539" w:type="dxa"/>
          </w:tcPr>
          <w:p w:rsidR="00386840" w:rsidRPr="00CD3174" w:rsidRDefault="00386840" w:rsidP="00697525">
            <w:pPr>
              <w:jc w:val="both"/>
              <w:rPr>
                <w:rFonts w:ascii="Calibri" w:hAnsi="Calibri" w:cs="Calibri"/>
                <w:sz w:val="24"/>
                <w:szCs w:val="24"/>
              </w:rPr>
            </w:pPr>
            <w:r w:rsidRPr="00CD3174">
              <w:rPr>
                <w:rFonts w:ascii="Calibri" w:hAnsi="Calibri" w:cs="Calibri"/>
                <w:sz w:val="24"/>
                <w:szCs w:val="24"/>
              </w:rPr>
              <w:t>Conselho Fiscal</w:t>
            </w:r>
          </w:p>
        </w:tc>
        <w:tc>
          <w:tcPr>
            <w:tcW w:w="1488" w:type="dxa"/>
          </w:tcPr>
          <w:p w:rsidR="00386840" w:rsidRPr="00CD3174" w:rsidRDefault="00386840" w:rsidP="00697525">
            <w:pPr>
              <w:jc w:val="right"/>
              <w:rPr>
                <w:rFonts w:ascii="Calibri" w:hAnsi="Calibri" w:cs="Calibri"/>
                <w:sz w:val="24"/>
                <w:szCs w:val="24"/>
              </w:rPr>
            </w:pPr>
            <w:r w:rsidRPr="00CD3174">
              <w:rPr>
                <w:rFonts w:ascii="Calibri" w:hAnsi="Calibri" w:cs="Calibri"/>
                <w:sz w:val="24"/>
                <w:szCs w:val="24"/>
              </w:rPr>
              <w:t>190.553,39</w:t>
            </w:r>
          </w:p>
        </w:tc>
        <w:tc>
          <w:tcPr>
            <w:tcW w:w="1489" w:type="dxa"/>
          </w:tcPr>
          <w:p w:rsidR="00386840" w:rsidRPr="00CD3174" w:rsidRDefault="00386840" w:rsidP="00697525">
            <w:pPr>
              <w:jc w:val="right"/>
              <w:rPr>
                <w:rFonts w:ascii="Calibri" w:hAnsi="Calibri" w:cs="Calibri"/>
                <w:sz w:val="24"/>
                <w:szCs w:val="24"/>
              </w:rPr>
            </w:pPr>
            <w:r w:rsidRPr="00CD3174">
              <w:rPr>
                <w:rFonts w:ascii="Calibri" w:hAnsi="Calibri" w:cs="Calibri"/>
                <w:sz w:val="24"/>
                <w:szCs w:val="24"/>
              </w:rPr>
              <w:t>198.565,93</w:t>
            </w:r>
          </w:p>
        </w:tc>
      </w:tr>
      <w:tr w:rsidR="00386840" w:rsidRPr="00CD3174" w:rsidTr="00ED5D19">
        <w:tc>
          <w:tcPr>
            <w:tcW w:w="3539" w:type="dxa"/>
          </w:tcPr>
          <w:p w:rsidR="00386840" w:rsidRPr="00CD3174" w:rsidRDefault="00386840" w:rsidP="00697525">
            <w:pPr>
              <w:jc w:val="both"/>
              <w:rPr>
                <w:rFonts w:ascii="Calibri" w:hAnsi="Calibri" w:cs="Calibri"/>
                <w:sz w:val="24"/>
                <w:szCs w:val="24"/>
              </w:rPr>
            </w:pPr>
            <w:r w:rsidRPr="00CD3174">
              <w:rPr>
                <w:rFonts w:ascii="Calibri" w:hAnsi="Calibri" w:cs="Calibri"/>
                <w:sz w:val="24"/>
                <w:szCs w:val="24"/>
              </w:rPr>
              <w:t>Comitê de Auditoria Estatutário</w:t>
            </w:r>
          </w:p>
        </w:tc>
        <w:tc>
          <w:tcPr>
            <w:tcW w:w="1488" w:type="dxa"/>
          </w:tcPr>
          <w:p w:rsidR="00386840" w:rsidRPr="00CD3174" w:rsidRDefault="00386840" w:rsidP="00697525">
            <w:pPr>
              <w:jc w:val="right"/>
              <w:rPr>
                <w:rFonts w:ascii="Calibri" w:hAnsi="Calibri" w:cs="Calibri"/>
                <w:sz w:val="24"/>
                <w:szCs w:val="24"/>
              </w:rPr>
            </w:pPr>
            <w:r w:rsidRPr="00CD3174">
              <w:rPr>
                <w:rFonts w:ascii="Calibri" w:hAnsi="Calibri" w:cs="Calibri"/>
                <w:sz w:val="24"/>
                <w:szCs w:val="24"/>
              </w:rPr>
              <w:t>56.121,45</w:t>
            </w:r>
          </w:p>
        </w:tc>
        <w:tc>
          <w:tcPr>
            <w:tcW w:w="1489" w:type="dxa"/>
          </w:tcPr>
          <w:p w:rsidR="00386840" w:rsidRPr="00CD3174" w:rsidRDefault="00D414A4" w:rsidP="00697525">
            <w:pPr>
              <w:jc w:val="right"/>
              <w:rPr>
                <w:rFonts w:ascii="Calibri" w:hAnsi="Calibri" w:cs="Calibri"/>
                <w:sz w:val="24"/>
                <w:szCs w:val="24"/>
              </w:rPr>
            </w:pPr>
            <w:r>
              <w:rPr>
                <w:rFonts w:ascii="Calibri" w:hAnsi="Calibri" w:cs="Calibri"/>
                <w:sz w:val="24"/>
                <w:szCs w:val="24"/>
              </w:rPr>
              <w:t>-</w:t>
            </w:r>
          </w:p>
        </w:tc>
      </w:tr>
    </w:tbl>
    <w:p w:rsidR="00386840" w:rsidRPr="00CD3174" w:rsidRDefault="00386840" w:rsidP="00386840">
      <w:pPr>
        <w:jc w:val="both"/>
        <w:rPr>
          <w:rFonts w:ascii="Calibri" w:hAnsi="Calibri" w:cs="Calibri"/>
          <w:sz w:val="24"/>
          <w:szCs w:val="24"/>
        </w:rPr>
      </w:pPr>
    </w:p>
    <w:p w:rsidR="00386840" w:rsidRDefault="00386840" w:rsidP="00386840">
      <w:pPr>
        <w:jc w:val="both"/>
        <w:rPr>
          <w:rFonts w:ascii="Calibri" w:hAnsi="Calibri" w:cs="Calibri"/>
          <w:sz w:val="24"/>
          <w:szCs w:val="24"/>
        </w:rPr>
      </w:pPr>
      <w:r w:rsidRPr="00CD3174">
        <w:rPr>
          <w:rFonts w:ascii="Calibri" w:hAnsi="Calibri" w:cs="Calibri"/>
          <w:sz w:val="24"/>
          <w:szCs w:val="24"/>
        </w:rPr>
        <w:t>Informações relativas às maiores e menores remunerações (salário fixo mensal, sem encargos) pagas aos diretores e aos empregados no exercício:</w:t>
      </w:r>
    </w:p>
    <w:p w:rsidR="00386840" w:rsidRPr="00CD3174" w:rsidRDefault="00386840" w:rsidP="00386840">
      <w:pPr>
        <w:jc w:val="both"/>
        <w:rPr>
          <w:rFonts w:ascii="Calibri" w:hAnsi="Calibri" w:cs="Calibri"/>
          <w:sz w:val="24"/>
          <w:szCs w:val="24"/>
        </w:rPr>
      </w:pPr>
    </w:p>
    <w:tbl>
      <w:tblPr>
        <w:tblStyle w:val="Tabelacomgrade"/>
        <w:tblW w:w="0" w:type="auto"/>
        <w:tblLook w:val="04A0" w:firstRow="1" w:lastRow="0" w:firstColumn="1" w:lastColumn="0" w:noHBand="0" w:noVBand="1"/>
      </w:tblPr>
      <w:tblGrid>
        <w:gridCol w:w="2547"/>
        <w:gridCol w:w="1486"/>
        <w:gridCol w:w="1487"/>
        <w:gridCol w:w="1487"/>
        <w:gridCol w:w="1487"/>
      </w:tblGrid>
      <w:tr w:rsidR="00386840" w:rsidRPr="00CD3174" w:rsidTr="00697525">
        <w:tc>
          <w:tcPr>
            <w:tcW w:w="2547" w:type="dxa"/>
          </w:tcPr>
          <w:p w:rsidR="00386840" w:rsidRPr="00CD3174" w:rsidRDefault="00386840" w:rsidP="00697525">
            <w:pPr>
              <w:jc w:val="both"/>
              <w:rPr>
                <w:rFonts w:ascii="Calibri" w:hAnsi="Calibri" w:cs="Calibri"/>
                <w:sz w:val="24"/>
                <w:szCs w:val="24"/>
              </w:rPr>
            </w:pPr>
          </w:p>
        </w:tc>
        <w:tc>
          <w:tcPr>
            <w:tcW w:w="2973" w:type="dxa"/>
            <w:gridSpan w:val="2"/>
          </w:tcPr>
          <w:p w:rsidR="00386840" w:rsidRPr="00ED5D19" w:rsidRDefault="00386840" w:rsidP="00697525">
            <w:pPr>
              <w:jc w:val="center"/>
              <w:rPr>
                <w:rFonts w:ascii="Calibri" w:hAnsi="Calibri" w:cs="Calibri"/>
                <w:b/>
                <w:sz w:val="24"/>
                <w:szCs w:val="24"/>
              </w:rPr>
            </w:pPr>
            <w:r w:rsidRPr="00ED5D19">
              <w:rPr>
                <w:rFonts w:ascii="Calibri" w:hAnsi="Calibri" w:cs="Calibri"/>
                <w:b/>
                <w:sz w:val="24"/>
                <w:szCs w:val="24"/>
              </w:rPr>
              <w:t>2019</w:t>
            </w:r>
          </w:p>
        </w:tc>
        <w:tc>
          <w:tcPr>
            <w:tcW w:w="2974" w:type="dxa"/>
            <w:gridSpan w:val="2"/>
          </w:tcPr>
          <w:p w:rsidR="00386840" w:rsidRPr="00ED5D19" w:rsidRDefault="00386840" w:rsidP="00697525">
            <w:pPr>
              <w:jc w:val="center"/>
              <w:rPr>
                <w:rFonts w:ascii="Calibri" w:hAnsi="Calibri" w:cs="Calibri"/>
                <w:b/>
                <w:sz w:val="24"/>
                <w:szCs w:val="24"/>
              </w:rPr>
            </w:pPr>
            <w:r w:rsidRPr="00ED5D19">
              <w:rPr>
                <w:rFonts w:ascii="Calibri" w:hAnsi="Calibri" w:cs="Calibri"/>
                <w:b/>
                <w:sz w:val="24"/>
                <w:szCs w:val="24"/>
              </w:rPr>
              <w:t>2018</w:t>
            </w:r>
          </w:p>
        </w:tc>
      </w:tr>
      <w:tr w:rsidR="00386840" w:rsidRPr="00CD3174" w:rsidTr="00697525">
        <w:tc>
          <w:tcPr>
            <w:tcW w:w="2547" w:type="dxa"/>
          </w:tcPr>
          <w:p w:rsidR="00386840" w:rsidRPr="00CD3174" w:rsidRDefault="00386840" w:rsidP="00697525">
            <w:pPr>
              <w:jc w:val="both"/>
              <w:rPr>
                <w:rFonts w:ascii="Calibri" w:hAnsi="Calibri" w:cs="Calibri"/>
                <w:sz w:val="24"/>
                <w:szCs w:val="24"/>
              </w:rPr>
            </w:pPr>
          </w:p>
        </w:tc>
        <w:tc>
          <w:tcPr>
            <w:tcW w:w="1486" w:type="dxa"/>
          </w:tcPr>
          <w:p w:rsidR="00386840" w:rsidRPr="00CD3174" w:rsidRDefault="00386840" w:rsidP="00697525">
            <w:pPr>
              <w:jc w:val="center"/>
              <w:rPr>
                <w:rFonts w:ascii="Calibri" w:hAnsi="Calibri" w:cs="Calibri"/>
                <w:sz w:val="24"/>
                <w:szCs w:val="24"/>
              </w:rPr>
            </w:pPr>
            <w:r w:rsidRPr="00CD3174">
              <w:rPr>
                <w:rFonts w:ascii="Calibri" w:hAnsi="Calibri" w:cs="Calibri"/>
                <w:sz w:val="24"/>
                <w:szCs w:val="24"/>
              </w:rPr>
              <w:t>Diretores</w:t>
            </w:r>
          </w:p>
        </w:tc>
        <w:tc>
          <w:tcPr>
            <w:tcW w:w="1487" w:type="dxa"/>
          </w:tcPr>
          <w:p w:rsidR="00386840" w:rsidRPr="00CD3174" w:rsidRDefault="00386840" w:rsidP="00697525">
            <w:pPr>
              <w:jc w:val="center"/>
              <w:rPr>
                <w:rFonts w:ascii="Calibri" w:hAnsi="Calibri" w:cs="Calibri"/>
                <w:sz w:val="24"/>
                <w:szCs w:val="24"/>
              </w:rPr>
            </w:pPr>
            <w:r w:rsidRPr="00CD3174">
              <w:rPr>
                <w:rFonts w:ascii="Calibri" w:hAnsi="Calibri" w:cs="Calibri"/>
                <w:sz w:val="24"/>
                <w:szCs w:val="24"/>
              </w:rPr>
              <w:t>Empregados</w:t>
            </w:r>
          </w:p>
        </w:tc>
        <w:tc>
          <w:tcPr>
            <w:tcW w:w="1487" w:type="dxa"/>
          </w:tcPr>
          <w:p w:rsidR="00386840" w:rsidRPr="00CD3174" w:rsidRDefault="00386840" w:rsidP="00697525">
            <w:pPr>
              <w:jc w:val="center"/>
              <w:rPr>
                <w:rFonts w:ascii="Calibri" w:hAnsi="Calibri" w:cs="Calibri"/>
                <w:sz w:val="24"/>
                <w:szCs w:val="24"/>
              </w:rPr>
            </w:pPr>
            <w:r w:rsidRPr="00CD3174">
              <w:rPr>
                <w:rFonts w:ascii="Calibri" w:hAnsi="Calibri" w:cs="Calibri"/>
                <w:sz w:val="24"/>
                <w:szCs w:val="24"/>
              </w:rPr>
              <w:t>Diretores</w:t>
            </w:r>
          </w:p>
        </w:tc>
        <w:tc>
          <w:tcPr>
            <w:tcW w:w="1487" w:type="dxa"/>
          </w:tcPr>
          <w:p w:rsidR="00386840" w:rsidRPr="00CD3174" w:rsidRDefault="00386840" w:rsidP="00697525">
            <w:pPr>
              <w:jc w:val="center"/>
              <w:rPr>
                <w:rFonts w:ascii="Calibri" w:hAnsi="Calibri" w:cs="Calibri"/>
                <w:sz w:val="24"/>
                <w:szCs w:val="24"/>
              </w:rPr>
            </w:pPr>
            <w:r w:rsidRPr="00CD3174">
              <w:rPr>
                <w:rFonts w:ascii="Calibri" w:hAnsi="Calibri" w:cs="Calibri"/>
                <w:sz w:val="24"/>
                <w:szCs w:val="24"/>
              </w:rPr>
              <w:t>Empregados</w:t>
            </w:r>
          </w:p>
        </w:tc>
      </w:tr>
      <w:tr w:rsidR="00386840" w:rsidRPr="00CD3174" w:rsidTr="00697525">
        <w:tc>
          <w:tcPr>
            <w:tcW w:w="2547" w:type="dxa"/>
          </w:tcPr>
          <w:p w:rsidR="00386840" w:rsidRPr="00CD3174" w:rsidRDefault="00386840" w:rsidP="00697525">
            <w:pPr>
              <w:jc w:val="both"/>
              <w:rPr>
                <w:rFonts w:ascii="Calibri" w:hAnsi="Calibri" w:cs="Calibri"/>
                <w:sz w:val="24"/>
                <w:szCs w:val="24"/>
              </w:rPr>
            </w:pPr>
            <w:r w:rsidRPr="00CD3174">
              <w:rPr>
                <w:rFonts w:ascii="Calibri" w:hAnsi="Calibri" w:cs="Calibri"/>
                <w:sz w:val="24"/>
                <w:szCs w:val="24"/>
              </w:rPr>
              <w:t>Maior Remuneração</w:t>
            </w:r>
          </w:p>
        </w:tc>
        <w:tc>
          <w:tcPr>
            <w:tcW w:w="1486" w:type="dxa"/>
          </w:tcPr>
          <w:p w:rsidR="00386840" w:rsidRPr="00CD3174" w:rsidRDefault="00386840" w:rsidP="00697525">
            <w:pPr>
              <w:jc w:val="right"/>
              <w:rPr>
                <w:rFonts w:ascii="Calibri" w:hAnsi="Calibri" w:cs="Calibri"/>
                <w:sz w:val="24"/>
                <w:szCs w:val="24"/>
              </w:rPr>
            </w:pPr>
            <w:r w:rsidRPr="00CD3174">
              <w:rPr>
                <w:rFonts w:ascii="Calibri" w:hAnsi="Calibri" w:cs="Calibri"/>
                <w:sz w:val="24"/>
                <w:szCs w:val="24"/>
              </w:rPr>
              <w:t>35.451,66</w:t>
            </w:r>
          </w:p>
        </w:tc>
        <w:tc>
          <w:tcPr>
            <w:tcW w:w="1487" w:type="dxa"/>
          </w:tcPr>
          <w:p w:rsidR="00386840" w:rsidRPr="00CD3174" w:rsidRDefault="00386840" w:rsidP="00697525">
            <w:pPr>
              <w:jc w:val="right"/>
              <w:rPr>
                <w:rFonts w:ascii="Calibri" w:hAnsi="Calibri" w:cs="Calibri"/>
                <w:sz w:val="24"/>
                <w:szCs w:val="24"/>
              </w:rPr>
            </w:pPr>
            <w:r>
              <w:rPr>
                <w:rFonts w:ascii="Calibri" w:hAnsi="Calibri" w:cs="Calibri"/>
                <w:sz w:val="24"/>
                <w:szCs w:val="24"/>
              </w:rPr>
              <w:t>67.066,40</w:t>
            </w:r>
          </w:p>
        </w:tc>
        <w:tc>
          <w:tcPr>
            <w:tcW w:w="1487" w:type="dxa"/>
          </w:tcPr>
          <w:p w:rsidR="00386840" w:rsidRPr="00CD3174" w:rsidRDefault="00386840" w:rsidP="00697525">
            <w:pPr>
              <w:jc w:val="right"/>
              <w:rPr>
                <w:rFonts w:ascii="Calibri" w:hAnsi="Calibri" w:cs="Calibri"/>
                <w:sz w:val="24"/>
                <w:szCs w:val="24"/>
              </w:rPr>
            </w:pPr>
            <w:r w:rsidRPr="00CD3174">
              <w:rPr>
                <w:rFonts w:ascii="Calibri" w:hAnsi="Calibri" w:cs="Calibri"/>
                <w:sz w:val="24"/>
                <w:szCs w:val="24"/>
              </w:rPr>
              <w:t>33.849,25</w:t>
            </w:r>
          </w:p>
        </w:tc>
        <w:tc>
          <w:tcPr>
            <w:tcW w:w="1487" w:type="dxa"/>
          </w:tcPr>
          <w:p w:rsidR="00386840" w:rsidRPr="00CD3174" w:rsidRDefault="00386840" w:rsidP="00697525">
            <w:pPr>
              <w:jc w:val="right"/>
              <w:rPr>
                <w:rFonts w:ascii="Calibri" w:hAnsi="Calibri" w:cs="Calibri"/>
                <w:sz w:val="24"/>
                <w:szCs w:val="24"/>
              </w:rPr>
            </w:pPr>
            <w:r w:rsidRPr="00CD3174">
              <w:rPr>
                <w:rFonts w:ascii="Calibri" w:hAnsi="Calibri" w:cs="Calibri"/>
                <w:sz w:val="24"/>
                <w:szCs w:val="24"/>
              </w:rPr>
              <w:t>65.623,35</w:t>
            </w:r>
          </w:p>
        </w:tc>
      </w:tr>
      <w:tr w:rsidR="00386840" w:rsidRPr="00CD3174" w:rsidTr="00697525">
        <w:tc>
          <w:tcPr>
            <w:tcW w:w="2547" w:type="dxa"/>
          </w:tcPr>
          <w:p w:rsidR="00386840" w:rsidRPr="00CD3174" w:rsidRDefault="00386840" w:rsidP="00697525">
            <w:pPr>
              <w:jc w:val="both"/>
              <w:rPr>
                <w:rFonts w:ascii="Calibri" w:hAnsi="Calibri" w:cs="Calibri"/>
                <w:sz w:val="24"/>
                <w:szCs w:val="24"/>
              </w:rPr>
            </w:pPr>
            <w:r w:rsidRPr="00CD3174">
              <w:rPr>
                <w:rFonts w:ascii="Calibri" w:hAnsi="Calibri" w:cs="Calibri"/>
                <w:sz w:val="24"/>
                <w:szCs w:val="24"/>
              </w:rPr>
              <w:t>Menor Remuneração</w:t>
            </w:r>
          </w:p>
        </w:tc>
        <w:tc>
          <w:tcPr>
            <w:tcW w:w="1486" w:type="dxa"/>
          </w:tcPr>
          <w:p w:rsidR="00386840" w:rsidRPr="00CD3174" w:rsidRDefault="00386840" w:rsidP="00697525">
            <w:pPr>
              <w:jc w:val="right"/>
              <w:rPr>
                <w:rFonts w:ascii="Calibri" w:hAnsi="Calibri" w:cs="Calibri"/>
                <w:sz w:val="24"/>
                <w:szCs w:val="24"/>
              </w:rPr>
            </w:pPr>
            <w:r w:rsidRPr="00CD3174">
              <w:rPr>
                <w:rFonts w:ascii="Calibri" w:hAnsi="Calibri" w:cs="Calibri"/>
                <w:sz w:val="24"/>
                <w:szCs w:val="24"/>
              </w:rPr>
              <w:t>26.207,13</w:t>
            </w:r>
          </w:p>
        </w:tc>
        <w:tc>
          <w:tcPr>
            <w:tcW w:w="1487" w:type="dxa"/>
          </w:tcPr>
          <w:p w:rsidR="00386840" w:rsidRPr="00CD3174" w:rsidRDefault="00386840" w:rsidP="00697525">
            <w:pPr>
              <w:jc w:val="right"/>
              <w:rPr>
                <w:rFonts w:ascii="Calibri" w:hAnsi="Calibri" w:cs="Calibri"/>
                <w:sz w:val="24"/>
                <w:szCs w:val="24"/>
              </w:rPr>
            </w:pPr>
            <w:r>
              <w:rPr>
                <w:rFonts w:ascii="Calibri" w:hAnsi="Calibri" w:cs="Calibri"/>
                <w:sz w:val="24"/>
                <w:szCs w:val="24"/>
              </w:rPr>
              <w:t>1.325,54</w:t>
            </w:r>
          </w:p>
        </w:tc>
        <w:tc>
          <w:tcPr>
            <w:tcW w:w="1487" w:type="dxa"/>
          </w:tcPr>
          <w:p w:rsidR="00386840" w:rsidRPr="00CD3174" w:rsidRDefault="00386840" w:rsidP="00697525">
            <w:pPr>
              <w:jc w:val="right"/>
              <w:rPr>
                <w:rFonts w:ascii="Calibri" w:hAnsi="Calibri" w:cs="Calibri"/>
                <w:sz w:val="24"/>
                <w:szCs w:val="24"/>
              </w:rPr>
            </w:pPr>
            <w:r w:rsidRPr="00CD3174">
              <w:rPr>
                <w:rFonts w:ascii="Calibri" w:hAnsi="Calibri" w:cs="Calibri"/>
                <w:sz w:val="24"/>
                <w:szCs w:val="24"/>
              </w:rPr>
              <w:t>26.207,13</w:t>
            </w:r>
          </w:p>
        </w:tc>
        <w:tc>
          <w:tcPr>
            <w:tcW w:w="1487" w:type="dxa"/>
          </w:tcPr>
          <w:p w:rsidR="00386840" w:rsidRPr="00CD3174" w:rsidRDefault="00386840" w:rsidP="00697525">
            <w:pPr>
              <w:jc w:val="right"/>
              <w:rPr>
                <w:rFonts w:ascii="Calibri" w:hAnsi="Calibri" w:cs="Calibri"/>
                <w:sz w:val="24"/>
                <w:szCs w:val="24"/>
              </w:rPr>
            </w:pPr>
            <w:r w:rsidRPr="00CD3174">
              <w:rPr>
                <w:rFonts w:ascii="Calibri" w:hAnsi="Calibri" w:cs="Calibri"/>
                <w:sz w:val="24"/>
                <w:szCs w:val="24"/>
              </w:rPr>
              <w:t>1.502,28</w:t>
            </w:r>
          </w:p>
        </w:tc>
      </w:tr>
      <w:tr w:rsidR="00386840" w:rsidRPr="00CD3174" w:rsidTr="00697525">
        <w:tc>
          <w:tcPr>
            <w:tcW w:w="2547" w:type="dxa"/>
          </w:tcPr>
          <w:p w:rsidR="00386840" w:rsidRPr="00CD3174" w:rsidRDefault="00386840" w:rsidP="00697525">
            <w:pPr>
              <w:jc w:val="both"/>
              <w:rPr>
                <w:rFonts w:ascii="Calibri" w:hAnsi="Calibri" w:cs="Calibri"/>
                <w:sz w:val="24"/>
                <w:szCs w:val="24"/>
              </w:rPr>
            </w:pPr>
            <w:r w:rsidRPr="00CD3174">
              <w:rPr>
                <w:rFonts w:ascii="Calibri" w:hAnsi="Calibri" w:cs="Calibri"/>
                <w:sz w:val="24"/>
                <w:szCs w:val="24"/>
              </w:rPr>
              <w:t>Remuneração Média</w:t>
            </w:r>
          </w:p>
        </w:tc>
        <w:tc>
          <w:tcPr>
            <w:tcW w:w="1486" w:type="dxa"/>
          </w:tcPr>
          <w:p w:rsidR="00386840" w:rsidRPr="00CD3174" w:rsidRDefault="00386840" w:rsidP="00697525">
            <w:pPr>
              <w:jc w:val="right"/>
              <w:rPr>
                <w:rFonts w:ascii="Calibri" w:hAnsi="Calibri" w:cs="Calibri"/>
                <w:sz w:val="24"/>
                <w:szCs w:val="24"/>
              </w:rPr>
            </w:pPr>
            <w:r w:rsidRPr="00CD3174">
              <w:rPr>
                <w:rFonts w:ascii="Calibri" w:hAnsi="Calibri" w:cs="Calibri"/>
                <w:sz w:val="24"/>
                <w:szCs w:val="24"/>
              </w:rPr>
              <w:t>28.939,07</w:t>
            </w:r>
          </w:p>
        </w:tc>
        <w:tc>
          <w:tcPr>
            <w:tcW w:w="1487" w:type="dxa"/>
          </w:tcPr>
          <w:p w:rsidR="00386840" w:rsidRPr="00CD3174" w:rsidRDefault="00386840" w:rsidP="00697525">
            <w:pPr>
              <w:jc w:val="right"/>
              <w:rPr>
                <w:rFonts w:ascii="Calibri" w:hAnsi="Calibri" w:cs="Calibri"/>
                <w:sz w:val="24"/>
                <w:szCs w:val="24"/>
              </w:rPr>
            </w:pPr>
            <w:r>
              <w:rPr>
                <w:rFonts w:ascii="Calibri" w:hAnsi="Calibri" w:cs="Calibri"/>
                <w:sz w:val="24"/>
                <w:szCs w:val="24"/>
              </w:rPr>
              <w:t>11.213,86</w:t>
            </w:r>
          </w:p>
        </w:tc>
        <w:tc>
          <w:tcPr>
            <w:tcW w:w="1487" w:type="dxa"/>
          </w:tcPr>
          <w:p w:rsidR="00386840" w:rsidRPr="00CD3174" w:rsidRDefault="00386840" w:rsidP="00697525">
            <w:pPr>
              <w:jc w:val="right"/>
              <w:rPr>
                <w:rFonts w:ascii="Calibri" w:hAnsi="Calibri" w:cs="Calibri"/>
                <w:sz w:val="24"/>
                <w:szCs w:val="24"/>
              </w:rPr>
            </w:pPr>
            <w:r w:rsidRPr="00CD3174">
              <w:rPr>
                <w:rFonts w:ascii="Calibri" w:hAnsi="Calibri" w:cs="Calibri"/>
                <w:sz w:val="24"/>
                <w:szCs w:val="24"/>
              </w:rPr>
              <w:t>28.807,73</w:t>
            </w:r>
          </w:p>
        </w:tc>
        <w:tc>
          <w:tcPr>
            <w:tcW w:w="1487" w:type="dxa"/>
          </w:tcPr>
          <w:p w:rsidR="00386840" w:rsidRPr="00CD3174" w:rsidRDefault="00386840" w:rsidP="00697525">
            <w:pPr>
              <w:jc w:val="right"/>
              <w:rPr>
                <w:rFonts w:ascii="Calibri" w:hAnsi="Calibri" w:cs="Calibri"/>
                <w:sz w:val="24"/>
                <w:szCs w:val="24"/>
              </w:rPr>
            </w:pPr>
            <w:r w:rsidRPr="00CD3174">
              <w:rPr>
                <w:rFonts w:ascii="Calibri" w:hAnsi="Calibri" w:cs="Calibri"/>
                <w:sz w:val="24"/>
                <w:szCs w:val="24"/>
              </w:rPr>
              <w:t>11.659,87</w:t>
            </w:r>
          </w:p>
        </w:tc>
      </w:tr>
    </w:tbl>
    <w:p w:rsidR="00ED5D19" w:rsidRDefault="00ED5D19" w:rsidP="00C13D42">
      <w:pPr>
        <w:ind w:left="1080" w:hanging="1080"/>
        <w:jc w:val="both"/>
        <w:rPr>
          <w:rFonts w:ascii="Calibri" w:hAnsi="Calibri" w:cs="Calibri"/>
          <w:b/>
          <w:sz w:val="24"/>
          <w:szCs w:val="24"/>
        </w:rPr>
      </w:pPr>
    </w:p>
    <w:p w:rsidR="00ED5D19" w:rsidRDefault="00ED5D19" w:rsidP="00C13D42">
      <w:pPr>
        <w:ind w:left="1080" w:hanging="1080"/>
        <w:jc w:val="both"/>
        <w:rPr>
          <w:rFonts w:ascii="Calibri" w:hAnsi="Calibri" w:cs="Calibri"/>
          <w:b/>
          <w:sz w:val="24"/>
          <w:szCs w:val="24"/>
        </w:rPr>
      </w:pPr>
    </w:p>
    <w:p w:rsidR="001D6E0F" w:rsidRPr="00312424" w:rsidRDefault="008A71CD" w:rsidP="001D6E0F">
      <w:pPr>
        <w:jc w:val="both"/>
        <w:rPr>
          <w:rFonts w:ascii="Calibri" w:hAnsi="Calibri" w:cs="Calibri"/>
          <w:b/>
          <w:sz w:val="24"/>
          <w:szCs w:val="24"/>
          <w:u w:val="single"/>
        </w:rPr>
      </w:pPr>
      <w:r>
        <w:rPr>
          <w:rFonts w:ascii="Calibri" w:hAnsi="Calibri" w:cs="Calibri"/>
          <w:b/>
          <w:sz w:val="24"/>
          <w:szCs w:val="24"/>
        </w:rPr>
        <w:t>30</w:t>
      </w:r>
      <w:r w:rsidR="001D6E0F" w:rsidRPr="00312424">
        <w:rPr>
          <w:rFonts w:ascii="Calibri" w:hAnsi="Calibri" w:cs="Calibri"/>
          <w:b/>
          <w:sz w:val="24"/>
          <w:szCs w:val="24"/>
        </w:rPr>
        <w:t xml:space="preserve"> – </w:t>
      </w:r>
      <w:r w:rsidR="001D6E0F">
        <w:rPr>
          <w:rFonts w:ascii="Calibri" w:hAnsi="Calibri" w:cs="Calibri"/>
          <w:b/>
          <w:sz w:val="24"/>
          <w:szCs w:val="24"/>
          <w:u w:val="single"/>
        </w:rPr>
        <w:t>EVENTOS SUBSEQUENTES – COVID 19</w:t>
      </w:r>
    </w:p>
    <w:p w:rsidR="001D6E0F" w:rsidRDefault="001D6E0F" w:rsidP="001D6E0F">
      <w:pPr>
        <w:ind w:left="1080" w:hanging="1080"/>
        <w:jc w:val="both"/>
        <w:rPr>
          <w:rFonts w:ascii="Calibri" w:hAnsi="Calibri" w:cs="Calibri"/>
          <w:b/>
          <w:sz w:val="24"/>
          <w:szCs w:val="24"/>
        </w:rPr>
      </w:pPr>
    </w:p>
    <w:p w:rsidR="001D6E0F" w:rsidRDefault="001D6E0F" w:rsidP="001D6E0F">
      <w:pPr>
        <w:jc w:val="both"/>
        <w:rPr>
          <w:rFonts w:ascii="Calibri" w:hAnsi="Calibri" w:cs="Calibri"/>
          <w:sz w:val="24"/>
          <w:szCs w:val="24"/>
        </w:rPr>
      </w:pPr>
      <w:r w:rsidRPr="001D6E0F">
        <w:rPr>
          <w:rFonts w:ascii="Calibri" w:hAnsi="Calibri" w:cs="Calibri"/>
          <w:sz w:val="24"/>
          <w:szCs w:val="24"/>
        </w:rPr>
        <w:t>Desde o final de fevereiro de 2020, o mundo vem passando pelo surto da doença chamada COVID-19 (</w:t>
      </w:r>
      <w:proofErr w:type="spellStart"/>
      <w:r w:rsidRPr="001D6E0F">
        <w:rPr>
          <w:rFonts w:ascii="Calibri" w:hAnsi="Calibri" w:cs="Calibri"/>
          <w:sz w:val="24"/>
          <w:szCs w:val="24"/>
        </w:rPr>
        <w:t>Coronavírus</w:t>
      </w:r>
      <w:proofErr w:type="spellEnd"/>
      <w:r w:rsidRPr="001D6E0F">
        <w:rPr>
          <w:rFonts w:ascii="Calibri" w:hAnsi="Calibri" w:cs="Calibri"/>
          <w:sz w:val="24"/>
          <w:szCs w:val="24"/>
        </w:rPr>
        <w:t>), classificada como Pandemia pela Organização Mundial de Saúde – OMS, onde eventuais efeitos produzidos pelas ações governamentais para conter sua disseminação poder</w:t>
      </w:r>
      <w:r>
        <w:rPr>
          <w:rFonts w:ascii="Calibri" w:hAnsi="Calibri" w:cs="Calibri"/>
          <w:sz w:val="24"/>
          <w:szCs w:val="24"/>
        </w:rPr>
        <w:t>ão</w:t>
      </w:r>
      <w:r w:rsidRPr="001D6E0F">
        <w:rPr>
          <w:rFonts w:ascii="Calibri" w:hAnsi="Calibri" w:cs="Calibri"/>
          <w:sz w:val="24"/>
          <w:szCs w:val="24"/>
        </w:rPr>
        <w:t xml:space="preserve"> impactar negativamente os negócios da Companhia e, consequentemente, suas demonstrações financeiras. </w:t>
      </w:r>
    </w:p>
    <w:p w:rsidR="001D6E0F" w:rsidRDefault="001D6E0F" w:rsidP="001D6E0F">
      <w:pPr>
        <w:jc w:val="both"/>
        <w:rPr>
          <w:rFonts w:ascii="Calibri" w:hAnsi="Calibri" w:cs="Calibri"/>
          <w:sz w:val="24"/>
          <w:szCs w:val="24"/>
        </w:rPr>
      </w:pPr>
    </w:p>
    <w:p w:rsidR="001D6E0F" w:rsidRPr="001D6E0F" w:rsidRDefault="001D6E0F" w:rsidP="001D6E0F">
      <w:pPr>
        <w:jc w:val="both"/>
        <w:rPr>
          <w:rFonts w:ascii="Calibri" w:hAnsi="Calibri" w:cs="Calibri"/>
          <w:sz w:val="24"/>
          <w:szCs w:val="24"/>
        </w:rPr>
      </w:pPr>
      <w:r w:rsidRPr="001D6E0F">
        <w:rPr>
          <w:rFonts w:ascii="Calibri" w:hAnsi="Calibri" w:cs="Calibri"/>
          <w:sz w:val="24"/>
          <w:szCs w:val="24"/>
        </w:rPr>
        <w:t>Nesse sentido, a Administração esclarece que, em consonância com o disposto no CPC 24 – Eventos Subsequentes e, diante das atuais informações e dados sobre essa pandemia e os potenciais impactos na atividade econômica global, não há como aferir nesse momento quais efeitos relevantes podem impactar as demonstrações financeiras, a continuidade dos negócios e/ou as estimativas contábeis mais significativas. Entretanto, a Companhia segue monitorando de forma diligente toda e qualquer informação a respeito do tema para que decisões tempestivas possam ser tomadas para minimizar seus reflexos.</w:t>
      </w:r>
    </w:p>
    <w:p w:rsidR="001D6E0F" w:rsidRDefault="001D6E0F" w:rsidP="00C13D42">
      <w:pPr>
        <w:ind w:left="1080" w:hanging="1080"/>
        <w:jc w:val="both"/>
        <w:rPr>
          <w:rFonts w:ascii="Calibri" w:hAnsi="Calibri" w:cs="Calibri"/>
          <w:b/>
          <w:sz w:val="24"/>
          <w:szCs w:val="24"/>
        </w:rPr>
      </w:pPr>
    </w:p>
    <w:p w:rsidR="00C16DDB" w:rsidRDefault="00C16DDB" w:rsidP="00C16DDB">
      <w:pPr>
        <w:jc w:val="both"/>
        <w:rPr>
          <w:rFonts w:ascii="Calibri" w:hAnsi="Calibri" w:cs="Calibri"/>
          <w:noProof/>
          <w:snapToGrid/>
          <w:sz w:val="24"/>
          <w:szCs w:val="24"/>
        </w:rPr>
      </w:pPr>
    </w:p>
    <w:p w:rsidR="008A71CD" w:rsidRPr="00312424" w:rsidRDefault="008A71CD" w:rsidP="00C16DDB">
      <w:pPr>
        <w:jc w:val="both"/>
        <w:rPr>
          <w:rFonts w:ascii="Calibri" w:hAnsi="Calibri" w:cs="Calibri"/>
          <w:noProof/>
          <w:snapToGrid/>
          <w:sz w:val="24"/>
          <w:szCs w:val="24"/>
        </w:rPr>
      </w:pPr>
    </w:p>
    <w:p w:rsidR="00C16DDB" w:rsidRPr="00312424" w:rsidRDefault="00C16DDB" w:rsidP="00C16DDB">
      <w:pPr>
        <w:jc w:val="both"/>
        <w:rPr>
          <w:rFonts w:ascii="Calibri" w:hAnsi="Calibri" w:cs="Calibri"/>
          <w:b/>
          <w:sz w:val="24"/>
          <w:szCs w:val="24"/>
        </w:rPr>
      </w:pPr>
    </w:p>
    <w:tbl>
      <w:tblPr>
        <w:tblW w:w="0" w:type="auto"/>
        <w:tblLayout w:type="fixed"/>
        <w:tblCellMar>
          <w:left w:w="70" w:type="dxa"/>
          <w:right w:w="70" w:type="dxa"/>
        </w:tblCellMar>
        <w:tblLook w:val="0000" w:firstRow="0" w:lastRow="0" w:firstColumn="0" w:lastColumn="0" w:noHBand="0" w:noVBand="0"/>
      </w:tblPr>
      <w:tblGrid>
        <w:gridCol w:w="3354"/>
        <w:gridCol w:w="3354"/>
        <w:gridCol w:w="3354"/>
      </w:tblGrid>
      <w:tr w:rsidR="00C16DDB" w:rsidRPr="00312424" w:rsidTr="00080319">
        <w:trPr>
          <w:trHeight w:hRule="exact" w:val="312"/>
        </w:trPr>
        <w:tc>
          <w:tcPr>
            <w:tcW w:w="3354" w:type="dxa"/>
            <w:vAlign w:val="center"/>
          </w:tcPr>
          <w:p w:rsidR="00C16DDB" w:rsidRPr="00312424" w:rsidRDefault="00915925" w:rsidP="00027744">
            <w:pPr>
              <w:spacing w:before="60"/>
              <w:jc w:val="center"/>
              <w:rPr>
                <w:rFonts w:ascii="Calibri" w:hAnsi="Calibri" w:cs="Calibri"/>
                <w:sz w:val="24"/>
                <w:szCs w:val="24"/>
                <w:highlight w:val="yellow"/>
              </w:rPr>
            </w:pPr>
            <w:r w:rsidRPr="00915925">
              <w:rPr>
                <w:rFonts w:ascii="Calibri" w:hAnsi="Calibri" w:cs="Calibri"/>
                <w:sz w:val="24"/>
                <w:szCs w:val="24"/>
              </w:rPr>
              <w:t>FRANCISCO A. M. LARANJEIRA</w:t>
            </w:r>
          </w:p>
        </w:tc>
        <w:tc>
          <w:tcPr>
            <w:tcW w:w="3354"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SHALON CHARLES S. GOMES</w:t>
            </w:r>
          </w:p>
        </w:tc>
        <w:tc>
          <w:tcPr>
            <w:tcW w:w="3354" w:type="dxa"/>
            <w:vAlign w:val="center"/>
          </w:tcPr>
          <w:p w:rsidR="00C16DDB" w:rsidRPr="00312424" w:rsidRDefault="00BC2B38" w:rsidP="00027744">
            <w:pPr>
              <w:spacing w:before="60"/>
              <w:jc w:val="center"/>
              <w:rPr>
                <w:rFonts w:ascii="Calibri" w:hAnsi="Calibri" w:cs="Calibri"/>
                <w:sz w:val="24"/>
                <w:szCs w:val="24"/>
              </w:rPr>
            </w:pPr>
            <w:r>
              <w:rPr>
                <w:rFonts w:ascii="Calibri" w:hAnsi="Calibri" w:cs="Calibri"/>
                <w:sz w:val="24"/>
                <w:szCs w:val="24"/>
              </w:rPr>
              <w:t xml:space="preserve">JEAN </w:t>
            </w:r>
            <w:r w:rsidR="00C13146">
              <w:rPr>
                <w:rFonts w:ascii="Calibri" w:hAnsi="Calibri" w:cs="Calibri"/>
                <w:sz w:val="24"/>
                <w:szCs w:val="24"/>
              </w:rPr>
              <w:t>PAULO CASTRO E SILVA</w:t>
            </w:r>
          </w:p>
        </w:tc>
      </w:tr>
      <w:tr w:rsidR="00C16DDB" w:rsidRPr="00312424" w:rsidTr="00080319">
        <w:trPr>
          <w:trHeight w:hRule="exact" w:val="312"/>
        </w:trPr>
        <w:tc>
          <w:tcPr>
            <w:tcW w:w="3354"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DIRETOR – PRESIDENTE</w:t>
            </w:r>
          </w:p>
        </w:tc>
        <w:tc>
          <w:tcPr>
            <w:tcW w:w="3354"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DIRETOR</w:t>
            </w:r>
          </w:p>
        </w:tc>
        <w:tc>
          <w:tcPr>
            <w:tcW w:w="3354"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DIRETOR</w:t>
            </w:r>
          </w:p>
        </w:tc>
      </w:tr>
      <w:tr w:rsidR="00C16DDB" w:rsidRPr="00312424" w:rsidTr="00080319">
        <w:trPr>
          <w:trHeight w:hRule="exact" w:val="312"/>
        </w:trPr>
        <w:tc>
          <w:tcPr>
            <w:tcW w:w="3354" w:type="dxa"/>
            <w:vAlign w:val="center"/>
          </w:tcPr>
          <w:p w:rsidR="00C16DDB" w:rsidRPr="00312424" w:rsidRDefault="00C16DDB" w:rsidP="00915925">
            <w:pPr>
              <w:spacing w:before="60"/>
              <w:jc w:val="center"/>
              <w:rPr>
                <w:rFonts w:ascii="Calibri" w:hAnsi="Calibri" w:cs="Calibri"/>
                <w:sz w:val="24"/>
                <w:szCs w:val="24"/>
              </w:rPr>
            </w:pPr>
            <w:r w:rsidRPr="00312424">
              <w:rPr>
                <w:rFonts w:ascii="Calibri" w:hAnsi="Calibri" w:cs="Calibri"/>
                <w:sz w:val="24"/>
                <w:szCs w:val="24"/>
              </w:rPr>
              <w:t xml:space="preserve">CPF Nº </w:t>
            </w:r>
            <w:r w:rsidR="00915925">
              <w:rPr>
                <w:rFonts w:ascii="Calibri" w:hAnsi="Calibri" w:cs="Calibri"/>
                <w:sz w:val="24"/>
                <w:szCs w:val="24"/>
              </w:rPr>
              <w:t>332.852.767-20</w:t>
            </w:r>
          </w:p>
        </w:tc>
        <w:tc>
          <w:tcPr>
            <w:tcW w:w="3354"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CPF Nº 014.363.387-27</w:t>
            </w:r>
          </w:p>
        </w:tc>
        <w:tc>
          <w:tcPr>
            <w:tcW w:w="3354" w:type="dxa"/>
            <w:vAlign w:val="center"/>
          </w:tcPr>
          <w:p w:rsidR="00C16DDB" w:rsidRPr="00312424" w:rsidRDefault="00C16DDB" w:rsidP="001368B0">
            <w:pPr>
              <w:spacing w:before="60"/>
              <w:jc w:val="center"/>
              <w:rPr>
                <w:rFonts w:ascii="Calibri" w:hAnsi="Calibri" w:cs="Calibri"/>
                <w:sz w:val="24"/>
                <w:szCs w:val="24"/>
              </w:rPr>
            </w:pPr>
            <w:r w:rsidRPr="00312424">
              <w:rPr>
                <w:rFonts w:ascii="Calibri" w:hAnsi="Calibri" w:cs="Calibri"/>
                <w:sz w:val="24"/>
                <w:szCs w:val="24"/>
              </w:rPr>
              <w:t xml:space="preserve">CPF Nº </w:t>
            </w:r>
            <w:r w:rsidR="00C13146">
              <w:rPr>
                <w:rFonts w:ascii="Calibri" w:hAnsi="Calibri" w:cs="Calibri"/>
                <w:sz w:val="24"/>
                <w:szCs w:val="24"/>
              </w:rPr>
              <w:t>771.428.456-00</w:t>
            </w:r>
          </w:p>
        </w:tc>
      </w:tr>
    </w:tbl>
    <w:p w:rsidR="00C16DDB" w:rsidRPr="00312424" w:rsidRDefault="00C16DDB" w:rsidP="00C16DDB">
      <w:pPr>
        <w:rPr>
          <w:rFonts w:ascii="Calibri" w:hAnsi="Calibri" w:cs="Calibri"/>
          <w:sz w:val="24"/>
          <w:szCs w:val="24"/>
        </w:rPr>
      </w:pPr>
    </w:p>
    <w:p w:rsidR="00C16DDB" w:rsidRPr="00312424" w:rsidRDefault="00C16DDB" w:rsidP="00C16DDB">
      <w:pPr>
        <w:rPr>
          <w:rFonts w:ascii="Calibri" w:hAnsi="Calibri" w:cs="Calibri"/>
          <w:sz w:val="24"/>
          <w:szCs w:val="24"/>
        </w:rPr>
      </w:pPr>
    </w:p>
    <w:p w:rsidR="00B455BA" w:rsidRDefault="00B455BA" w:rsidP="00C16DDB">
      <w:pPr>
        <w:rPr>
          <w:rFonts w:ascii="Calibri" w:hAnsi="Calibri" w:cs="Calibri"/>
          <w:sz w:val="24"/>
          <w:szCs w:val="24"/>
        </w:rPr>
      </w:pPr>
    </w:p>
    <w:p w:rsidR="00C16DDB" w:rsidRPr="00312424" w:rsidRDefault="00C16DDB" w:rsidP="00C16DDB">
      <w:pPr>
        <w:rPr>
          <w:rFonts w:ascii="Calibri" w:hAnsi="Calibri" w:cs="Calibri"/>
          <w:sz w:val="24"/>
          <w:szCs w:val="24"/>
        </w:rPr>
      </w:pPr>
    </w:p>
    <w:tbl>
      <w:tblPr>
        <w:tblW w:w="10065" w:type="dxa"/>
        <w:tblInd w:w="-72" w:type="dxa"/>
        <w:tblLayout w:type="fixed"/>
        <w:tblCellMar>
          <w:left w:w="70" w:type="dxa"/>
          <w:right w:w="70" w:type="dxa"/>
        </w:tblCellMar>
        <w:tblLook w:val="0000" w:firstRow="0" w:lastRow="0" w:firstColumn="0" w:lastColumn="0" w:noHBand="0" w:noVBand="0"/>
      </w:tblPr>
      <w:tblGrid>
        <w:gridCol w:w="5103"/>
        <w:gridCol w:w="4962"/>
      </w:tblGrid>
      <w:tr w:rsidR="00C16DDB" w:rsidRPr="00312424" w:rsidTr="00080319">
        <w:trPr>
          <w:trHeight w:hRule="exact" w:val="312"/>
        </w:trPr>
        <w:tc>
          <w:tcPr>
            <w:tcW w:w="5103"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HELIO SZMAJSER</w:t>
            </w:r>
          </w:p>
        </w:tc>
        <w:tc>
          <w:tcPr>
            <w:tcW w:w="4962" w:type="dxa"/>
            <w:tcBorders>
              <w:left w:val="nil"/>
            </w:tcBorders>
            <w:vAlign w:val="center"/>
          </w:tcPr>
          <w:p w:rsidR="00C16DDB" w:rsidRPr="00312424" w:rsidRDefault="00340FB0" w:rsidP="00027744">
            <w:pPr>
              <w:spacing w:before="60"/>
              <w:jc w:val="center"/>
              <w:rPr>
                <w:rFonts w:ascii="Calibri" w:hAnsi="Calibri" w:cs="Calibri"/>
                <w:sz w:val="24"/>
                <w:szCs w:val="24"/>
              </w:rPr>
            </w:pPr>
            <w:r>
              <w:rPr>
                <w:rFonts w:ascii="Calibri" w:hAnsi="Calibri" w:cs="Calibri"/>
                <w:sz w:val="24"/>
                <w:szCs w:val="24"/>
              </w:rPr>
              <w:t>EDUARDO PIRES SOARES</w:t>
            </w:r>
          </w:p>
        </w:tc>
      </w:tr>
      <w:tr w:rsidR="00C16DDB" w:rsidRPr="00312424" w:rsidTr="00080319">
        <w:trPr>
          <w:trHeight w:hRule="exact" w:val="312"/>
        </w:trPr>
        <w:tc>
          <w:tcPr>
            <w:tcW w:w="5103"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DIRETOR</w:t>
            </w:r>
          </w:p>
        </w:tc>
        <w:tc>
          <w:tcPr>
            <w:tcW w:w="4962" w:type="dxa"/>
            <w:tcBorders>
              <w:left w:val="nil"/>
            </w:tcBorders>
            <w:vAlign w:val="center"/>
          </w:tcPr>
          <w:p w:rsidR="00C16DDB" w:rsidRPr="00312424" w:rsidRDefault="00340FB0" w:rsidP="00257002">
            <w:pPr>
              <w:spacing w:before="60"/>
              <w:jc w:val="center"/>
              <w:rPr>
                <w:rFonts w:ascii="Calibri" w:hAnsi="Calibri" w:cs="Calibri"/>
                <w:sz w:val="24"/>
                <w:szCs w:val="24"/>
              </w:rPr>
            </w:pPr>
            <w:r>
              <w:rPr>
                <w:rFonts w:ascii="Calibri" w:hAnsi="Calibri" w:cs="Calibri"/>
                <w:sz w:val="24"/>
                <w:szCs w:val="24"/>
              </w:rPr>
              <w:t xml:space="preserve">CONTADOR </w:t>
            </w:r>
            <w:r w:rsidR="00257002">
              <w:rPr>
                <w:rFonts w:ascii="Calibri" w:hAnsi="Calibri" w:cs="Calibri"/>
                <w:sz w:val="24"/>
                <w:szCs w:val="24"/>
              </w:rPr>
              <w:t xml:space="preserve">– </w:t>
            </w:r>
            <w:r>
              <w:rPr>
                <w:rFonts w:ascii="Calibri" w:hAnsi="Calibri" w:cs="Calibri"/>
                <w:sz w:val="24"/>
                <w:szCs w:val="24"/>
              </w:rPr>
              <w:t>CRC</w:t>
            </w:r>
            <w:r w:rsidR="003B2671">
              <w:rPr>
                <w:rFonts w:ascii="Calibri" w:hAnsi="Calibri" w:cs="Calibri"/>
                <w:sz w:val="24"/>
                <w:szCs w:val="24"/>
              </w:rPr>
              <w:t>/RJ</w:t>
            </w:r>
            <w:r>
              <w:rPr>
                <w:rFonts w:ascii="Calibri" w:hAnsi="Calibri" w:cs="Calibri"/>
                <w:sz w:val="24"/>
                <w:szCs w:val="24"/>
              </w:rPr>
              <w:t xml:space="preserve"> 110913/O-7</w:t>
            </w:r>
            <w:r w:rsidR="00C16DDB" w:rsidRPr="00312424">
              <w:rPr>
                <w:rFonts w:ascii="Calibri" w:hAnsi="Calibri" w:cs="Calibri"/>
                <w:sz w:val="24"/>
                <w:szCs w:val="24"/>
              </w:rPr>
              <w:t xml:space="preserve"> </w:t>
            </w:r>
          </w:p>
        </w:tc>
      </w:tr>
      <w:tr w:rsidR="00C16DDB" w:rsidRPr="00312424" w:rsidTr="00080319">
        <w:trPr>
          <w:trHeight w:hRule="exact" w:val="312"/>
        </w:trPr>
        <w:tc>
          <w:tcPr>
            <w:tcW w:w="5103"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CPF Nº 553.615.367-68</w:t>
            </w:r>
          </w:p>
        </w:tc>
        <w:tc>
          <w:tcPr>
            <w:tcW w:w="4962" w:type="dxa"/>
            <w:tcBorders>
              <w:left w:val="nil"/>
            </w:tcBorders>
            <w:vAlign w:val="center"/>
          </w:tcPr>
          <w:p w:rsidR="00C16DDB" w:rsidRPr="00312424" w:rsidRDefault="00340FB0" w:rsidP="00027744">
            <w:pPr>
              <w:spacing w:before="60"/>
              <w:jc w:val="center"/>
              <w:rPr>
                <w:rFonts w:ascii="Calibri" w:hAnsi="Calibri" w:cs="Calibri"/>
                <w:sz w:val="24"/>
                <w:szCs w:val="24"/>
              </w:rPr>
            </w:pPr>
            <w:r>
              <w:rPr>
                <w:rFonts w:ascii="Calibri" w:hAnsi="Calibri" w:cs="Calibri"/>
                <w:sz w:val="24"/>
                <w:szCs w:val="24"/>
              </w:rPr>
              <w:t>CPF Nº 080.022.657-77</w:t>
            </w:r>
          </w:p>
        </w:tc>
      </w:tr>
    </w:tbl>
    <w:p w:rsidR="0069730B" w:rsidRPr="00312424" w:rsidRDefault="0069730B">
      <w:pPr>
        <w:rPr>
          <w:rFonts w:ascii="Calibri" w:hAnsi="Calibri" w:cs="Calibri"/>
          <w:sz w:val="24"/>
          <w:szCs w:val="24"/>
        </w:rPr>
        <w:sectPr w:rsidR="0069730B" w:rsidRPr="00312424" w:rsidSect="00B455BA">
          <w:headerReference w:type="default" r:id="rId21"/>
          <w:footerReference w:type="default" r:id="rId22"/>
          <w:headerReference w:type="first" r:id="rId23"/>
          <w:footerReference w:type="first" r:id="rId24"/>
          <w:pgSz w:w="11907" w:h="16840" w:code="9"/>
          <w:pgMar w:top="2268" w:right="851" w:bottom="680" w:left="1077" w:header="567" w:footer="454" w:gutter="0"/>
          <w:cols w:space="720"/>
          <w:docGrid w:linePitch="272"/>
        </w:sectPr>
      </w:pPr>
    </w:p>
    <w:p w:rsidR="00BD6B08" w:rsidRPr="00137FAC" w:rsidRDefault="00BD6B08" w:rsidP="00781D86">
      <w:pPr>
        <w:tabs>
          <w:tab w:val="left" w:pos="4758"/>
        </w:tabs>
        <w:rPr>
          <w:rFonts w:ascii="Calibri" w:hAnsi="Calibri" w:cs="Calibri"/>
          <w:sz w:val="24"/>
          <w:szCs w:val="24"/>
        </w:rPr>
      </w:pPr>
    </w:p>
    <w:sectPr w:rsidR="00BD6B08" w:rsidRPr="00137FAC" w:rsidSect="00781D86">
      <w:headerReference w:type="default" r:id="rId25"/>
      <w:footerReference w:type="default" r:id="rId26"/>
      <w:pgSz w:w="11907" w:h="16840" w:code="9"/>
      <w:pgMar w:top="851" w:right="851" w:bottom="1361" w:left="851" w:header="306" w:footer="79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3EA" w:rsidRPr="00E936EC" w:rsidRDefault="004623EA">
      <w:pPr>
        <w:rPr>
          <w:sz w:val="18"/>
          <w:szCs w:val="18"/>
        </w:rPr>
      </w:pPr>
      <w:r w:rsidRPr="00E936EC">
        <w:rPr>
          <w:sz w:val="18"/>
          <w:szCs w:val="18"/>
        </w:rPr>
        <w:separator/>
      </w:r>
    </w:p>
  </w:endnote>
  <w:endnote w:type="continuationSeparator" w:id="0">
    <w:p w:rsidR="004623EA" w:rsidRPr="00E936EC" w:rsidRDefault="004623EA">
      <w:pPr>
        <w:rPr>
          <w:sz w:val="18"/>
          <w:szCs w:val="18"/>
        </w:rPr>
      </w:pPr>
      <w:r w:rsidRPr="00E936EC">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31E" w:rsidRPr="00E936EC" w:rsidRDefault="00D4531E">
    <w:pPr>
      <w:pStyle w:val="Rodap"/>
      <w:jc w:val="center"/>
      <w:rPr>
        <w:sz w:val="18"/>
        <w:szCs w:val="18"/>
      </w:rPr>
    </w:pPr>
    <w:r w:rsidRPr="00E936EC">
      <w:rPr>
        <w:sz w:val="18"/>
        <w:szCs w:val="18"/>
      </w:rPr>
      <w:fldChar w:fldCharType="begin"/>
    </w:r>
    <w:r w:rsidRPr="00E936EC">
      <w:rPr>
        <w:sz w:val="18"/>
        <w:szCs w:val="18"/>
      </w:rPr>
      <w:instrText xml:space="preserve"> PAGE   \* MERGEFORMAT </w:instrText>
    </w:r>
    <w:r w:rsidRPr="00E936EC">
      <w:rPr>
        <w:sz w:val="18"/>
        <w:szCs w:val="18"/>
      </w:rPr>
      <w:fldChar w:fldCharType="separate"/>
    </w:r>
    <w:r w:rsidR="00422FAA">
      <w:rPr>
        <w:noProof/>
        <w:sz w:val="18"/>
        <w:szCs w:val="18"/>
      </w:rPr>
      <w:t>40</w:t>
    </w:r>
    <w:r w:rsidRPr="00E936EC">
      <w:rPr>
        <w:sz w:val="18"/>
        <w:szCs w:val="18"/>
      </w:rPr>
      <w:fldChar w:fldCharType="end"/>
    </w:r>
  </w:p>
  <w:p w:rsidR="00D4531E" w:rsidRPr="00E936EC" w:rsidRDefault="00D4531E">
    <w:pPr>
      <w:pStyle w:val="Rodap"/>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31E" w:rsidRPr="00E936EC" w:rsidRDefault="00D4531E">
    <w:pPr>
      <w:pStyle w:val="Rodap"/>
      <w:jc w:val="center"/>
      <w:rPr>
        <w:sz w:val="18"/>
        <w:szCs w:val="18"/>
      </w:rPr>
    </w:pPr>
    <w:r w:rsidRPr="00E936EC">
      <w:rPr>
        <w:sz w:val="18"/>
        <w:szCs w:val="18"/>
      </w:rPr>
      <w:fldChar w:fldCharType="begin"/>
    </w:r>
    <w:r w:rsidRPr="00E936EC">
      <w:rPr>
        <w:sz w:val="18"/>
        <w:szCs w:val="18"/>
      </w:rPr>
      <w:instrText xml:space="preserve"> PAGE   \* MERGEFORMAT </w:instrText>
    </w:r>
    <w:r w:rsidRPr="00E936EC">
      <w:rPr>
        <w:sz w:val="18"/>
        <w:szCs w:val="18"/>
      </w:rPr>
      <w:fldChar w:fldCharType="separate"/>
    </w:r>
    <w:r>
      <w:rPr>
        <w:noProof/>
        <w:sz w:val="18"/>
        <w:szCs w:val="18"/>
      </w:rPr>
      <w:t>23</w:t>
    </w:r>
    <w:r w:rsidRPr="00E936EC">
      <w:rPr>
        <w:sz w:val="18"/>
        <w:szCs w:val="18"/>
      </w:rPr>
      <w:fldChar w:fldCharType="end"/>
    </w:r>
  </w:p>
  <w:p w:rsidR="00D4531E" w:rsidRDefault="00D4531E">
    <w:pPr>
      <w:pStyle w:val="Rodap"/>
      <w:rPr>
        <w:rFonts w:ascii="Arial" w:hAnsi="Arial" w:cs="Arial"/>
        <w:b/>
        <w:sz w:val="16"/>
        <w:szCs w:val="16"/>
      </w:rPr>
    </w:pPr>
  </w:p>
  <w:p w:rsidR="00D4531E" w:rsidRPr="00E936EC" w:rsidRDefault="00D4531E" w:rsidP="00027435">
    <w:pPr>
      <w:pStyle w:val="Rodap"/>
      <w:jc w:val="center"/>
      <w:rPr>
        <w:sz w:val="18"/>
        <w:szCs w:val="18"/>
      </w:rPr>
    </w:pPr>
    <w:r w:rsidRPr="00E936EC">
      <w:rPr>
        <w:rFonts w:ascii="Arial" w:hAnsi="Arial" w:cs="Arial"/>
        <w:b/>
        <w:sz w:val="16"/>
        <w:szCs w:val="16"/>
      </w:rPr>
      <w:t>As notas explicativas fazem parte das demonstrações contábeis.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31E" w:rsidRPr="00E936EC" w:rsidRDefault="00D4531E">
    <w:pPr>
      <w:pStyle w:val="Rodap"/>
      <w:jc w:val="center"/>
      <w:rPr>
        <w:sz w:val="18"/>
        <w:szCs w:val="18"/>
      </w:rPr>
    </w:pPr>
    <w:r w:rsidRPr="00E936EC">
      <w:rPr>
        <w:sz w:val="18"/>
        <w:szCs w:val="18"/>
      </w:rPr>
      <w:fldChar w:fldCharType="begin"/>
    </w:r>
    <w:r w:rsidRPr="00E936EC">
      <w:rPr>
        <w:sz w:val="18"/>
        <w:szCs w:val="18"/>
      </w:rPr>
      <w:instrText xml:space="preserve"> PAGE   \* MERGEFORMAT </w:instrText>
    </w:r>
    <w:r w:rsidRPr="00E936EC">
      <w:rPr>
        <w:sz w:val="18"/>
        <w:szCs w:val="18"/>
      </w:rPr>
      <w:fldChar w:fldCharType="separate"/>
    </w:r>
    <w:r w:rsidR="00422FAA">
      <w:rPr>
        <w:noProof/>
        <w:sz w:val="18"/>
        <w:szCs w:val="18"/>
      </w:rPr>
      <w:t>41</w:t>
    </w:r>
    <w:r w:rsidRPr="00E936EC">
      <w:rPr>
        <w:sz w:val="18"/>
        <w:szCs w:val="18"/>
      </w:rPr>
      <w:fldChar w:fldCharType="end"/>
    </w:r>
  </w:p>
  <w:p w:rsidR="00D4531E" w:rsidRPr="00E936EC" w:rsidRDefault="00D4531E">
    <w:pPr>
      <w:pStyle w:val="Rodap"/>
      <w:jc w:val="center"/>
      <w:rPr>
        <w:sz w:val="18"/>
        <w:szCs w:val="18"/>
      </w:rPr>
    </w:pPr>
  </w:p>
  <w:p w:rsidR="00D4531E" w:rsidRPr="00E936EC" w:rsidRDefault="00D4531E" w:rsidP="003E3C1A">
    <w:pPr>
      <w:pStyle w:val="Rodap"/>
      <w:jc w:val="center"/>
      <w:rPr>
        <w:rFonts w:ascii="Arial" w:hAnsi="Arial" w:cs="Arial"/>
        <w:b/>
        <w:sz w:val="16"/>
        <w:szCs w:val="16"/>
      </w:rPr>
    </w:pPr>
    <w:r w:rsidRPr="00E936EC">
      <w:rPr>
        <w:rFonts w:ascii="Arial" w:hAnsi="Arial" w:cs="Arial"/>
        <w:b/>
        <w:sz w:val="16"/>
        <w:szCs w:val="16"/>
      </w:rPr>
      <w:t>As notas explicativas fazem parte das demonstrações contábeis.</w:t>
    </w:r>
  </w:p>
  <w:p w:rsidR="00D4531E" w:rsidRPr="00E936EC" w:rsidRDefault="00D4531E" w:rsidP="00163699">
    <w:pPr>
      <w:pStyle w:val="Rodap"/>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3EA" w:rsidRPr="00E936EC" w:rsidRDefault="004623EA">
      <w:pPr>
        <w:rPr>
          <w:sz w:val="18"/>
          <w:szCs w:val="18"/>
        </w:rPr>
      </w:pPr>
      <w:r w:rsidRPr="00E936EC">
        <w:rPr>
          <w:sz w:val="18"/>
          <w:szCs w:val="18"/>
        </w:rPr>
        <w:separator/>
      </w:r>
    </w:p>
  </w:footnote>
  <w:footnote w:type="continuationSeparator" w:id="0">
    <w:p w:rsidR="004623EA" w:rsidRPr="00E936EC" w:rsidRDefault="004623EA">
      <w:pPr>
        <w:rPr>
          <w:sz w:val="18"/>
          <w:szCs w:val="18"/>
        </w:rPr>
      </w:pPr>
      <w:r w:rsidRPr="00E936EC">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31E" w:rsidRPr="00E936EC" w:rsidRDefault="00D4531E">
    <w:pPr>
      <w:pStyle w:val="Cabealho"/>
      <w:rPr>
        <w:rFonts w:ascii="Arial" w:hAnsi="Arial"/>
        <w:sz w:val="19"/>
        <w:szCs w:val="19"/>
      </w:rPr>
    </w:pPr>
    <w:r w:rsidRPr="00E936EC">
      <w:rPr>
        <w:rFonts w:ascii="Arial" w:hAnsi="Arial"/>
        <w:noProof/>
        <w:snapToGrid/>
        <w:sz w:val="18"/>
        <w:szCs w:val="18"/>
      </w:rPr>
      <w:drawing>
        <wp:anchor distT="0" distB="0" distL="114300" distR="114300" simplePos="0" relativeHeight="251650560" behindDoc="0" locked="0" layoutInCell="0" allowOverlap="1">
          <wp:simplePos x="0" y="0"/>
          <wp:positionH relativeFrom="column">
            <wp:posOffset>745490</wp:posOffset>
          </wp:positionH>
          <wp:positionV relativeFrom="paragraph">
            <wp:posOffset>29210</wp:posOffset>
          </wp:positionV>
          <wp:extent cx="4813300" cy="915035"/>
          <wp:effectExtent l="0" t="0" r="0" b="0"/>
          <wp:wrapNone/>
          <wp:docPr id="2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15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531E" w:rsidRPr="00E936EC" w:rsidRDefault="00D4531E">
    <w:pPr>
      <w:pStyle w:val="Cabealho"/>
      <w:rPr>
        <w:rFonts w:ascii="Arial" w:hAnsi="Arial"/>
        <w:sz w:val="19"/>
        <w:szCs w:val="19"/>
      </w:rPr>
    </w:pPr>
  </w:p>
  <w:p w:rsidR="00D4531E" w:rsidRPr="00E936EC" w:rsidRDefault="00D4531E">
    <w:pPr>
      <w:pStyle w:val="Cabealho"/>
      <w:rPr>
        <w:rFonts w:ascii="Arial" w:hAnsi="Arial"/>
        <w:sz w:val="19"/>
        <w:szCs w:val="19"/>
      </w:rPr>
    </w:pPr>
  </w:p>
  <w:p w:rsidR="00D4531E" w:rsidRPr="00E936EC" w:rsidRDefault="00D4531E">
    <w:pPr>
      <w:pStyle w:val="Cabealho"/>
      <w:rPr>
        <w:rFonts w:ascii="Arial" w:hAnsi="Arial"/>
        <w:sz w:val="19"/>
        <w:szCs w:val="19"/>
      </w:rPr>
    </w:pPr>
  </w:p>
  <w:p w:rsidR="00D4531E" w:rsidRPr="00E936EC" w:rsidRDefault="00D4531E">
    <w:pPr>
      <w:pStyle w:val="Cabealho"/>
      <w:rPr>
        <w:rFonts w:ascii="Arial" w:hAnsi="Arial"/>
        <w:sz w:val="19"/>
        <w:szCs w:val="19"/>
      </w:rPr>
    </w:pPr>
    <w:r>
      <w:rPr>
        <w:rFonts w:ascii="Arial" w:hAnsi="Arial"/>
        <w:noProof/>
        <w:snapToGrid/>
        <w:sz w:val="18"/>
        <w:szCs w:val="18"/>
      </w:rPr>
      <mc:AlternateContent>
        <mc:Choice Requires="wps">
          <w:drawing>
            <wp:anchor distT="0" distB="0" distL="114300" distR="114300" simplePos="0" relativeHeight="251662848" behindDoc="0" locked="0" layoutInCell="0" allowOverlap="1">
              <wp:simplePos x="0" y="0"/>
              <wp:positionH relativeFrom="column">
                <wp:posOffset>3950335</wp:posOffset>
              </wp:positionH>
              <wp:positionV relativeFrom="paragraph">
                <wp:posOffset>274320</wp:posOffset>
              </wp:positionV>
              <wp:extent cx="1804670" cy="228600"/>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670" cy="228600"/>
                      </a:xfrm>
                      <a:prstGeom prst="rect">
                        <a:avLst/>
                      </a:prstGeom>
                      <a:solidFill>
                        <a:srgbClr val="FFFFFF"/>
                      </a:solidFill>
                      <a:ln w="3175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3D511DA" id="Rectangle 19" o:spid="_x0000_s1026" style="position:absolute;margin-left:311.05pt;margin-top:21.6pt;width:142.1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" o:allowincell="f" strokecolor="white" strokeweight="2.5pt">
              <v:shadow color="#868686"/>
            </v:rect>
          </w:pict>
        </mc:Fallback>
      </mc:AlternateContent>
    </w:r>
    <w:r>
      <w:rPr>
        <w:rFonts w:ascii="Arial" w:hAnsi="Arial"/>
        <w:noProof/>
        <w:snapToGrid/>
        <w:sz w:val="18"/>
        <w:szCs w:val="18"/>
      </w:rPr>
      <mc:AlternateContent>
        <mc:Choice Requires="wps">
          <w:drawing>
            <wp:anchor distT="0" distB="0" distL="114300" distR="114300" simplePos="0" relativeHeight="251661824" behindDoc="0" locked="0" layoutInCell="0" allowOverlap="1">
              <wp:simplePos x="0" y="0"/>
              <wp:positionH relativeFrom="column">
                <wp:posOffset>597535</wp:posOffset>
              </wp:positionH>
              <wp:positionV relativeFrom="paragraph">
                <wp:posOffset>274320</wp:posOffset>
              </wp:positionV>
              <wp:extent cx="1804670" cy="228600"/>
              <wp:effectExtent l="0" t="0" r="0" b="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670" cy="228600"/>
                      </a:xfrm>
                      <a:prstGeom prst="rect">
                        <a:avLst/>
                      </a:prstGeom>
                      <a:solidFill>
                        <a:srgbClr val="FFFFFF"/>
                      </a:solidFill>
                      <a:ln w="3175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CD717D0" id="Rectangle 18" o:spid="_x0000_s1026" style="position:absolute;margin-left:47.05pt;margin-top:21.6pt;width:142.1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" o:allowincell="f" strokecolor="white" strokeweight="2.5pt">
              <v:shadow color="#868686"/>
            </v:rect>
          </w:pict>
        </mc:Fallback>
      </mc:AlternateContent>
    </w:r>
    <w:r>
      <w:rPr>
        <w:rFonts w:ascii="Arial" w:hAnsi="Arial"/>
        <w:noProof/>
        <w:snapToGrid/>
        <w:sz w:val="18"/>
        <w:szCs w:val="18"/>
      </w:rPr>
      <mc:AlternateContent>
        <mc:Choice Requires="wps">
          <w:drawing>
            <wp:anchor distT="0" distB="0" distL="114300" distR="114300" simplePos="0" relativeHeight="251660800" behindDoc="0" locked="0" layoutInCell="0" allowOverlap="1">
              <wp:simplePos x="0" y="0"/>
              <wp:positionH relativeFrom="column">
                <wp:posOffset>597535</wp:posOffset>
              </wp:positionH>
              <wp:positionV relativeFrom="paragraph">
                <wp:posOffset>274320</wp:posOffset>
              </wp:positionV>
              <wp:extent cx="1804670" cy="228600"/>
              <wp:effectExtent l="0" t="0" r="0" b="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67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ctr">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436B55D" id="Rectangle 17" o:spid="_x0000_s1026" style="position:absolute;margin-left:47.05pt;margin-top:21.6pt;width:142.1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" o:allowincell="f" filled="f" stroked="f" strokecolor="white" strokeweight="0"/>
          </w:pict>
        </mc:Fallback>
      </mc:AlternateContent>
    </w:r>
    <w:r w:rsidRPr="00E936EC">
      <w:rPr>
        <w:rFonts w:ascii="Arial" w:hAnsi="Arial"/>
        <w:noProof/>
        <w:snapToGrid/>
        <w:sz w:val="18"/>
        <w:szCs w:val="18"/>
      </w:rPr>
      <mc:AlternateContent>
        <mc:Choice Requires="wps">
          <w:drawing>
            <wp:anchor distT="0" distB="0" distL="114300" distR="114300" simplePos="0" relativeHeight="251649536" behindDoc="0" locked="0" layoutInCell="0" allowOverlap="1">
              <wp:simplePos x="0" y="0"/>
              <wp:positionH relativeFrom="column">
                <wp:posOffset>3894455</wp:posOffset>
              </wp:positionH>
              <wp:positionV relativeFrom="paragraph">
                <wp:posOffset>75565</wp:posOffset>
              </wp:positionV>
              <wp:extent cx="2134870" cy="0"/>
              <wp:effectExtent l="0" t="0" r="0" b="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870" cy="0"/>
                      </a:xfrm>
                      <a:prstGeom prst="line">
                        <a:avLst/>
                      </a:prstGeom>
                      <a:noFill/>
                      <a:ln w="222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67351CC" id="Line 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65pt,5.95pt" to="474.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" o:allowincell="f" strokecolor="#36f" strokeweight="1.75pt"/>
          </w:pict>
        </mc:Fallback>
      </mc:AlternateContent>
    </w:r>
    <w:r w:rsidRPr="00E936EC">
      <w:rPr>
        <w:rFonts w:ascii="Arial" w:hAnsi="Arial"/>
        <w:noProof/>
        <w:snapToGrid/>
        <w:sz w:val="18"/>
        <w:szCs w:val="18"/>
      </w:rPr>
      <mc:AlternateContent>
        <mc:Choice Requires="wps">
          <w:drawing>
            <wp:anchor distT="0" distB="0" distL="114300" distR="114300" simplePos="0" relativeHeight="251648512" behindDoc="0" locked="0" layoutInCell="0" allowOverlap="1">
              <wp:simplePos x="0" y="0"/>
              <wp:positionH relativeFrom="column">
                <wp:posOffset>268605</wp:posOffset>
              </wp:positionH>
              <wp:positionV relativeFrom="paragraph">
                <wp:posOffset>86995</wp:posOffset>
              </wp:positionV>
              <wp:extent cx="2133600" cy="1270"/>
              <wp:effectExtent l="0" t="0" r="0" b="0"/>
              <wp:wrapNone/>
              <wp:docPr id="1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1270"/>
                      </a:xfrm>
                      <a:prstGeom prst="line">
                        <a:avLst/>
                      </a:prstGeom>
                      <a:noFill/>
                      <a:ln w="222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717932C" id="Line 1"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6.85pt" to="189.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" o:allowincell="f" strokecolor="#36f" strokeweight="1.7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31E" w:rsidRPr="00E936EC" w:rsidRDefault="00D4531E">
    <w:pPr>
      <w:pStyle w:val="Cabealho"/>
      <w:rPr>
        <w:sz w:val="18"/>
        <w:szCs w:val="18"/>
      </w:rPr>
    </w:pPr>
    <w:r w:rsidRPr="00E936EC">
      <w:rPr>
        <w:noProof/>
        <w:snapToGrid/>
        <w:sz w:val="18"/>
        <w:szCs w:val="18"/>
      </w:rPr>
      <w:drawing>
        <wp:anchor distT="0" distB="0" distL="114300" distR="114300" simplePos="0" relativeHeight="251653632" behindDoc="0" locked="0" layoutInCell="0" allowOverlap="1">
          <wp:simplePos x="0" y="0"/>
          <wp:positionH relativeFrom="column">
            <wp:posOffset>891540</wp:posOffset>
          </wp:positionH>
          <wp:positionV relativeFrom="paragraph">
            <wp:posOffset>-48260</wp:posOffset>
          </wp:positionV>
          <wp:extent cx="4319905" cy="906780"/>
          <wp:effectExtent l="0" t="0" r="0" b="7620"/>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9905"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6EC">
      <w:rPr>
        <w:noProof/>
        <w:snapToGrid/>
        <w:sz w:val="18"/>
        <w:szCs w:val="18"/>
      </w:rPr>
      <mc:AlternateContent>
        <mc:Choice Requires="wps">
          <w:drawing>
            <wp:anchor distT="0" distB="0" distL="114300" distR="114300" simplePos="0" relativeHeight="251652608" behindDoc="0" locked="0" layoutInCell="0" allowOverlap="1">
              <wp:simplePos x="0" y="0"/>
              <wp:positionH relativeFrom="column">
                <wp:posOffset>3787775</wp:posOffset>
              </wp:positionH>
              <wp:positionV relativeFrom="paragraph">
                <wp:posOffset>581660</wp:posOffset>
              </wp:positionV>
              <wp:extent cx="2134870"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870" cy="0"/>
                      </a:xfrm>
                      <a:prstGeom prst="line">
                        <a:avLst/>
                      </a:prstGeom>
                      <a:noFill/>
                      <a:ln w="222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98816AF" id="Line 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25pt,45.8pt" to="466.3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" o:allowincell="f" strokecolor="#36f" strokeweight="1.75pt"/>
          </w:pict>
        </mc:Fallback>
      </mc:AlternateContent>
    </w:r>
    <w:r w:rsidRPr="00E936EC">
      <w:rPr>
        <w:noProof/>
        <w:snapToGrid/>
        <w:sz w:val="18"/>
        <w:szCs w:val="18"/>
      </w:rPr>
      <mc:AlternateContent>
        <mc:Choice Requires="wps">
          <w:drawing>
            <wp:anchor distT="0" distB="0" distL="114300" distR="114300" simplePos="0" relativeHeight="251651584" behindDoc="0" locked="0" layoutInCell="0" allowOverlap="1">
              <wp:simplePos x="0" y="0"/>
              <wp:positionH relativeFrom="column">
                <wp:posOffset>161925</wp:posOffset>
              </wp:positionH>
              <wp:positionV relativeFrom="paragraph">
                <wp:posOffset>593090</wp:posOffset>
              </wp:positionV>
              <wp:extent cx="2133600" cy="127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1270"/>
                      </a:xfrm>
                      <a:prstGeom prst="line">
                        <a:avLst/>
                      </a:prstGeom>
                      <a:noFill/>
                      <a:ln w="222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CF89EF2" id="Line 4"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46.7pt" to="180.7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T1HgIAADYEAAAOAAAAZHJzL2Uyb0RvYy54bWysU02P2yAQvVfqf0DcE9uJN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" o:allowincell="f" strokecolor="#36f" strokeweight="1.7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31E" w:rsidRPr="00E936EC" w:rsidRDefault="00D4531E">
    <w:pPr>
      <w:pStyle w:val="Cabealho"/>
      <w:rPr>
        <w:rFonts w:ascii="Arial" w:hAnsi="Arial"/>
        <w:sz w:val="19"/>
        <w:szCs w:val="19"/>
      </w:rPr>
    </w:pPr>
    <w:r w:rsidRPr="00E936EC">
      <w:rPr>
        <w:rFonts w:ascii="Arial" w:hAnsi="Arial"/>
        <w:noProof/>
        <w:snapToGrid/>
        <w:sz w:val="18"/>
        <w:szCs w:val="18"/>
      </w:rPr>
      <w:drawing>
        <wp:anchor distT="0" distB="0" distL="114300" distR="114300" simplePos="0" relativeHeight="251659776" behindDoc="0" locked="0" layoutInCell="0" allowOverlap="1">
          <wp:simplePos x="0" y="0"/>
          <wp:positionH relativeFrom="column">
            <wp:posOffset>1000125</wp:posOffset>
          </wp:positionH>
          <wp:positionV relativeFrom="paragraph">
            <wp:posOffset>-84455</wp:posOffset>
          </wp:positionV>
          <wp:extent cx="4319905" cy="906780"/>
          <wp:effectExtent l="0" t="0" r="0" b="762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9905"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531E" w:rsidRPr="00E936EC" w:rsidRDefault="00D4531E">
    <w:pPr>
      <w:pStyle w:val="Cabealho"/>
      <w:rPr>
        <w:rFonts w:ascii="Arial" w:hAnsi="Arial"/>
        <w:sz w:val="19"/>
        <w:szCs w:val="19"/>
      </w:rPr>
    </w:pPr>
  </w:p>
  <w:p w:rsidR="00D4531E" w:rsidRPr="00E936EC" w:rsidRDefault="00D4531E">
    <w:pPr>
      <w:pStyle w:val="Cabealho"/>
      <w:rPr>
        <w:rFonts w:ascii="Arial" w:hAnsi="Arial"/>
        <w:sz w:val="19"/>
        <w:szCs w:val="19"/>
      </w:rPr>
    </w:pPr>
  </w:p>
  <w:p w:rsidR="00D4531E" w:rsidRPr="00E936EC" w:rsidRDefault="00D4531E">
    <w:pPr>
      <w:pStyle w:val="Cabealho"/>
      <w:rPr>
        <w:rFonts w:ascii="Arial" w:hAnsi="Arial"/>
        <w:sz w:val="19"/>
        <w:szCs w:val="19"/>
      </w:rPr>
    </w:pPr>
  </w:p>
  <w:p w:rsidR="00D4531E" w:rsidRPr="00E936EC" w:rsidRDefault="00D4531E">
    <w:pPr>
      <w:pStyle w:val="Cabealho"/>
      <w:tabs>
        <w:tab w:val="clear" w:pos="4419"/>
        <w:tab w:val="clear" w:pos="8838"/>
        <w:tab w:val="left" w:pos="4970"/>
        <w:tab w:val="left" w:pos="5375"/>
      </w:tabs>
      <w:rPr>
        <w:rFonts w:ascii="Arial" w:hAnsi="Arial"/>
        <w:sz w:val="19"/>
        <w:szCs w:val="19"/>
      </w:rPr>
    </w:pPr>
    <w:r>
      <w:rPr>
        <w:rFonts w:ascii="Arial" w:hAnsi="Arial"/>
        <w:noProof/>
        <w:snapToGrid/>
        <w:sz w:val="18"/>
        <w:szCs w:val="18"/>
      </w:rPr>
      <mc:AlternateContent>
        <mc:Choice Requires="wps">
          <w:drawing>
            <wp:anchor distT="0" distB="0" distL="114300" distR="114300" simplePos="0" relativeHeight="251666944" behindDoc="0" locked="0" layoutInCell="0" allowOverlap="1">
              <wp:simplePos x="0" y="0"/>
              <wp:positionH relativeFrom="column">
                <wp:posOffset>3874135</wp:posOffset>
              </wp:positionH>
              <wp:positionV relativeFrom="paragraph">
                <wp:posOffset>200660</wp:posOffset>
              </wp:positionV>
              <wp:extent cx="1600200" cy="123825"/>
              <wp:effectExtent l="0" t="0" r="0" b="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3825"/>
                      </a:xfrm>
                      <a:prstGeom prst="rect">
                        <a:avLst/>
                      </a:prstGeom>
                      <a:solidFill>
                        <a:srgbClr val="FFFFFF"/>
                      </a:solidFill>
                      <a:ln w="3175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F28BEB1" id="Rectangle 23" o:spid="_x0000_s1026" style="position:absolute;margin-left:305.05pt;margin-top:15.8pt;width:126pt;height: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" o:allowincell="f" strokecolor="white" strokeweight="2.5pt">
              <v:shadow color="#868686"/>
            </v:rect>
          </w:pict>
        </mc:Fallback>
      </mc:AlternateContent>
    </w:r>
    <w:r>
      <w:rPr>
        <w:rFonts w:ascii="Arial" w:hAnsi="Arial"/>
        <w:noProof/>
        <w:snapToGrid/>
        <w:sz w:val="18"/>
        <w:szCs w:val="18"/>
      </w:rPr>
      <mc:AlternateContent>
        <mc:Choice Requires="wps">
          <w:drawing>
            <wp:anchor distT="0" distB="0" distL="114300" distR="114300" simplePos="0" relativeHeight="251665920" behindDoc="0" locked="0" layoutInCell="0" allowOverlap="1">
              <wp:simplePos x="0" y="0"/>
              <wp:positionH relativeFrom="column">
                <wp:posOffset>873760</wp:posOffset>
              </wp:positionH>
              <wp:positionV relativeFrom="paragraph">
                <wp:posOffset>200660</wp:posOffset>
              </wp:positionV>
              <wp:extent cx="1600200" cy="123825"/>
              <wp:effectExtent l="0" t="0" r="0" b="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3825"/>
                      </a:xfrm>
                      <a:prstGeom prst="rect">
                        <a:avLst/>
                      </a:prstGeom>
                      <a:solidFill>
                        <a:srgbClr val="FFFFFF"/>
                      </a:solidFill>
                      <a:ln w="3175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A04D7A8" id="Rectangle 22" o:spid="_x0000_s1026" style="position:absolute;margin-left:68.8pt;margin-top:15.8pt;width:126pt;height: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" o:allowincell="f" strokecolor="white" strokeweight="2.5pt">
              <v:shadow color="#868686"/>
            </v:rect>
          </w:pict>
        </mc:Fallback>
      </mc:AlternateContent>
    </w:r>
    <w:r w:rsidRPr="00E936EC">
      <w:rPr>
        <w:rFonts w:ascii="Arial" w:hAnsi="Arial"/>
        <w:noProof/>
        <w:snapToGrid/>
        <w:sz w:val="18"/>
        <w:szCs w:val="18"/>
      </w:rPr>
      <mc:AlternateContent>
        <mc:Choice Requires="wps">
          <w:drawing>
            <wp:anchor distT="0" distB="0" distL="114300" distR="114300" simplePos="0" relativeHeight="251657728" behindDoc="0" locked="0" layoutInCell="0" allowOverlap="1">
              <wp:simplePos x="0" y="0"/>
              <wp:positionH relativeFrom="column">
                <wp:posOffset>194310</wp:posOffset>
              </wp:positionH>
              <wp:positionV relativeFrom="paragraph">
                <wp:posOffset>34290</wp:posOffset>
              </wp:positionV>
              <wp:extent cx="2133600" cy="127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1270"/>
                      </a:xfrm>
                      <a:prstGeom prst="line">
                        <a:avLst/>
                      </a:prstGeom>
                      <a:noFill/>
                      <a:ln w="222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9D150D1" id="Line 1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7pt" to="183.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" o:allowincell="f" strokecolor="#36f" strokeweight="1.75pt"/>
          </w:pict>
        </mc:Fallback>
      </mc:AlternateContent>
    </w:r>
    <w:r w:rsidRPr="00E936EC">
      <w:rPr>
        <w:rFonts w:ascii="Arial" w:hAnsi="Arial"/>
        <w:noProof/>
        <w:snapToGrid/>
        <w:sz w:val="18"/>
        <w:szCs w:val="18"/>
      </w:rPr>
      <mc:AlternateContent>
        <mc:Choice Requires="wps">
          <w:drawing>
            <wp:anchor distT="0" distB="0" distL="114300" distR="114300" simplePos="0" relativeHeight="251658752" behindDoc="0" locked="0" layoutInCell="0" allowOverlap="1">
              <wp:simplePos x="0" y="0"/>
              <wp:positionH relativeFrom="column">
                <wp:posOffset>3820160</wp:posOffset>
              </wp:positionH>
              <wp:positionV relativeFrom="paragraph">
                <wp:posOffset>22860</wp:posOffset>
              </wp:positionV>
              <wp:extent cx="2134870"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870" cy="0"/>
                      </a:xfrm>
                      <a:prstGeom prst="line">
                        <a:avLst/>
                      </a:prstGeom>
                      <a:noFill/>
                      <a:ln w="222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FE357C3"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8pt,1.8pt" to="468.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" o:allowincell="f" strokecolor="#36f" strokeweight="1.75pt"/>
          </w:pict>
        </mc:Fallback>
      </mc:AlternateContent>
    </w:r>
    <w:r w:rsidRPr="00E936EC">
      <w:rPr>
        <w:rFonts w:ascii="Arial" w:hAnsi="Arial"/>
        <w:sz w:val="19"/>
        <w:szCs w:val="19"/>
      </w:rPr>
      <w:tab/>
    </w:r>
    <w:r w:rsidRPr="00E936EC">
      <w:rPr>
        <w:rFonts w:ascii="Arial" w:hAnsi="Arial"/>
        <w:sz w:val="19"/>
        <w:szCs w:val="19"/>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733B7"/>
    <w:multiLevelType w:val="multilevel"/>
    <w:tmpl w:val="3D22CE90"/>
    <w:lvl w:ilvl="0">
      <w:start w:val="18"/>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024B17B8"/>
    <w:multiLevelType w:val="multilevel"/>
    <w:tmpl w:val="F1E8E7A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i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nsid w:val="068C5E29"/>
    <w:multiLevelType w:val="hybridMultilevel"/>
    <w:tmpl w:val="995A7F5E"/>
    <w:lvl w:ilvl="0" w:tplc="59989924">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nsid w:val="098C62B0"/>
    <w:multiLevelType w:val="multilevel"/>
    <w:tmpl w:val="8A1256E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0BC11CAC"/>
    <w:multiLevelType w:val="hybridMultilevel"/>
    <w:tmpl w:val="5C906C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4356AC4"/>
    <w:multiLevelType w:val="multilevel"/>
    <w:tmpl w:val="F1E8E7A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i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nsid w:val="177805A5"/>
    <w:multiLevelType w:val="hybridMultilevel"/>
    <w:tmpl w:val="468CBB6A"/>
    <w:lvl w:ilvl="0" w:tplc="7E481998">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nsid w:val="1BBC3473"/>
    <w:multiLevelType w:val="hybridMultilevel"/>
    <w:tmpl w:val="A08EF38A"/>
    <w:lvl w:ilvl="0" w:tplc="35043F2C">
      <w:start w:val="2005"/>
      <w:numFmt w:val="decimal"/>
      <w:lvlText w:val="%1"/>
      <w:lvlJc w:val="left"/>
      <w:pPr>
        <w:tabs>
          <w:tab w:val="num" w:pos="8160"/>
        </w:tabs>
        <w:ind w:left="8160" w:hanging="2160"/>
      </w:pPr>
      <w:rPr>
        <w:rFonts w:hint="default"/>
        <w:u w:val="single"/>
      </w:rPr>
    </w:lvl>
    <w:lvl w:ilvl="1" w:tplc="09EE539A" w:tentative="1">
      <w:start w:val="1"/>
      <w:numFmt w:val="lowerLetter"/>
      <w:lvlText w:val="%2."/>
      <w:lvlJc w:val="left"/>
      <w:pPr>
        <w:tabs>
          <w:tab w:val="num" w:pos="7080"/>
        </w:tabs>
        <w:ind w:left="7080" w:hanging="360"/>
      </w:pPr>
    </w:lvl>
    <w:lvl w:ilvl="2" w:tplc="CBD40928" w:tentative="1">
      <w:start w:val="1"/>
      <w:numFmt w:val="lowerRoman"/>
      <w:lvlText w:val="%3."/>
      <w:lvlJc w:val="right"/>
      <w:pPr>
        <w:tabs>
          <w:tab w:val="num" w:pos="7800"/>
        </w:tabs>
        <w:ind w:left="7800" w:hanging="180"/>
      </w:pPr>
    </w:lvl>
    <w:lvl w:ilvl="3" w:tplc="84B22120" w:tentative="1">
      <w:start w:val="1"/>
      <w:numFmt w:val="decimal"/>
      <w:lvlText w:val="%4."/>
      <w:lvlJc w:val="left"/>
      <w:pPr>
        <w:tabs>
          <w:tab w:val="num" w:pos="8520"/>
        </w:tabs>
        <w:ind w:left="8520" w:hanging="360"/>
      </w:pPr>
    </w:lvl>
    <w:lvl w:ilvl="4" w:tplc="4FB67D48" w:tentative="1">
      <w:start w:val="1"/>
      <w:numFmt w:val="lowerLetter"/>
      <w:lvlText w:val="%5."/>
      <w:lvlJc w:val="left"/>
      <w:pPr>
        <w:tabs>
          <w:tab w:val="num" w:pos="9240"/>
        </w:tabs>
        <w:ind w:left="9240" w:hanging="360"/>
      </w:pPr>
    </w:lvl>
    <w:lvl w:ilvl="5" w:tplc="BAE6BCC8" w:tentative="1">
      <w:start w:val="1"/>
      <w:numFmt w:val="lowerRoman"/>
      <w:lvlText w:val="%6."/>
      <w:lvlJc w:val="right"/>
      <w:pPr>
        <w:tabs>
          <w:tab w:val="num" w:pos="9960"/>
        </w:tabs>
        <w:ind w:left="9960" w:hanging="180"/>
      </w:pPr>
    </w:lvl>
    <w:lvl w:ilvl="6" w:tplc="B5FAE032" w:tentative="1">
      <w:start w:val="1"/>
      <w:numFmt w:val="decimal"/>
      <w:lvlText w:val="%7."/>
      <w:lvlJc w:val="left"/>
      <w:pPr>
        <w:tabs>
          <w:tab w:val="num" w:pos="10680"/>
        </w:tabs>
        <w:ind w:left="10680" w:hanging="360"/>
      </w:pPr>
    </w:lvl>
    <w:lvl w:ilvl="7" w:tplc="7D92AEF8" w:tentative="1">
      <w:start w:val="1"/>
      <w:numFmt w:val="lowerLetter"/>
      <w:lvlText w:val="%8."/>
      <w:lvlJc w:val="left"/>
      <w:pPr>
        <w:tabs>
          <w:tab w:val="num" w:pos="11400"/>
        </w:tabs>
        <w:ind w:left="11400" w:hanging="360"/>
      </w:pPr>
    </w:lvl>
    <w:lvl w:ilvl="8" w:tplc="E274148C" w:tentative="1">
      <w:start w:val="1"/>
      <w:numFmt w:val="lowerRoman"/>
      <w:lvlText w:val="%9."/>
      <w:lvlJc w:val="right"/>
      <w:pPr>
        <w:tabs>
          <w:tab w:val="num" w:pos="12120"/>
        </w:tabs>
        <w:ind w:left="12120" w:hanging="180"/>
      </w:pPr>
    </w:lvl>
  </w:abstractNum>
  <w:abstractNum w:abstractNumId="8">
    <w:nsid w:val="1BFF38EA"/>
    <w:multiLevelType w:val="hybridMultilevel"/>
    <w:tmpl w:val="04C2F7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D881E5B"/>
    <w:multiLevelType w:val="multilevel"/>
    <w:tmpl w:val="75326D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E4E5018"/>
    <w:multiLevelType w:val="hybridMultilevel"/>
    <w:tmpl w:val="EBA6E39C"/>
    <w:lvl w:ilvl="0" w:tplc="14AC55F0">
      <w:start w:val="1"/>
      <w:numFmt w:val="bullet"/>
      <w:lvlText w:val=""/>
      <w:lvlJc w:val="righ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236F1371"/>
    <w:multiLevelType w:val="multilevel"/>
    <w:tmpl w:val="75326D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9816B83"/>
    <w:multiLevelType w:val="multilevel"/>
    <w:tmpl w:val="9D16D32E"/>
    <w:lvl w:ilvl="0">
      <w:start w:val="17"/>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3">
    <w:nsid w:val="34CE71DC"/>
    <w:multiLevelType w:val="hybridMultilevel"/>
    <w:tmpl w:val="B5EEE3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9B62A2F"/>
    <w:multiLevelType w:val="multilevel"/>
    <w:tmpl w:val="FDDEDE0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9ED6A8E"/>
    <w:multiLevelType w:val="hybridMultilevel"/>
    <w:tmpl w:val="404279BA"/>
    <w:lvl w:ilvl="0" w:tplc="4934A7AE">
      <w:start w:val="5"/>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1911703"/>
    <w:multiLevelType w:val="multilevel"/>
    <w:tmpl w:val="E35036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5673B09"/>
    <w:multiLevelType w:val="hybridMultilevel"/>
    <w:tmpl w:val="BDC6D21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C6F021E"/>
    <w:multiLevelType w:val="multilevel"/>
    <w:tmpl w:val="F1E8E7A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i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nsid w:val="4C7610D3"/>
    <w:multiLevelType w:val="hybridMultilevel"/>
    <w:tmpl w:val="139C91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CB90EA2"/>
    <w:multiLevelType w:val="multilevel"/>
    <w:tmpl w:val="F1E8E7A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i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1">
    <w:nsid w:val="52CC2B79"/>
    <w:multiLevelType w:val="singleLevel"/>
    <w:tmpl w:val="E9FE3E8E"/>
    <w:lvl w:ilvl="0">
      <w:start w:val="1"/>
      <w:numFmt w:val="lowerLetter"/>
      <w:lvlText w:val="%1)"/>
      <w:lvlJc w:val="left"/>
      <w:pPr>
        <w:tabs>
          <w:tab w:val="num" w:pos="1353"/>
        </w:tabs>
        <w:ind w:left="1353" w:hanging="360"/>
      </w:pPr>
      <w:rPr>
        <w:rFonts w:hint="default"/>
        <w:u w:val="none"/>
      </w:rPr>
    </w:lvl>
  </w:abstractNum>
  <w:abstractNum w:abstractNumId="22">
    <w:nsid w:val="61414C40"/>
    <w:multiLevelType w:val="multilevel"/>
    <w:tmpl w:val="EB3882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24D683A"/>
    <w:multiLevelType w:val="multilevel"/>
    <w:tmpl w:val="9E80FCC4"/>
    <w:lvl w:ilvl="0">
      <w:start w:val="19"/>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nsid w:val="65DB44F5"/>
    <w:multiLevelType w:val="hybridMultilevel"/>
    <w:tmpl w:val="14AA12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63604CE"/>
    <w:multiLevelType w:val="hybridMultilevel"/>
    <w:tmpl w:val="DFCC59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BAF6FD8"/>
    <w:multiLevelType w:val="multilevel"/>
    <w:tmpl w:val="052259FA"/>
    <w:lvl w:ilvl="0">
      <w:start w:val="18"/>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nsid w:val="6CF716E5"/>
    <w:multiLevelType w:val="multilevel"/>
    <w:tmpl w:val="75326D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1"/>
    <w:lvlOverride w:ilvl="0">
      <w:startOverride w:val="1"/>
    </w:lvlOverride>
  </w:num>
  <w:num w:numId="2">
    <w:abstractNumId w:val="3"/>
  </w:num>
  <w:num w:numId="3">
    <w:abstractNumId w:val="7"/>
  </w:num>
  <w:num w:numId="4">
    <w:abstractNumId w:val="17"/>
  </w:num>
  <w:num w:numId="5">
    <w:abstractNumId w:val="18"/>
  </w:num>
  <w:num w:numId="6">
    <w:abstractNumId w:val="15"/>
  </w:num>
  <w:num w:numId="7">
    <w:abstractNumId w:val="6"/>
  </w:num>
  <w:num w:numId="8">
    <w:abstractNumId w:val="20"/>
  </w:num>
  <w:num w:numId="9">
    <w:abstractNumId w:val="8"/>
  </w:num>
  <w:num w:numId="10">
    <w:abstractNumId w:val="4"/>
  </w:num>
  <w:num w:numId="11">
    <w:abstractNumId w:val="19"/>
  </w:num>
  <w:num w:numId="12">
    <w:abstractNumId w:val="5"/>
  </w:num>
  <w:num w:numId="13">
    <w:abstractNumId w:val="1"/>
  </w:num>
  <w:num w:numId="14">
    <w:abstractNumId w:val="12"/>
  </w:num>
  <w:num w:numId="15">
    <w:abstractNumId w:val="0"/>
  </w:num>
  <w:num w:numId="16">
    <w:abstractNumId w:val="13"/>
  </w:num>
  <w:num w:numId="17">
    <w:abstractNumId w:val="9"/>
  </w:num>
  <w:num w:numId="18">
    <w:abstractNumId w:val="23"/>
  </w:num>
  <w:num w:numId="19">
    <w:abstractNumId w:val="26"/>
  </w:num>
  <w:num w:numId="20">
    <w:abstractNumId w:val="25"/>
  </w:num>
  <w:num w:numId="21">
    <w:abstractNumId w:val="27"/>
  </w:num>
  <w:num w:numId="22">
    <w:abstractNumId w:val="11"/>
  </w:num>
  <w:num w:numId="23">
    <w:abstractNumId w:val="22"/>
  </w:num>
  <w:num w:numId="24">
    <w:abstractNumId w:val="16"/>
  </w:num>
  <w:num w:numId="25">
    <w:abstractNumId w:val="14"/>
  </w:num>
  <w:num w:numId="26">
    <w:abstractNumId w:val="2"/>
  </w:num>
  <w:num w:numId="27">
    <w:abstractNumId w:val="2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pt-BR" w:vendorID="64" w:dllVersion="131078" w:nlCheck="1" w:checkStyle="0"/>
  <w:activeWritingStyle w:appName="MSWord" w:lang="en-US" w:vendorID="64" w:dllVersion="131078" w:nlCheck="1" w:checkStyle="0"/>
  <w:proofState w:spelling="clean" w:grammar="clean"/>
  <w:defaultTabStop w:val="142"/>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o:allowincell="f" fill="f" fillcolor="white" stroke="f" strokecolor="none [3212]">
      <v:fill color="white" on="f"/>
      <v:stroke color="none [3212]" weight="0"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596"/>
    <w:rsid w:val="00000E72"/>
    <w:rsid w:val="000016CA"/>
    <w:rsid w:val="00002CA7"/>
    <w:rsid w:val="00003BDB"/>
    <w:rsid w:val="000042CF"/>
    <w:rsid w:val="00004D2D"/>
    <w:rsid w:val="0000508D"/>
    <w:rsid w:val="000057B8"/>
    <w:rsid w:val="000062AB"/>
    <w:rsid w:val="000066C8"/>
    <w:rsid w:val="00007932"/>
    <w:rsid w:val="00007AA9"/>
    <w:rsid w:val="00007E2D"/>
    <w:rsid w:val="000104A9"/>
    <w:rsid w:val="0001201E"/>
    <w:rsid w:val="00012D15"/>
    <w:rsid w:val="000136D0"/>
    <w:rsid w:val="0001404D"/>
    <w:rsid w:val="00014E44"/>
    <w:rsid w:val="000152AE"/>
    <w:rsid w:val="000160DD"/>
    <w:rsid w:val="00021231"/>
    <w:rsid w:val="00021401"/>
    <w:rsid w:val="00021B9C"/>
    <w:rsid w:val="00021C1D"/>
    <w:rsid w:val="000223D7"/>
    <w:rsid w:val="00023EAB"/>
    <w:rsid w:val="00023FDC"/>
    <w:rsid w:val="00024192"/>
    <w:rsid w:val="00024479"/>
    <w:rsid w:val="00024B8B"/>
    <w:rsid w:val="00025AB9"/>
    <w:rsid w:val="00027435"/>
    <w:rsid w:val="00027744"/>
    <w:rsid w:val="00030FD3"/>
    <w:rsid w:val="00033393"/>
    <w:rsid w:val="00033EF0"/>
    <w:rsid w:val="00035920"/>
    <w:rsid w:val="00036322"/>
    <w:rsid w:val="000372E3"/>
    <w:rsid w:val="0003782C"/>
    <w:rsid w:val="00040CF5"/>
    <w:rsid w:val="00040E4F"/>
    <w:rsid w:val="0004124E"/>
    <w:rsid w:val="000414F4"/>
    <w:rsid w:val="00043160"/>
    <w:rsid w:val="0004363C"/>
    <w:rsid w:val="00044057"/>
    <w:rsid w:val="000451F4"/>
    <w:rsid w:val="00045A90"/>
    <w:rsid w:val="0004656E"/>
    <w:rsid w:val="00046708"/>
    <w:rsid w:val="0005099F"/>
    <w:rsid w:val="00052952"/>
    <w:rsid w:val="00052DE7"/>
    <w:rsid w:val="00052FC4"/>
    <w:rsid w:val="00054247"/>
    <w:rsid w:val="00054375"/>
    <w:rsid w:val="00054DC6"/>
    <w:rsid w:val="000560AC"/>
    <w:rsid w:val="000571C8"/>
    <w:rsid w:val="000604CA"/>
    <w:rsid w:val="00060B4C"/>
    <w:rsid w:val="00061761"/>
    <w:rsid w:val="00061BD3"/>
    <w:rsid w:val="00061F25"/>
    <w:rsid w:val="000620E3"/>
    <w:rsid w:val="00063D5D"/>
    <w:rsid w:val="00063E0B"/>
    <w:rsid w:val="0006417B"/>
    <w:rsid w:val="000650BF"/>
    <w:rsid w:val="00065647"/>
    <w:rsid w:val="00065E65"/>
    <w:rsid w:val="000674C5"/>
    <w:rsid w:val="00067A01"/>
    <w:rsid w:val="00067B4B"/>
    <w:rsid w:val="000703AF"/>
    <w:rsid w:val="00070C76"/>
    <w:rsid w:val="00071F7B"/>
    <w:rsid w:val="00072555"/>
    <w:rsid w:val="0007307D"/>
    <w:rsid w:val="00073612"/>
    <w:rsid w:val="00073AF7"/>
    <w:rsid w:val="00074385"/>
    <w:rsid w:val="00075113"/>
    <w:rsid w:val="0007514B"/>
    <w:rsid w:val="00075941"/>
    <w:rsid w:val="000778D2"/>
    <w:rsid w:val="00080319"/>
    <w:rsid w:val="000807E9"/>
    <w:rsid w:val="00080F76"/>
    <w:rsid w:val="00081462"/>
    <w:rsid w:val="0008233F"/>
    <w:rsid w:val="000831FD"/>
    <w:rsid w:val="000834BE"/>
    <w:rsid w:val="000836A7"/>
    <w:rsid w:val="00083E7F"/>
    <w:rsid w:val="00085185"/>
    <w:rsid w:val="00085828"/>
    <w:rsid w:val="00086915"/>
    <w:rsid w:val="00087833"/>
    <w:rsid w:val="00087A19"/>
    <w:rsid w:val="00090B73"/>
    <w:rsid w:val="00091005"/>
    <w:rsid w:val="00092085"/>
    <w:rsid w:val="00092591"/>
    <w:rsid w:val="00093B60"/>
    <w:rsid w:val="00094368"/>
    <w:rsid w:val="000943B2"/>
    <w:rsid w:val="00096CBC"/>
    <w:rsid w:val="00097F0A"/>
    <w:rsid w:val="000A0483"/>
    <w:rsid w:val="000A0820"/>
    <w:rsid w:val="000A09DC"/>
    <w:rsid w:val="000A0CB5"/>
    <w:rsid w:val="000A1153"/>
    <w:rsid w:val="000A14AC"/>
    <w:rsid w:val="000A1A80"/>
    <w:rsid w:val="000A3D7D"/>
    <w:rsid w:val="000A458E"/>
    <w:rsid w:val="000A56AA"/>
    <w:rsid w:val="000A598D"/>
    <w:rsid w:val="000A7171"/>
    <w:rsid w:val="000A7D5A"/>
    <w:rsid w:val="000B03BA"/>
    <w:rsid w:val="000B1DEA"/>
    <w:rsid w:val="000B2242"/>
    <w:rsid w:val="000B5B5E"/>
    <w:rsid w:val="000B5C34"/>
    <w:rsid w:val="000B6CBF"/>
    <w:rsid w:val="000C09EA"/>
    <w:rsid w:val="000C2393"/>
    <w:rsid w:val="000C254E"/>
    <w:rsid w:val="000C2F9B"/>
    <w:rsid w:val="000C390E"/>
    <w:rsid w:val="000C3DFA"/>
    <w:rsid w:val="000C5558"/>
    <w:rsid w:val="000C5C01"/>
    <w:rsid w:val="000C657F"/>
    <w:rsid w:val="000C7186"/>
    <w:rsid w:val="000D0352"/>
    <w:rsid w:val="000D03C8"/>
    <w:rsid w:val="000D1242"/>
    <w:rsid w:val="000D3031"/>
    <w:rsid w:val="000D34B0"/>
    <w:rsid w:val="000D3FF3"/>
    <w:rsid w:val="000D50E4"/>
    <w:rsid w:val="000D53EB"/>
    <w:rsid w:val="000D56D5"/>
    <w:rsid w:val="000E1F2C"/>
    <w:rsid w:val="000E32C9"/>
    <w:rsid w:val="000E4A45"/>
    <w:rsid w:val="000E4DE3"/>
    <w:rsid w:val="000E502D"/>
    <w:rsid w:val="000E535D"/>
    <w:rsid w:val="000E5B1E"/>
    <w:rsid w:val="000E6B14"/>
    <w:rsid w:val="000E6B24"/>
    <w:rsid w:val="000E6E23"/>
    <w:rsid w:val="000E6FFC"/>
    <w:rsid w:val="000E7C87"/>
    <w:rsid w:val="000E7F2E"/>
    <w:rsid w:val="000F1633"/>
    <w:rsid w:val="000F186C"/>
    <w:rsid w:val="000F3F02"/>
    <w:rsid w:val="000F51E5"/>
    <w:rsid w:val="000F5B7A"/>
    <w:rsid w:val="000F6BC7"/>
    <w:rsid w:val="000F6E01"/>
    <w:rsid w:val="0010263C"/>
    <w:rsid w:val="001061D7"/>
    <w:rsid w:val="0010653C"/>
    <w:rsid w:val="00107E03"/>
    <w:rsid w:val="0011024F"/>
    <w:rsid w:val="0011080B"/>
    <w:rsid w:val="00110CF3"/>
    <w:rsid w:val="00114BE0"/>
    <w:rsid w:val="00114C94"/>
    <w:rsid w:val="001159F8"/>
    <w:rsid w:val="001163F0"/>
    <w:rsid w:val="00116D7B"/>
    <w:rsid w:val="0012075E"/>
    <w:rsid w:val="00120A36"/>
    <w:rsid w:val="0012137D"/>
    <w:rsid w:val="001216CE"/>
    <w:rsid w:val="0012192C"/>
    <w:rsid w:val="0012221C"/>
    <w:rsid w:val="00122C06"/>
    <w:rsid w:val="00124C08"/>
    <w:rsid w:val="0012521A"/>
    <w:rsid w:val="001279DF"/>
    <w:rsid w:val="00130C9E"/>
    <w:rsid w:val="0013153B"/>
    <w:rsid w:val="001328F7"/>
    <w:rsid w:val="00132D5C"/>
    <w:rsid w:val="00133904"/>
    <w:rsid w:val="00134247"/>
    <w:rsid w:val="001342A9"/>
    <w:rsid w:val="00134FE5"/>
    <w:rsid w:val="00135172"/>
    <w:rsid w:val="001368B0"/>
    <w:rsid w:val="00137EDD"/>
    <w:rsid w:val="00137FAC"/>
    <w:rsid w:val="00141022"/>
    <w:rsid w:val="0014189A"/>
    <w:rsid w:val="001429C0"/>
    <w:rsid w:val="00143EB6"/>
    <w:rsid w:val="00147707"/>
    <w:rsid w:val="001501FC"/>
    <w:rsid w:val="001508BC"/>
    <w:rsid w:val="0015090B"/>
    <w:rsid w:val="00150E62"/>
    <w:rsid w:val="00151481"/>
    <w:rsid w:val="00153B01"/>
    <w:rsid w:val="00153B3C"/>
    <w:rsid w:val="00157F19"/>
    <w:rsid w:val="00161F48"/>
    <w:rsid w:val="001621DD"/>
    <w:rsid w:val="00162C45"/>
    <w:rsid w:val="00163699"/>
    <w:rsid w:val="001637D8"/>
    <w:rsid w:val="001644A6"/>
    <w:rsid w:val="00165346"/>
    <w:rsid w:val="0016555C"/>
    <w:rsid w:val="001656CB"/>
    <w:rsid w:val="0016723F"/>
    <w:rsid w:val="00167D52"/>
    <w:rsid w:val="00167DF4"/>
    <w:rsid w:val="0017039C"/>
    <w:rsid w:val="0017083A"/>
    <w:rsid w:val="00170E50"/>
    <w:rsid w:val="00171E12"/>
    <w:rsid w:val="00171E69"/>
    <w:rsid w:val="00173E77"/>
    <w:rsid w:val="00174345"/>
    <w:rsid w:val="00176839"/>
    <w:rsid w:val="00176CAD"/>
    <w:rsid w:val="00177B3F"/>
    <w:rsid w:val="00177EA3"/>
    <w:rsid w:val="001807AC"/>
    <w:rsid w:val="00180D19"/>
    <w:rsid w:val="00181D77"/>
    <w:rsid w:val="00183137"/>
    <w:rsid w:val="0018356D"/>
    <w:rsid w:val="00184338"/>
    <w:rsid w:val="0018494B"/>
    <w:rsid w:val="00184A68"/>
    <w:rsid w:val="0018591A"/>
    <w:rsid w:val="001872AB"/>
    <w:rsid w:val="001873E7"/>
    <w:rsid w:val="00187847"/>
    <w:rsid w:val="00192B5B"/>
    <w:rsid w:val="00194860"/>
    <w:rsid w:val="00194F28"/>
    <w:rsid w:val="00195C1D"/>
    <w:rsid w:val="001968AF"/>
    <w:rsid w:val="00196E9F"/>
    <w:rsid w:val="00197369"/>
    <w:rsid w:val="001977F8"/>
    <w:rsid w:val="00197D3F"/>
    <w:rsid w:val="001A0042"/>
    <w:rsid w:val="001A0947"/>
    <w:rsid w:val="001A0A2C"/>
    <w:rsid w:val="001A0B74"/>
    <w:rsid w:val="001A0C57"/>
    <w:rsid w:val="001A1D5F"/>
    <w:rsid w:val="001A2B06"/>
    <w:rsid w:val="001A3B52"/>
    <w:rsid w:val="001A3E73"/>
    <w:rsid w:val="001A44D1"/>
    <w:rsid w:val="001A4FDC"/>
    <w:rsid w:val="001A6352"/>
    <w:rsid w:val="001A7A18"/>
    <w:rsid w:val="001A7B8E"/>
    <w:rsid w:val="001B0AF9"/>
    <w:rsid w:val="001B1326"/>
    <w:rsid w:val="001B28D7"/>
    <w:rsid w:val="001B3545"/>
    <w:rsid w:val="001B3D20"/>
    <w:rsid w:val="001B428A"/>
    <w:rsid w:val="001B5476"/>
    <w:rsid w:val="001B6C63"/>
    <w:rsid w:val="001B7407"/>
    <w:rsid w:val="001C0C95"/>
    <w:rsid w:val="001C0FBF"/>
    <w:rsid w:val="001C1D10"/>
    <w:rsid w:val="001C2378"/>
    <w:rsid w:val="001C2BAF"/>
    <w:rsid w:val="001C3830"/>
    <w:rsid w:val="001C3973"/>
    <w:rsid w:val="001C3A13"/>
    <w:rsid w:val="001C425C"/>
    <w:rsid w:val="001C4695"/>
    <w:rsid w:val="001C59B4"/>
    <w:rsid w:val="001C60A0"/>
    <w:rsid w:val="001D1288"/>
    <w:rsid w:val="001D168D"/>
    <w:rsid w:val="001D17C2"/>
    <w:rsid w:val="001D29C6"/>
    <w:rsid w:val="001D37D4"/>
    <w:rsid w:val="001D3B68"/>
    <w:rsid w:val="001D4EEF"/>
    <w:rsid w:val="001D4F78"/>
    <w:rsid w:val="001D56E0"/>
    <w:rsid w:val="001D5CF9"/>
    <w:rsid w:val="001D6E0F"/>
    <w:rsid w:val="001D7380"/>
    <w:rsid w:val="001D7382"/>
    <w:rsid w:val="001D761F"/>
    <w:rsid w:val="001E0449"/>
    <w:rsid w:val="001E100A"/>
    <w:rsid w:val="001E11CE"/>
    <w:rsid w:val="001E1C88"/>
    <w:rsid w:val="001E1E19"/>
    <w:rsid w:val="001E3615"/>
    <w:rsid w:val="001E37A0"/>
    <w:rsid w:val="001E39A7"/>
    <w:rsid w:val="001E3E04"/>
    <w:rsid w:val="001E46F4"/>
    <w:rsid w:val="001E6566"/>
    <w:rsid w:val="001F0344"/>
    <w:rsid w:val="001F0511"/>
    <w:rsid w:val="001F18C9"/>
    <w:rsid w:val="001F19E0"/>
    <w:rsid w:val="001F2A28"/>
    <w:rsid w:val="001F3279"/>
    <w:rsid w:val="001F5D9F"/>
    <w:rsid w:val="001F62A0"/>
    <w:rsid w:val="001F63A7"/>
    <w:rsid w:val="001F69B0"/>
    <w:rsid w:val="001F6F1F"/>
    <w:rsid w:val="002003EF"/>
    <w:rsid w:val="002042A9"/>
    <w:rsid w:val="002053A1"/>
    <w:rsid w:val="002057B2"/>
    <w:rsid w:val="00205817"/>
    <w:rsid w:val="002060DA"/>
    <w:rsid w:val="00206CBA"/>
    <w:rsid w:val="002070DB"/>
    <w:rsid w:val="002076AA"/>
    <w:rsid w:val="00207CBA"/>
    <w:rsid w:val="0021042F"/>
    <w:rsid w:val="00210AE9"/>
    <w:rsid w:val="00212000"/>
    <w:rsid w:val="002127CF"/>
    <w:rsid w:val="00213DB4"/>
    <w:rsid w:val="002142F3"/>
    <w:rsid w:val="0021517B"/>
    <w:rsid w:val="00215501"/>
    <w:rsid w:val="0021680F"/>
    <w:rsid w:val="00217A0E"/>
    <w:rsid w:val="00220E93"/>
    <w:rsid w:val="00221B1F"/>
    <w:rsid w:val="00221E9F"/>
    <w:rsid w:val="0022330E"/>
    <w:rsid w:val="0022426B"/>
    <w:rsid w:val="00226799"/>
    <w:rsid w:val="0023080F"/>
    <w:rsid w:val="00231CD6"/>
    <w:rsid w:val="00232E4F"/>
    <w:rsid w:val="00235155"/>
    <w:rsid w:val="002355FE"/>
    <w:rsid w:val="00235C4E"/>
    <w:rsid w:val="00235DA2"/>
    <w:rsid w:val="0023787B"/>
    <w:rsid w:val="002404CE"/>
    <w:rsid w:val="0024122B"/>
    <w:rsid w:val="00242A29"/>
    <w:rsid w:val="002438DD"/>
    <w:rsid w:val="00243CC3"/>
    <w:rsid w:val="00244936"/>
    <w:rsid w:val="00246180"/>
    <w:rsid w:val="002500FC"/>
    <w:rsid w:val="00250513"/>
    <w:rsid w:val="0025154A"/>
    <w:rsid w:val="002516A3"/>
    <w:rsid w:val="00253D9D"/>
    <w:rsid w:val="0025420F"/>
    <w:rsid w:val="002546CA"/>
    <w:rsid w:val="0025482B"/>
    <w:rsid w:val="00255A54"/>
    <w:rsid w:val="00255F2E"/>
    <w:rsid w:val="002561F2"/>
    <w:rsid w:val="00256A74"/>
    <w:rsid w:val="00256C07"/>
    <w:rsid w:val="00256CEC"/>
    <w:rsid w:val="00257002"/>
    <w:rsid w:val="002572E7"/>
    <w:rsid w:val="002613E0"/>
    <w:rsid w:val="00261B8F"/>
    <w:rsid w:val="00262A60"/>
    <w:rsid w:val="00263809"/>
    <w:rsid w:val="002641AA"/>
    <w:rsid w:val="00264461"/>
    <w:rsid w:val="00264CF0"/>
    <w:rsid w:val="002653A8"/>
    <w:rsid w:val="00265747"/>
    <w:rsid w:val="002668A3"/>
    <w:rsid w:val="00266F3E"/>
    <w:rsid w:val="00267604"/>
    <w:rsid w:val="00271943"/>
    <w:rsid w:val="00273AB8"/>
    <w:rsid w:val="0027461D"/>
    <w:rsid w:val="002760FE"/>
    <w:rsid w:val="002766A5"/>
    <w:rsid w:val="00276F0F"/>
    <w:rsid w:val="00277141"/>
    <w:rsid w:val="00277D62"/>
    <w:rsid w:val="00281B79"/>
    <w:rsid w:val="00281EEF"/>
    <w:rsid w:val="00282257"/>
    <w:rsid w:val="002822E1"/>
    <w:rsid w:val="00283B1F"/>
    <w:rsid w:val="002845F9"/>
    <w:rsid w:val="002856C3"/>
    <w:rsid w:val="002859C2"/>
    <w:rsid w:val="00286C86"/>
    <w:rsid w:val="00287F80"/>
    <w:rsid w:val="00292AD0"/>
    <w:rsid w:val="00293011"/>
    <w:rsid w:val="00293B13"/>
    <w:rsid w:val="00294B8B"/>
    <w:rsid w:val="00294F88"/>
    <w:rsid w:val="002955AD"/>
    <w:rsid w:val="00295658"/>
    <w:rsid w:val="00295ABC"/>
    <w:rsid w:val="00296CF1"/>
    <w:rsid w:val="002A182A"/>
    <w:rsid w:val="002A2E73"/>
    <w:rsid w:val="002A37B0"/>
    <w:rsid w:val="002A3D92"/>
    <w:rsid w:val="002A47F5"/>
    <w:rsid w:val="002A53C1"/>
    <w:rsid w:val="002A61D0"/>
    <w:rsid w:val="002A7BFC"/>
    <w:rsid w:val="002B0424"/>
    <w:rsid w:val="002B1438"/>
    <w:rsid w:val="002B5772"/>
    <w:rsid w:val="002B60C7"/>
    <w:rsid w:val="002B67BF"/>
    <w:rsid w:val="002B731E"/>
    <w:rsid w:val="002B767F"/>
    <w:rsid w:val="002B76E9"/>
    <w:rsid w:val="002C0682"/>
    <w:rsid w:val="002C1020"/>
    <w:rsid w:val="002C1032"/>
    <w:rsid w:val="002C1723"/>
    <w:rsid w:val="002C4086"/>
    <w:rsid w:val="002C6A9F"/>
    <w:rsid w:val="002C7C79"/>
    <w:rsid w:val="002D08C2"/>
    <w:rsid w:val="002D15AF"/>
    <w:rsid w:val="002D1B1C"/>
    <w:rsid w:val="002D1C24"/>
    <w:rsid w:val="002D1DD8"/>
    <w:rsid w:val="002D41BA"/>
    <w:rsid w:val="002D5068"/>
    <w:rsid w:val="002D5320"/>
    <w:rsid w:val="002D70C7"/>
    <w:rsid w:val="002E1E67"/>
    <w:rsid w:val="002E29D0"/>
    <w:rsid w:val="002E310D"/>
    <w:rsid w:val="002E33E7"/>
    <w:rsid w:val="002E47DF"/>
    <w:rsid w:val="002E5EDA"/>
    <w:rsid w:val="002E5FF2"/>
    <w:rsid w:val="002E6A88"/>
    <w:rsid w:val="002E7F4A"/>
    <w:rsid w:val="002F0A51"/>
    <w:rsid w:val="002F17BC"/>
    <w:rsid w:val="002F1F08"/>
    <w:rsid w:val="002F2510"/>
    <w:rsid w:val="002F26B7"/>
    <w:rsid w:val="002F3EE1"/>
    <w:rsid w:val="002F5799"/>
    <w:rsid w:val="002F7F45"/>
    <w:rsid w:val="0030182C"/>
    <w:rsid w:val="003018DF"/>
    <w:rsid w:val="00302089"/>
    <w:rsid w:val="00304547"/>
    <w:rsid w:val="00304C32"/>
    <w:rsid w:val="003065CE"/>
    <w:rsid w:val="00307913"/>
    <w:rsid w:val="00311151"/>
    <w:rsid w:val="0031166B"/>
    <w:rsid w:val="00312424"/>
    <w:rsid w:val="00312775"/>
    <w:rsid w:val="00314260"/>
    <w:rsid w:val="00317564"/>
    <w:rsid w:val="00317DFC"/>
    <w:rsid w:val="0032118C"/>
    <w:rsid w:val="00321A0E"/>
    <w:rsid w:val="003221D1"/>
    <w:rsid w:val="003227E9"/>
    <w:rsid w:val="003232E7"/>
    <w:rsid w:val="0032581B"/>
    <w:rsid w:val="00326800"/>
    <w:rsid w:val="00326BF8"/>
    <w:rsid w:val="00327EB2"/>
    <w:rsid w:val="00331ECC"/>
    <w:rsid w:val="003332AA"/>
    <w:rsid w:val="0033356E"/>
    <w:rsid w:val="00333F79"/>
    <w:rsid w:val="003357DF"/>
    <w:rsid w:val="00335B02"/>
    <w:rsid w:val="0033670E"/>
    <w:rsid w:val="003372B3"/>
    <w:rsid w:val="00337DE3"/>
    <w:rsid w:val="00340F54"/>
    <w:rsid w:val="00340FB0"/>
    <w:rsid w:val="00341052"/>
    <w:rsid w:val="003419F7"/>
    <w:rsid w:val="0034224C"/>
    <w:rsid w:val="00342EDC"/>
    <w:rsid w:val="00344319"/>
    <w:rsid w:val="0034468D"/>
    <w:rsid w:val="0034579F"/>
    <w:rsid w:val="00345CD5"/>
    <w:rsid w:val="003462C9"/>
    <w:rsid w:val="00346B56"/>
    <w:rsid w:val="00346E30"/>
    <w:rsid w:val="00347255"/>
    <w:rsid w:val="00347CD4"/>
    <w:rsid w:val="00351A64"/>
    <w:rsid w:val="00351EC2"/>
    <w:rsid w:val="00353975"/>
    <w:rsid w:val="00354A3D"/>
    <w:rsid w:val="00354FEB"/>
    <w:rsid w:val="00355792"/>
    <w:rsid w:val="00356417"/>
    <w:rsid w:val="00357ADD"/>
    <w:rsid w:val="00357F0A"/>
    <w:rsid w:val="0036037C"/>
    <w:rsid w:val="003604E0"/>
    <w:rsid w:val="00362D0A"/>
    <w:rsid w:val="00363008"/>
    <w:rsid w:val="00363038"/>
    <w:rsid w:val="00363768"/>
    <w:rsid w:val="0036376B"/>
    <w:rsid w:val="00364E21"/>
    <w:rsid w:val="003650E4"/>
    <w:rsid w:val="00365294"/>
    <w:rsid w:val="00365A1B"/>
    <w:rsid w:val="00365EE9"/>
    <w:rsid w:val="0036637E"/>
    <w:rsid w:val="00367B07"/>
    <w:rsid w:val="00367C49"/>
    <w:rsid w:val="00367CE1"/>
    <w:rsid w:val="00367DA7"/>
    <w:rsid w:val="00370873"/>
    <w:rsid w:val="0037127A"/>
    <w:rsid w:val="003712D8"/>
    <w:rsid w:val="00371731"/>
    <w:rsid w:val="003736A2"/>
    <w:rsid w:val="00373F8D"/>
    <w:rsid w:val="0037439B"/>
    <w:rsid w:val="003746DB"/>
    <w:rsid w:val="0037535A"/>
    <w:rsid w:val="00375BE2"/>
    <w:rsid w:val="0037677E"/>
    <w:rsid w:val="003803D3"/>
    <w:rsid w:val="003807F8"/>
    <w:rsid w:val="0038109E"/>
    <w:rsid w:val="0038300E"/>
    <w:rsid w:val="00383B51"/>
    <w:rsid w:val="00386840"/>
    <w:rsid w:val="0038774F"/>
    <w:rsid w:val="00391060"/>
    <w:rsid w:val="003924AB"/>
    <w:rsid w:val="003951A5"/>
    <w:rsid w:val="00395435"/>
    <w:rsid w:val="00395984"/>
    <w:rsid w:val="00395C02"/>
    <w:rsid w:val="003966BC"/>
    <w:rsid w:val="00396F7E"/>
    <w:rsid w:val="0039710A"/>
    <w:rsid w:val="00397799"/>
    <w:rsid w:val="003A00D9"/>
    <w:rsid w:val="003A045F"/>
    <w:rsid w:val="003A19B4"/>
    <w:rsid w:val="003A4400"/>
    <w:rsid w:val="003A47E9"/>
    <w:rsid w:val="003A6E33"/>
    <w:rsid w:val="003A706C"/>
    <w:rsid w:val="003A77C6"/>
    <w:rsid w:val="003A7AFE"/>
    <w:rsid w:val="003B1083"/>
    <w:rsid w:val="003B249D"/>
    <w:rsid w:val="003B2671"/>
    <w:rsid w:val="003B34EF"/>
    <w:rsid w:val="003B3EBD"/>
    <w:rsid w:val="003B44C1"/>
    <w:rsid w:val="003B452F"/>
    <w:rsid w:val="003B4A4C"/>
    <w:rsid w:val="003B4F3A"/>
    <w:rsid w:val="003B62C6"/>
    <w:rsid w:val="003B69AE"/>
    <w:rsid w:val="003C05B0"/>
    <w:rsid w:val="003C0DE4"/>
    <w:rsid w:val="003C1696"/>
    <w:rsid w:val="003C1C8F"/>
    <w:rsid w:val="003C2920"/>
    <w:rsid w:val="003C3422"/>
    <w:rsid w:val="003C6E53"/>
    <w:rsid w:val="003D07B8"/>
    <w:rsid w:val="003D09D7"/>
    <w:rsid w:val="003D152C"/>
    <w:rsid w:val="003D3B10"/>
    <w:rsid w:val="003D48A8"/>
    <w:rsid w:val="003D6D4B"/>
    <w:rsid w:val="003D6E60"/>
    <w:rsid w:val="003D77DC"/>
    <w:rsid w:val="003D7E34"/>
    <w:rsid w:val="003E0AFC"/>
    <w:rsid w:val="003E142B"/>
    <w:rsid w:val="003E1749"/>
    <w:rsid w:val="003E2EA5"/>
    <w:rsid w:val="003E3069"/>
    <w:rsid w:val="003E3623"/>
    <w:rsid w:val="003E36CA"/>
    <w:rsid w:val="003E3ACB"/>
    <w:rsid w:val="003E3C1A"/>
    <w:rsid w:val="003E4759"/>
    <w:rsid w:val="003E5C04"/>
    <w:rsid w:val="003E61E4"/>
    <w:rsid w:val="003E7F3A"/>
    <w:rsid w:val="003F2225"/>
    <w:rsid w:val="003F4FB3"/>
    <w:rsid w:val="003F66B7"/>
    <w:rsid w:val="003F6C4F"/>
    <w:rsid w:val="003F70EF"/>
    <w:rsid w:val="0040059A"/>
    <w:rsid w:val="004006E6"/>
    <w:rsid w:val="0040350A"/>
    <w:rsid w:val="00403D9A"/>
    <w:rsid w:val="004062A5"/>
    <w:rsid w:val="004106C2"/>
    <w:rsid w:val="0041075D"/>
    <w:rsid w:val="00410B09"/>
    <w:rsid w:val="0041199C"/>
    <w:rsid w:val="00412080"/>
    <w:rsid w:val="00412273"/>
    <w:rsid w:val="0041227A"/>
    <w:rsid w:val="00413C5F"/>
    <w:rsid w:val="00414393"/>
    <w:rsid w:val="0041541F"/>
    <w:rsid w:val="00415601"/>
    <w:rsid w:val="00420452"/>
    <w:rsid w:val="00420636"/>
    <w:rsid w:val="00422FAA"/>
    <w:rsid w:val="00425082"/>
    <w:rsid w:val="004256D3"/>
    <w:rsid w:val="00425E9F"/>
    <w:rsid w:val="00427607"/>
    <w:rsid w:val="00427FE0"/>
    <w:rsid w:val="004305F8"/>
    <w:rsid w:val="00430C4B"/>
    <w:rsid w:val="00434F8F"/>
    <w:rsid w:val="00435407"/>
    <w:rsid w:val="00435781"/>
    <w:rsid w:val="0043773C"/>
    <w:rsid w:val="00437B57"/>
    <w:rsid w:val="00441305"/>
    <w:rsid w:val="00441B8C"/>
    <w:rsid w:val="00441D49"/>
    <w:rsid w:val="00442207"/>
    <w:rsid w:val="00444A58"/>
    <w:rsid w:val="004450AC"/>
    <w:rsid w:val="00446AE6"/>
    <w:rsid w:val="00446E8C"/>
    <w:rsid w:val="00450300"/>
    <w:rsid w:val="004510EC"/>
    <w:rsid w:val="004531D9"/>
    <w:rsid w:val="00456CEA"/>
    <w:rsid w:val="004601AE"/>
    <w:rsid w:val="0046208A"/>
    <w:rsid w:val="004623EA"/>
    <w:rsid w:val="00462F47"/>
    <w:rsid w:val="0046476D"/>
    <w:rsid w:val="00464AD2"/>
    <w:rsid w:val="00464F39"/>
    <w:rsid w:val="004657EB"/>
    <w:rsid w:val="004666E4"/>
    <w:rsid w:val="00467AEE"/>
    <w:rsid w:val="00467BEF"/>
    <w:rsid w:val="00467D71"/>
    <w:rsid w:val="00470594"/>
    <w:rsid w:val="004709E4"/>
    <w:rsid w:val="00472724"/>
    <w:rsid w:val="004730A3"/>
    <w:rsid w:val="004744E4"/>
    <w:rsid w:val="00474F09"/>
    <w:rsid w:val="00475F96"/>
    <w:rsid w:val="00477F55"/>
    <w:rsid w:val="004807AD"/>
    <w:rsid w:val="00480FA2"/>
    <w:rsid w:val="004815EA"/>
    <w:rsid w:val="00481791"/>
    <w:rsid w:val="00481FB8"/>
    <w:rsid w:val="0048374F"/>
    <w:rsid w:val="004837B9"/>
    <w:rsid w:val="0048386C"/>
    <w:rsid w:val="00483E2F"/>
    <w:rsid w:val="004856DC"/>
    <w:rsid w:val="004869ED"/>
    <w:rsid w:val="00486AA4"/>
    <w:rsid w:val="0049098A"/>
    <w:rsid w:val="00490E4B"/>
    <w:rsid w:val="004919E9"/>
    <w:rsid w:val="00491F17"/>
    <w:rsid w:val="00493A9B"/>
    <w:rsid w:val="00493AFD"/>
    <w:rsid w:val="00494028"/>
    <w:rsid w:val="00494390"/>
    <w:rsid w:val="0049455E"/>
    <w:rsid w:val="004947FE"/>
    <w:rsid w:val="00494C6D"/>
    <w:rsid w:val="00494FB8"/>
    <w:rsid w:val="00495BC0"/>
    <w:rsid w:val="004A03EF"/>
    <w:rsid w:val="004A05E3"/>
    <w:rsid w:val="004A0E0F"/>
    <w:rsid w:val="004A0ECB"/>
    <w:rsid w:val="004A1999"/>
    <w:rsid w:val="004A3F22"/>
    <w:rsid w:val="004A4BE6"/>
    <w:rsid w:val="004A7359"/>
    <w:rsid w:val="004A7ED0"/>
    <w:rsid w:val="004B002F"/>
    <w:rsid w:val="004B0033"/>
    <w:rsid w:val="004B2D15"/>
    <w:rsid w:val="004B3290"/>
    <w:rsid w:val="004B48A7"/>
    <w:rsid w:val="004B5133"/>
    <w:rsid w:val="004B5506"/>
    <w:rsid w:val="004B6F23"/>
    <w:rsid w:val="004B7AFD"/>
    <w:rsid w:val="004B7D05"/>
    <w:rsid w:val="004C0EAF"/>
    <w:rsid w:val="004C22E2"/>
    <w:rsid w:val="004C25CB"/>
    <w:rsid w:val="004C28D7"/>
    <w:rsid w:val="004C3224"/>
    <w:rsid w:val="004C4CFA"/>
    <w:rsid w:val="004C63C2"/>
    <w:rsid w:val="004C6E64"/>
    <w:rsid w:val="004D01CB"/>
    <w:rsid w:val="004D0560"/>
    <w:rsid w:val="004D1FD7"/>
    <w:rsid w:val="004D2CAA"/>
    <w:rsid w:val="004D345E"/>
    <w:rsid w:val="004D4326"/>
    <w:rsid w:val="004D4FE8"/>
    <w:rsid w:val="004D67FA"/>
    <w:rsid w:val="004D7C37"/>
    <w:rsid w:val="004E0CF2"/>
    <w:rsid w:val="004E0D35"/>
    <w:rsid w:val="004E18B2"/>
    <w:rsid w:val="004E1C3F"/>
    <w:rsid w:val="004E1C45"/>
    <w:rsid w:val="004E1ED4"/>
    <w:rsid w:val="004E2847"/>
    <w:rsid w:val="004E348D"/>
    <w:rsid w:val="004E43B0"/>
    <w:rsid w:val="004E5439"/>
    <w:rsid w:val="004E6060"/>
    <w:rsid w:val="004E679E"/>
    <w:rsid w:val="004F01A6"/>
    <w:rsid w:val="004F0453"/>
    <w:rsid w:val="004F10A7"/>
    <w:rsid w:val="004F10E4"/>
    <w:rsid w:val="004F268A"/>
    <w:rsid w:val="004F3828"/>
    <w:rsid w:val="004F59C7"/>
    <w:rsid w:val="004F7079"/>
    <w:rsid w:val="004F72D6"/>
    <w:rsid w:val="004F7E91"/>
    <w:rsid w:val="00500CAE"/>
    <w:rsid w:val="005013B7"/>
    <w:rsid w:val="005020AD"/>
    <w:rsid w:val="00502444"/>
    <w:rsid w:val="00502997"/>
    <w:rsid w:val="00503D88"/>
    <w:rsid w:val="00504829"/>
    <w:rsid w:val="005049DD"/>
    <w:rsid w:val="00505C88"/>
    <w:rsid w:val="00506242"/>
    <w:rsid w:val="0050742F"/>
    <w:rsid w:val="00510746"/>
    <w:rsid w:val="005109C2"/>
    <w:rsid w:val="005116E4"/>
    <w:rsid w:val="00511874"/>
    <w:rsid w:val="0051206F"/>
    <w:rsid w:val="00512CDE"/>
    <w:rsid w:val="00513B00"/>
    <w:rsid w:val="00514FC9"/>
    <w:rsid w:val="00515C1D"/>
    <w:rsid w:val="005160C6"/>
    <w:rsid w:val="00516AF9"/>
    <w:rsid w:val="00516C4E"/>
    <w:rsid w:val="0051761B"/>
    <w:rsid w:val="0052177F"/>
    <w:rsid w:val="005223EF"/>
    <w:rsid w:val="00524DF4"/>
    <w:rsid w:val="00525BCA"/>
    <w:rsid w:val="00526197"/>
    <w:rsid w:val="0053269E"/>
    <w:rsid w:val="00534944"/>
    <w:rsid w:val="00534E4A"/>
    <w:rsid w:val="00535616"/>
    <w:rsid w:val="00535C43"/>
    <w:rsid w:val="0053603E"/>
    <w:rsid w:val="0054029B"/>
    <w:rsid w:val="0054076E"/>
    <w:rsid w:val="00542701"/>
    <w:rsid w:val="005434DD"/>
    <w:rsid w:val="00546F3C"/>
    <w:rsid w:val="00547369"/>
    <w:rsid w:val="00550A7B"/>
    <w:rsid w:val="005516E8"/>
    <w:rsid w:val="00551AAD"/>
    <w:rsid w:val="00551D8D"/>
    <w:rsid w:val="00552283"/>
    <w:rsid w:val="00552C89"/>
    <w:rsid w:val="00554352"/>
    <w:rsid w:val="00554730"/>
    <w:rsid w:val="00554AC0"/>
    <w:rsid w:val="00557D89"/>
    <w:rsid w:val="005623D9"/>
    <w:rsid w:val="00563320"/>
    <w:rsid w:val="00563A0B"/>
    <w:rsid w:val="00563D62"/>
    <w:rsid w:val="00564384"/>
    <w:rsid w:val="00564977"/>
    <w:rsid w:val="00564A35"/>
    <w:rsid w:val="005668D8"/>
    <w:rsid w:val="005676AB"/>
    <w:rsid w:val="00567732"/>
    <w:rsid w:val="00567A02"/>
    <w:rsid w:val="00567D74"/>
    <w:rsid w:val="0057180A"/>
    <w:rsid w:val="00573368"/>
    <w:rsid w:val="005744DC"/>
    <w:rsid w:val="00574726"/>
    <w:rsid w:val="00575523"/>
    <w:rsid w:val="00575996"/>
    <w:rsid w:val="00576CF0"/>
    <w:rsid w:val="00577EEC"/>
    <w:rsid w:val="00583390"/>
    <w:rsid w:val="005833FD"/>
    <w:rsid w:val="005837EA"/>
    <w:rsid w:val="00583C95"/>
    <w:rsid w:val="0058459E"/>
    <w:rsid w:val="00584810"/>
    <w:rsid w:val="00585157"/>
    <w:rsid w:val="00586B50"/>
    <w:rsid w:val="00586D05"/>
    <w:rsid w:val="00590CA3"/>
    <w:rsid w:val="005932ED"/>
    <w:rsid w:val="005939C3"/>
    <w:rsid w:val="00594ED4"/>
    <w:rsid w:val="005959B8"/>
    <w:rsid w:val="00596A33"/>
    <w:rsid w:val="005A1580"/>
    <w:rsid w:val="005A2324"/>
    <w:rsid w:val="005A2B73"/>
    <w:rsid w:val="005A3280"/>
    <w:rsid w:val="005A3928"/>
    <w:rsid w:val="005A3CB7"/>
    <w:rsid w:val="005A445E"/>
    <w:rsid w:val="005A4792"/>
    <w:rsid w:val="005A7065"/>
    <w:rsid w:val="005A77E4"/>
    <w:rsid w:val="005B1121"/>
    <w:rsid w:val="005B45BA"/>
    <w:rsid w:val="005B4821"/>
    <w:rsid w:val="005B48FD"/>
    <w:rsid w:val="005B4FD4"/>
    <w:rsid w:val="005B5DCE"/>
    <w:rsid w:val="005B6140"/>
    <w:rsid w:val="005B6B05"/>
    <w:rsid w:val="005B6B49"/>
    <w:rsid w:val="005B7630"/>
    <w:rsid w:val="005B7CD7"/>
    <w:rsid w:val="005C08F5"/>
    <w:rsid w:val="005C2D87"/>
    <w:rsid w:val="005C42D9"/>
    <w:rsid w:val="005C4B73"/>
    <w:rsid w:val="005C4F27"/>
    <w:rsid w:val="005C5218"/>
    <w:rsid w:val="005C6057"/>
    <w:rsid w:val="005C698A"/>
    <w:rsid w:val="005D0433"/>
    <w:rsid w:val="005D314D"/>
    <w:rsid w:val="005D35C3"/>
    <w:rsid w:val="005D3AC2"/>
    <w:rsid w:val="005D5067"/>
    <w:rsid w:val="005D521D"/>
    <w:rsid w:val="005D74D7"/>
    <w:rsid w:val="005D7633"/>
    <w:rsid w:val="005D781B"/>
    <w:rsid w:val="005D7DDB"/>
    <w:rsid w:val="005E088C"/>
    <w:rsid w:val="005E0B68"/>
    <w:rsid w:val="005E167A"/>
    <w:rsid w:val="005E286C"/>
    <w:rsid w:val="005E2A84"/>
    <w:rsid w:val="005E51B7"/>
    <w:rsid w:val="005E5BF4"/>
    <w:rsid w:val="005E5C98"/>
    <w:rsid w:val="005E6618"/>
    <w:rsid w:val="005F29E3"/>
    <w:rsid w:val="005F37F8"/>
    <w:rsid w:val="005F413A"/>
    <w:rsid w:val="005F44C8"/>
    <w:rsid w:val="005F67A7"/>
    <w:rsid w:val="00600497"/>
    <w:rsid w:val="00602600"/>
    <w:rsid w:val="00603A57"/>
    <w:rsid w:val="00604732"/>
    <w:rsid w:val="0060486D"/>
    <w:rsid w:val="006058CD"/>
    <w:rsid w:val="00605D99"/>
    <w:rsid w:val="00611203"/>
    <w:rsid w:val="00611302"/>
    <w:rsid w:val="00612460"/>
    <w:rsid w:val="006165FA"/>
    <w:rsid w:val="00616771"/>
    <w:rsid w:val="0062494D"/>
    <w:rsid w:val="00624E7B"/>
    <w:rsid w:val="0062505F"/>
    <w:rsid w:val="00627E93"/>
    <w:rsid w:val="00630A95"/>
    <w:rsid w:val="00630EE4"/>
    <w:rsid w:val="00634006"/>
    <w:rsid w:val="006350A8"/>
    <w:rsid w:val="00635A8F"/>
    <w:rsid w:val="00635F07"/>
    <w:rsid w:val="006362F2"/>
    <w:rsid w:val="006400FD"/>
    <w:rsid w:val="00640189"/>
    <w:rsid w:val="00640942"/>
    <w:rsid w:val="006418AA"/>
    <w:rsid w:val="00641A75"/>
    <w:rsid w:val="0064310C"/>
    <w:rsid w:val="00643ADC"/>
    <w:rsid w:val="00643D49"/>
    <w:rsid w:val="00643FA2"/>
    <w:rsid w:val="0064407D"/>
    <w:rsid w:val="00647795"/>
    <w:rsid w:val="00647EF2"/>
    <w:rsid w:val="00651813"/>
    <w:rsid w:val="00651B50"/>
    <w:rsid w:val="00651EDA"/>
    <w:rsid w:val="00651F13"/>
    <w:rsid w:val="006520F4"/>
    <w:rsid w:val="00652F82"/>
    <w:rsid w:val="0065343D"/>
    <w:rsid w:val="00653EF3"/>
    <w:rsid w:val="00654245"/>
    <w:rsid w:val="006559AC"/>
    <w:rsid w:val="00656662"/>
    <w:rsid w:val="00656868"/>
    <w:rsid w:val="006568DC"/>
    <w:rsid w:val="00656AC0"/>
    <w:rsid w:val="00656F38"/>
    <w:rsid w:val="00657E58"/>
    <w:rsid w:val="0066037A"/>
    <w:rsid w:val="00663192"/>
    <w:rsid w:val="00663377"/>
    <w:rsid w:val="00663935"/>
    <w:rsid w:val="00663B1C"/>
    <w:rsid w:val="00663BFF"/>
    <w:rsid w:val="0066435F"/>
    <w:rsid w:val="00664841"/>
    <w:rsid w:val="00665429"/>
    <w:rsid w:val="00665B6F"/>
    <w:rsid w:val="00665DD4"/>
    <w:rsid w:val="00666206"/>
    <w:rsid w:val="006669F6"/>
    <w:rsid w:val="006715E0"/>
    <w:rsid w:val="00672DD3"/>
    <w:rsid w:val="00673151"/>
    <w:rsid w:val="00673964"/>
    <w:rsid w:val="00675155"/>
    <w:rsid w:val="006765C4"/>
    <w:rsid w:val="00677325"/>
    <w:rsid w:val="00677DA4"/>
    <w:rsid w:val="00677E32"/>
    <w:rsid w:val="00680496"/>
    <w:rsid w:val="00681022"/>
    <w:rsid w:val="00681425"/>
    <w:rsid w:val="00681689"/>
    <w:rsid w:val="00682408"/>
    <w:rsid w:val="00682C0A"/>
    <w:rsid w:val="006839B2"/>
    <w:rsid w:val="006845B1"/>
    <w:rsid w:val="00685596"/>
    <w:rsid w:val="006857E5"/>
    <w:rsid w:val="00685802"/>
    <w:rsid w:val="00686579"/>
    <w:rsid w:val="006869CC"/>
    <w:rsid w:val="00686F41"/>
    <w:rsid w:val="00687C53"/>
    <w:rsid w:val="006905FD"/>
    <w:rsid w:val="00690A7A"/>
    <w:rsid w:val="0069138C"/>
    <w:rsid w:val="006913D5"/>
    <w:rsid w:val="006925FA"/>
    <w:rsid w:val="0069287B"/>
    <w:rsid w:val="00696A1A"/>
    <w:rsid w:val="00696B43"/>
    <w:rsid w:val="00696DD3"/>
    <w:rsid w:val="0069730B"/>
    <w:rsid w:val="00697525"/>
    <w:rsid w:val="006976B5"/>
    <w:rsid w:val="00697F53"/>
    <w:rsid w:val="006A5861"/>
    <w:rsid w:val="006A5D44"/>
    <w:rsid w:val="006A61EE"/>
    <w:rsid w:val="006A668C"/>
    <w:rsid w:val="006A6B23"/>
    <w:rsid w:val="006A7116"/>
    <w:rsid w:val="006B0C3A"/>
    <w:rsid w:val="006B0D80"/>
    <w:rsid w:val="006B27D7"/>
    <w:rsid w:val="006B3016"/>
    <w:rsid w:val="006B3B01"/>
    <w:rsid w:val="006B4081"/>
    <w:rsid w:val="006B443D"/>
    <w:rsid w:val="006B4C02"/>
    <w:rsid w:val="006B50A9"/>
    <w:rsid w:val="006B54CA"/>
    <w:rsid w:val="006B58D1"/>
    <w:rsid w:val="006B6AF7"/>
    <w:rsid w:val="006B6ECD"/>
    <w:rsid w:val="006B7E34"/>
    <w:rsid w:val="006C0A6A"/>
    <w:rsid w:val="006C1B77"/>
    <w:rsid w:val="006C2D63"/>
    <w:rsid w:val="006C531E"/>
    <w:rsid w:val="006C5728"/>
    <w:rsid w:val="006C5799"/>
    <w:rsid w:val="006C5A96"/>
    <w:rsid w:val="006C5ABF"/>
    <w:rsid w:val="006C5E25"/>
    <w:rsid w:val="006C6486"/>
    <w:rsid w:val="006C671D"/>
    <w:rsid w:val="006C6E08"/>
    <w:rsid w:val="006C7E20"/>
    <w:rsid w:val="006D08E4"/>
    <w:rsid w:val="006D100B"/>
    <w:rsid w:val="006D1F1A"/>
    <w:rsid w:val="006D2A41"/>
    <w:rsid w:val="006D52A8"/>
    <w:rsid w:val="006D7B98"/>
    <w:rsid w:val="006D7FA0"/>
    <w:rsid w:val="006E22A6"/>
    <w:rsid w:val="006E3832"/>
    <w:rsid w:val="006E59CE"/>
    <w:rsid w:val="006F1F57"/>
    <w:rsid w:val="006F1FC2"/>
    <w:rsid w:val="006F3081"/>
    <w:rsid w:val="006F3A0D"/>
    <w:rsid w:val="006F4008"/>
    <w:rsid w:val="006F5B5A"/>
    <w:rsid w:val="006F6BA2"/>
    <w:rsid w:val="006F7B8B"/>
    <w:rsid w:val="006F7FF6"/>
    <w:rsid w:val="007003D9"/>
    <w:rsid w:val="00700950"/>
    <w:rsid w:val="00700E31"/>
    <w:rsid w:val="0070227A"/>
    <w:rsid w:val="007023BC"/>
    <w:rsid w:val="00702FC2"/>
    <w:rsid w:val="00703318"/>
    <w:rsid w:val="007038F3"/>
    <w:rsid w:val="00704068"/>
    <w:rsid w:val="00704136"/>
    <w:rsid w:val="00705D03"/>
    <w:rsid w:val="00707B6E"/>
    <w:rsid w:val="00710481"/>
    <w:rsid w:val="00710593"/>
    <w:rsid w:val="00710D94"/>
    <w:rsid w:val="00712984"/>
    <w:rsid w:val="00713391"/>
    <w:rsid w:val="007145FE"/>
    <w:rsid w:val="0071680B"/>
    <w:rsid w:val="00717238"/>
    <w:rsid w:val="0072031D"/>
    <w:rsid w:val="00720DD5"/>
    <w:rsid w:val="0072175A"/>
    <w:rsid w:val="00721D86"/>
    <w:rsid w:val="00722C51"/>
    <w:rsid w:val="0072326F"/>
    <w:rsid w:val="007237D2"/>
    <w:rsid w:val="0072512B"/>
    <w:rsid w:val="00725F1B"/>
    <w:rsid w:val="007265A9"/>
    <w:rsid w:val="00726FA4"/>
    <w:rsid w:val="00727FD4"/>
    <w:rsid w:val="00730182"/>
    <w:rsid w:val="00730467"/>
    <w:rsid w:val="007305A4"/>
    <w:rsid w:val="0073084A"/>
    <w:rsid w:val="00730A53"/>
    <w:rsid w:val="0073211E"/>
    <w:rsid w:val="007334F1"/>
    <w:rsid w:val="0073538C"/>
    <w:rsid w:val="00735A07"/>
    <w:rsid w:val="00735DE7"/>
    <w:rsid w:val="00736A54"/>
    <w:rsid w:val="00737AD0"/>
    <w:rsid w:val="0074031D"/>
    <w:rsid w:val="00741062"/>
    <w:rsid w:val="00741B06"/>
    <w:rsid w:val="00743DDD"/>
    <w:rsid w:val="00743FE6"/>
    <w:rsid w:val="00744B7F"/>
    <w:rsid w:val="007476C9"/>
    <w:rsid w:val="007521AB"/>
    <w:rsid w:val="0075407C"/>
    <w:rsid w:val="00754168"/>
    <w:rsid w:val="0075527C"/>
    <w:rsid w:val="00755C0A"/>
    <w:rsid w:val="00757367"/>
    <w:rsid w:val="00757438"/>
    <w:rsid w:val="00757F84"/>
    <w:rsid w:val="007608BF"/>
    <w:rsid w:val="007631F1"/>
    <w:rsid w:val="00766B12"/>
    <w:rsid w:val="007670FF"/>
    <w:rsid w:val="007679A6"/>
    <w:rsid w:val="007703FF"/>
    <w:rsid w:val="00774088"/>
    <w:rsid w:val="00774BBF"/>
    <w:rsid w:val="00775C7F"/>
    <w:rsid w:val="00775DDF"/>
    <w:rsid w:val="007770E0"/>
    <w:rsid w:val="00777221"/>
    <w:rsid w:val="0078155C"/>
    <w:rsid w:val="00781D86"/>
    <w:rsid w:val="00782183"/>
    <w:rsid w:val="007828F2"/>
    <w:rsid w:val="00783E9B"/>
    <w:rsid w:val="00784D4D"/>
    <w:rsid w:val="00785B6B"/>
    <w:rsid w:val="00785F31"/>
    <w:rsid w:val="00787A16"/>
    <w:rsid w:val="00787BC5"/>
    <w:rsid w:val="00790312"/>
    <w:rsid w:val="00790525"/>
    <w:rsid w:val="00790F34"/>
    <w:rsid w:val="007914A9"/>
    <w:rsid w:val="00791F5C"/>
    <w:rsid w:val="00792658"/>
    <w:rsid w:val="00793DEC"/>
    <w:rsid w:val="0079527E"/>
    <w:rsid w:val="007964CD"/>
    <w:rsid w:val="007A1C43"/>
    <w:rsid w:val="007A2413"/>
    <w:rsid w:val="007A2507"/>
    <w:rsid w:val="007A2555"/>
    <w:rsid w:val="007A2A51"/>
    <w:rsid w:val="007A2F44"/>
    <w:rsid w:val="007A3134"/>
    <w:rsid w:val="007A4CBC"/>
    <w:rsid w:val="007A4CDF"/>
    <w:rsid w:val="007A55FE"/>
    <w:rsid w:val="007A674E"/>
    <w:rsid w:val="007A6C35"/>
    <w:rsid w:val="007B05CF"/>
    <w:rsid w:val="007B271D"/>
    <w:rsid w:val="007B2D98"/>
    <w:rsid w:val="007B2EF6"/>
    <w:rsid w:val="007B3315"/>
    <w:rsid w:val="007B395B"/>
    <w:rsid w:val="007B3EDF"/>
    <w:rsid w:val="007B4459"/>
    <w:rsid w:val="007B4CD2"/>
    <w:rsid w:val="007B713C"/>
    <w:rsid w:val="007B7524"/>
    <w:rsid w:val="007B7C38"/>
    <w:rsid w:val="007C119B"/>
    <w:rsid w:val="007C1604"/>
    <w:rsid w:val="007C2D74"/>
    <w:rsid w:val="007C373B"/>
    <w:rsid w:val="007C60EF"/>
    <w:rsid w:val="007C6562"/>
    <w:rsid w:val="007C6BF0"/>
    <w:rsid w:val="007C7515"/>
    <w:rsid w:val="007D02E8"/>
    <w:rsid w:val="007D0B00"/>
    <w:rsid w:val="007D1A74"/>
    <w:rsid w:val="007D1D55"/>
    <w:rsid w:val="007D35D6"/>
    <w:rsid w:val="007D4F1E"/>
    <w:rsid w:val="007D5CEF"/>
    <w:rsid w:val="007D5D93"/>
    <w:rsid w:val="007D7CB6"/>
    <w:rsid w:val="007E14AE"/>
    <w:rsid w:val="007E21D1"/>
    <w:rsid w:val="007E2A94"/>
    <w:rsid w:val="007E3A69"/>
    <w:rsid w:val="007E43DF"/>
    <w:rsid w:val="007E453B"/>
    <w:rsid w:val="007E4B5A"/>
    <w:rsid w:val="007E677E"/>
    <w:rsid w:val="007F0BE0"/>
    <w:rsid w:val="007F30E7"/>
    <w:rsid w:val="007F3F1F"/>
    <w:rsid w:val="007F45B1"/>
    <w:rsid w:val="007F4667"/>
    <w:rsid w:val="007F5A55"/>
    <w:rsid w:val="007F5A89"/>
    <w:rsid w:val="007F6FBE"/>
    <w:rsid w:val="007F6FC0"/>
    <w:rsid w:val="007F7E66"/>
    <w:rsid w:val="008047CA"/>
    <w:rsid w:val="00804A17"/>
    <w:rsid w:val="00804A9A"/>
    <w:rsid w:val="008050D7"/>
    <w:rsid w:val="00810E8E"/>
    <w:rsid w:val="008111D8"/>
    <w:rsid w:val="00812F94"/>
    <w:rsid w:val="0081472D"/>
    <w:rsid w:val="00815140"/>
    <w:rsid w:val="008161EB"/>
    <w:rsid w:val="008166DA"/>
    <w:rsid w:val="00817D3B"/>
    <w:rsid w:val="00821799"/>
    <w:rsid w:val="00825C1A"/>
    <w:rsid w:val="00830A38"/>
    <w:rsid w:val="00831853"/>
    <w:rsid w:val="008321C6"/>
    <w:rsid w:val="008337B1"/>
    <w:rsid w:val="00833E02"/>
    <w:rsid w:val="00837D72"/>
    <w:rsid w:val="008400E8"/>
    <w:rsid w:val="00842938"/>
    <w:rsid w:val="00842A01"/>
    <w:rsid w:val="00843E96"/>
    <w:rsid w:val="00844FC1"/>
    <w:rsid w:val="00846AC9"/>
    <w:rsid w:val="00847705"/>
    <w:rsid w:val="00847AB1"/>
    <w:rsid w:val="008500E7"/>
    <w:rsid w:val="00850134"/>
    <w:rsid w:val="008513BC"/>
    <w:rsid w:val="00852180"/>
    <w:rsid w:val="00853379"/>
    <w:rsid w:val="00856C4C"/>
    <w:rsid w:val="00856E88"/>
    <w:rsid w:val="00857133"/>
    <w:rsid w:val="00857182"/>
    <w:rsid w:val="00857F3A"/>
    <w:rsid w:val="00860FC8"/>
    <w:rsid w:val="00860FE1"/>
    <w:rsid w:val="00861708"/>
    <w:rsid w:val="00861B8E"/>
    <w:rsid w:val="00862690"/>
    <w:rsid w:val="00863488"/>
    <w:rsid w:val="00865C86"/>
    <w:rsid w:val="0086652A"/>
    <w:rsid w:val="008665E1"/>
    <w:rsid w:val="008671A5"/>
    <w:rsid w:val="0087047A"/>
    <w:rsid w:val="008704BE"/>
    <w:rsid w:val="0087058E"/>
    <w:rsid w:val="008706A4"/>
    <w:rsid w:val="008711A6"/>
    <w:rsid w:val="00871289"/>
    <w:rsid w:val="00872084"/>
    <w:rsid w:val="0087221B"/>
    <w:rsid w:val="00873145"/>
    <w:rsid w:val="00873568"/>
    <w:rsid w:val="008738AC"/>
    <w:rsid w:val="00874657"/>
    <w:rsid w:val="00874BDF"/>
    <w:rsid w:val="008750C3"/>
    <w:rsid w:val="008754E5"/>
    <w:rsid w:val="00875FE5"/>
    <w:rsid w:val="00877D1A"/>
    <w:rsid w:val="00880011"/>
    <w:rsid w:val="00880EA8"/>
    <w:rsid w:val="00881833"/>
    <w:rsid w:val="00881F41"/>
    <w:rsid w:val="00883C03"/>
    <w:rsid w:val="008848F7"/>
    <w:rsid w:val="00887071"/>
    <w:rsid w:val="00890CA5"/>
    <w:rsid w:val="00891EEE"/>
    <w:rsid w:val="00891FFC"/>
    <w:rsid w:val="00892A50"/>
    <w:rsid w:val="008940F8"/>
    <w:rsid w:val="008947B4"/>
    <w:rsid w:val="00894891"/>
    <w:rsid w:val="00895460"/>
    <w:rsid w:val="00895AEA"/>
    <w:rsid w:val="008967A6"/>
    <w:rsid w:val="00897257"/>
    <w:rsid w:val="008A0B89"/>
    <w:rsid w:val="008A0E95"/>
    <w:rsid w:val="008A1F00"/>
    <w:rsid w:val="008A2B39"/>
    <w:rsid w:val="008A2D84"/>
    <w:rsid w:val="008A3F40"/>
    <w:rsid w:val="008A526B"/>
    <w:rsid w:val="008A5749"/>
    <w:rsid w:val="008A6042"/>
    <w:rsid w:val="008A63E3"/>
    <w:rsid w:val="008A71CD"/>
    <w:rsid w:val="008B0157"/>
    <w:rsid w:val="008B0995"/>
    <w:rsid w:val="008B1598"/>
    <w:rsid w:val="008B1765"/>
    <w:rsid w:val="008B1968"/>
    <w:rsid w:val="008B1C99"/>
    <w:rsid w:val="008B25CD"/>
    <w:rsid w:val="008B3580"/>
    <w:rsid w:val="008B388F"/>
    <w:rsid w:val="008B38FA"/>
    <w:rsid w:val="008B41D5"/>
    <w:rsid w:val="008B4D8F"/>
    <w:rsid w:val="008B6068"/>
    <w:rsid w:val="008B6E06"/>
    <w:rsid w:val="008C17F7"/>
    <w:rsid w:val="008C379A"/>
    <w:rsid w:val="008C4505"/>
    <w:rsid w:val="008C4696"/>
    <w:rsid w:val="008C5B19"/>
    <w:rsid w:val="008D07CB"/>
    <w:rsid w:val="008D093F"/>
    <w:rsid w:val="008D1103"/>
    <w:rsid w:val="008D1F4E"/>
    <w:rsid w:val="008D411F"/>
    <w:rsid w:val="008D482B"/>
    <w:rsid w:val="008D4B41"/>
    <w:rsid w:val="008D4CC8"/>
    <w:rsid w:val="008D661F"/>
    <w:rsid w:val="008D69C5"/>
    <w:rsid w:val="008D6F84"/>
    <w:rsid w:val="008D72A1"/>
    <w:rsid w:val="008E0A04"/>
    <w:rsid w:val="008E0B1A"/>
    <w:rsid w:val="008E1832"/>
    <w:rsid w:val="008E1E30"/>
    <w:rsid w:val="008E32E1"/>
    <w:rsid w:val="008E3CF2"/>
    <w:rsid w:val="008E48DA"/>
    <w:rsid w:val="008E4D82"/>
    <w:rsid w:val="008E5E41"/>
    <w:rsid w:val="008E68B8"/>
    <w:rsid w:val="008F2387"/>
    <w:rsid w:val="008F271F"/>
    <w:rsid w:val="008F2AAB"/>
    <w:rsid w:val="008F3AFE"/>
    <w:rsid w:val="008F3D51"/>
    <w:rsid w:val="008F5A27"/>
    <w:rsid w:val="008F6223"/>
    <w:rsid w:val="008F6488"/>
    <w:rsid w:val="00903551"/>
    <w:rsid w:val="0090556E"/>
    <w:rsid w:val="00905BDE"/>
    <w:rsid w:val="00905F4A"/>
    <w:rsid w:val="0090635C"/>
    <w:rsid w:val="00906ACE"/>
    <w:rsid w:val="00907236"/>
    <w:rsid w:val="00910CB9"/>
    <w:rsid w:val="00911879"/>
    <w:rsid w:val="00912271"/>
    <w:rsid w:val="0091238D"/>
    <w:rsid w:val="00912B6F"/>
    <w:rsid w:val="00913956"/>
    <w:rsid w:val="009146D1"/>
    <w:rsid w:val="00915925"/>
    <w:rsid w:val="00915A54"/>
    <w:rsid w:val="00916458"/>
    <w:rsid w:val="00916C04"/>
    <w:rsid w:val="009172C3"/>
    <w:rsid w:val="009175E1"/>
    <w:rsid w:val="00920A35"/>
    <w:rsid w:val="00921985"/>
    <w:rsid w:val="0092231A"/>
    <w:rsid w:val="00922E36"/>
    <w:rsid w:val="00923A24"/>
    <w:rsid w:val="00924DD7"/>
    <w:rsid w:val="009253E0"/>
    <w:rsid w:val="00925505"/>
    <w:rsid w:val="00925710"/>
    <w:rsid w:val="0092628D"/>
    <w:rsid w:val="0092636C"/>
    <w:rsid w:val="00926F6B"/>
    <w:rsid w:val="009272C5"/>
    <w:rsid w:val="009273FC"/>
    <w:rsid w:val="00930680"/>
    <w:rsid w:val="009319CC"/>
    <w:rsid w:val="00932880"/>
    <w:rsid w:val="009350EC"/>
    <w:rsid w:val="00935A8C"/>
    <w:rsid w:val="00935C33"/>
    <w:rsid w:val="009366B2"/>
    <w:rsid w:val="009374D4"/>
    <w:rsid w:val="00937640"/>
    <w:rsid w:val="00940793"/>
    <w:rsid w:val="009415FC"/>
    <w:rsid w:val="00943AC2"/>
    <w:rsid w:val="00943CD1"/>
    <w:rsid w:val="009445CA"/>
    <w:rsid w:val="00944CC6"/>
    <w:rsid w:val="00945553"/>
    <w:rsid w:val="00945DCB"/>
    <w:rsid w:val="00946417"/>
    <w:rsid w:val="009477FF"/>
    <w:rsid w:val="00947D01"/>
    <w:rsid w:val="0095080F"/>
    <w:rsid w:val="00950E78"/>
    <w:rsid w:val="009515C3"/>
    <w:rsid w:val="00951B5D"/>
    <w:rsid w:val="00951CEF"/>
    <w:rsid w:val="00951EFD"/>
    <w:rsid w:val="00953A74"/>
    <w:rsid w:val="00954961"/>
    <w:rsid w:val="00955480"/>
    <w:rsid w:val="00955825"/>
    <w:rsid w:val="00955BF4"/>
    <w:rsid w:val="009569B5"/>
    <w:rsid w:val="00956AC9"/>
    <w:rsid w:val="00956FF4"/>
    <w:rsid w:val="00957BD4"/>
    <w:rsid w:val="0096089C"/>
    <w:rsid w:val="00961A86"/>
    <w:rsid w:val="00961DB1"/>
    <w:rsid w:val="009640EE"/>
    <w:rsid w:val="00964784"/>
    <w:rsid w:val="00966241"/>
    <w:rsid w:val="00967845"/>
    <w:rsid w:val="009703B0"/>
    <w:rsid w:val="00970997"/>
    <w:rsid w:val="009709BD"/>
    <w:rsid w:val="00971C4E"/>
    <w:rsid w:val="00972FE6"/>
    <w:rsid w:val="009744AF"/>
    <w:rsid w:val="009744D3"/>
    <w:rsid w:val="00974D32"/>
    <w:rsid w:val="009762BE"/>
    <w:rsid w:val="00976EDE"/>
    <w:rsid w:val="00976F74"/>
    <w:rsid w:val="00980AA7"/>
    <w:rsid w:val="00980CA7"/>
    <w:rsid w:val="00981AFC"/>
    <w:rsid w:val="00982EF7"/>
    <w:rsid w:val="0098341F"/>
    <w:rsid w:val="00983F27"/>
    <w:rsid w:val="009844BD"/>
    <w:rsid w:val="00984951"/>
    <w:rsid w:val="00985D9D"/>
    <w:rsid w:val="009868C8"/>
    <w:rsid w:val="00987332"/>
    <w:rsid w:val="0098767B"/>
    <w:rsid w:val="009876D1"/>
    <w:rsid w:val="009902A7"/>
    <w:rsid w:val="00990A5E"/>
    <w:rsid w:val="00990CE0"/>
    <w:rsid w:val="009913C7"/>
    <w:rsid w:val="0099466A"/>
    <w:rsid w:val="00994937"/>
    <w:rsid w:val="009949A2"/>
    <w:rsid w:val="00995559"/>
    <w:rsid w:val="0099685A"/>
    <w:rsid w:val="00996C89"/>
    <w:rsid w:val="009A0E1F"/>
    <w:rsid w:val="009A172B"/>
    <w:rsid w:val="009A5984"/>
    <w:rsid w:val="009A757F"/>
    <w:rsid w:val="009B001B"/>
    <w:rsid w:val="009B23FB"/>
    <w:rsid w:val="009B2C95"/>
    <w:rsid w:val="009B4AE8"/>
    <w:rsid w:val="009B4C6F"/>
    <w:rsid w:val="009B549F"/>
    <w:rsid w:val="009B5BE7"/>
    <w:rsid w:val="009B6B3C"/>
    <w:rsid w:val="009C0D13"/>
    <w:rsid w:val="009C5118"/>
    <w:rsid w:val="009C7494"/>
    <w:rsid w:val="009D0064"/>
    <w:rsid w:val="009D17A0"/>
    <w:rsid w:val="009D38BE"/>
    <w:rsid w:val="009D4F25"/>
    <w:rsid w:val="009E0506"/>
    <w:rsid w:val="009E1519"/>
    <w:rsid w:val="009E31E3"/>
    <w:rsid w:val="009E33A7"/>
    <w:rsid w:val="009E3646"/>
    <w:rsid w:val="009E7ACE"/>
    <w:rsid w:val="009E7F69"/>
    <w:rsid w:val="009F067D"/>
    <w:rsid w:val="009F0C3C"/>
    <w:rsid w:val="009F23B7"/>
    <w:rsid w:val="009F3047"/>
    <w:rsid w:val="009F312F"/>
    <w:rsid w:val="009F46FB"/>
    <w:rsid w:val="009F5098"/>
    <w:rsid w:val="009F5C9D"/>
    <w:rsid w:val="009F7F40"/>
    <w:rsid w:val="00A02685"/>
    <w:rsid w:val="00A02F82"/>
    <w:rsid w:val="00A03141"/>
    <w:rsid w:val="00A03600"/>
    <w:rsid w:val="00A04DCD"/>
    <w:rsid w:val="00A05CB8"/>
    <w:rsid w:val="00A065E8"/>
    <w:rsid w:val="00A06B4D"/>
    <w:rsid w:val="00A07D5B"/>
    <w:rsid w:val="00A10DC2"/>
    <w:rsid w:val="00A12AEE"/>
    <w:rsid w:val="00A1367F"/>
    <w:rsid w:val="00A1519E"/>
    <w:rsid w:val="00A204DD"/>
    <w:rsid w:val="00A2099E"/>
    <w:rsid w:val="00A20DDA"/>
    <w:rsid w:val="00A211F3"/>
    <w:rsid w:val="00A2138A"/>
    <w:rsid w:val="00A23D0B"/>
    <w:rsid w:val="00A24FDD"/>
    <w:rsid w:val="00A253E9"/>
    <w:rsid w:val="00A30D09"/>
    <w:rsid w:val="00A32154"/>
    <w:rsid w:val="00A326FE"/>
    <w:rsid w:val="00A32ED9"/>
    <w:rsid w:val="00A33CD5"/>
    <w:rsid w:val="00A34329"/>
    <w:rsid w:val="00A347A8"/>
    <w:rsid w:val="00A35B0D"/>
    <w:rsid w:val="00A35C45"/>
    <w:rsid w:val="00A35FB7"/>
    <w:rsid w:val="00A3705C"/>
    <w:rsid w:val="00A40572"/>
    <w:rsid w:val="00A42178"/>
    <w:rsid w:val="00A43948"/>
    <w:rsid w:val="00A44967"/>
    <w:rsid w:val="00A45AA5"/>
    <w:rsid w:val="00A46586"/>
    <w:rsid w:val="00A46678"/>
    <w:rsid w:val="00A46B46"/>
    <w:rsid w:val="00A47D98"/>
    <w:rsid w:val="00A47FC5"/>
    <w:rsid w:val="00A517BF"/>
    <w:rsid w:val="00A531E7"/>
    <w:rsid w:val="00A53971"/>
    <w:rsid w:val="00A54B04"/>
    <w:rsid w:val="00A55349"/>
    <w:rsid w:val="00A55D04"/>
    <w:rsid w:val="00A5650F"/>
    <w:rsid w:val="00A579BF"/>
    <w:rsid w:val="00A60029"/>
    <w:rsid w:val="00A60E43"/>
    <w:rsid w:val="00A637D2"/>
    <w:rsid w:val="00A647F3"/>
    <w:rsid w:val="00A662AB"/>
    <w:rsid w:val="00A665FD"/>
    <w:rsid w:val="00A66C1A"/>
    <w:rsid w:val="00A673A1"/>
    <w:rsid w:val="00A67D9F"/>
    <w:rsid w:val="00A70E5A"/>
    <w:rsid w:val="00A70F00"/>
    <w:rsid w:val="00A713C8"/>
    <w:rsid w:val="00A714C4"/>
    <w:rsid w:val="00A724CB"/>
    <w:rsid w:val="00A73183"/>
    <w:rsid w:val="00A74E22"/>
    <w:rsid w:val="00A75509"/>
    <w:rsid w:val="00A75599"/>
    <w:rsid w:val="00A757B7"/>
    <w:rsid w:val="00A76594"/>
    <w:rsid w:val="00A77CB9"/>
    <w:rsid w:val="00A77D3D"/>
    <w:rsid w:val="00A80F3E"/>
    <w:rsid w:val="00A82534"/>
    <w:rsid w:val="00A855A5"/>
    <w:rsid w:val="00A856F7"/>
    <w:rsid w:val="00A858FD"/>
    <w:rsid w:val="00A8632C"/>
    <w:rsid w:val="00A8661A"/>
    <w:rsid w:val="00A86AF1"/>
    <w:rsid w:val="00A86B71"/>
    <w:rsid w:val="00A87863"/>
    <w:rsid w:val="00A913FC"/>
    <w:rsid w:val="00A91DB3"/>
    <w:rsid w:val="00A921B7"/>
    <w:rsid w:val="00A93ADE"/>
    <w:rsid w:val="00A963BC"/>
    <w:rsid w:val="00A965E2"/>
    <w:rsid w:val="00A970AF"/>
    <w:rsid w:val="00A97498"/>
    <w:rsid w:val="00AA1CD2"/>
    <w:rsid w:val="00AA2545"/>
    <w:rsid w:val="00AA3E5D"/>
    <w:rsid w:val="00AA55D1"/>
    <w:rsid w:val="00AA7761"/>
    <w:rsid w:val="00AB389A"/>
    <w:rsid w:val="00AB40FC"/>
    <w:rsid w:val="00AB4D81"/>
    <w:rsid w:val="00AC0188"/>
    <w:rsid w:val="00AC1180"/>
    <w:rsid w:val="00AC18BA"/>
    <w:rsid w:val="00AC2CD0"/>
    <w:rsid w:val="00AC2FA2"/>
    <w:rsid w:val="00AC39A5"/>
    <w:rsid w:val="00AC4741"/>
    <w:rsid w:val="00AC52B8"/>
    <w:rsid w:val="00AC7D11"/>
    <w:rsid w:val="00AD0D1F"/>
    <w:rsid w:val="00AD0D4D"/>
    <w:rsid w:val="00AD1802"/>
    <w:rsid w:val="00AD19BB"/>
    <w:rsid w:val="00AD2BC9"/>
    <w:rsid w:val="00AD404E"/>
    <w:rsid w:val="00AD4881"/>
    <w:rsid w:val="00AD4C47"/>
    <w:rsid w:val="00AD5032"/>
    <w:rsid w:val="00AD5067"/>
    <w:rsid w:val="00AD53FC"/>
    <w:rsid w:val="00AD5B18"/>
    <w:rsid w:val="00AE00F6"/>
    <w:rsid w:val="00AE0133"/>
    <w:rsid w:val="00AE0805"/>
    <w:rsid w:val="00AE136A"/>
    <w:rsid w:val="00AE2AC1"/>
    <w:rsid w:val="00AE3BDA"/>
    <w:rsid w:val="00AE3EE6"/>
    <w:rsid w:val="00AE41A5"/>
    <w:rsid w:val="00AE42E5"/>
    <w:rsid w:val="00AE43E8"/>
    <w:rsid w:val="00AE537E"/>
    <w:rsid w:val="00AE58E9"/>
    <w:rsid w:val="00AE5F02"/>
    <w:rsid w:val="00AE6DA6"/>
    <w:rsid w:val="00AE7668"/>
    <w:rsid w:val="00AE7C12"/>
    <w:rsid w:val="00AF0571"/>
    <w:rsid w:val="00AF1216"/>
    <w:rsid w:val="00AF1EA7"/>
    <w:rsid w:val="00AF38FC"/>
    <w:rsid w:val="00AF3B69"/>
    <w:rsid w:val="00AF4FA8"/>
    <w:rsid w:val="00AF4FF1"/>
    <w:rsid w:val="00AF538B"/>
    <w:rsid w:val="00AF5700"/>
    <w:rsid w:val="00B00BA3"/>
    <w:rsid w:val="00B00D0B"/>
    <w:rsid w:val="00B00E2E"/>
    <w:rsid w:val="00B019E2"/>
    <w:rsid w:val="00B01DCB"/>
    <w:rsid w:val="00B02188"/>
    <w:rsid w:val="00B0259E"/>
    <w:rsid w:val="00B03145"/>
    <w:rsid w:val="00B0595F"/>
    <w:rsid w:val="00B063B3"/>
    <w:rsid w:val="00B11AC4"/>
    <w:rsid w:val="00B12053"/>
    <w:rsid w:val="00B12358"/>
    <w:rsid w:val="00B13C47"/>
    <w:rsid w:val="00B1444E"/>
    <w:rsid w:val="00B14EFC"/>
    <w:rsid w:val="00B1618D"/>
    <w:rsid w:val="00B17762"/>
    <w:rsid w:val="00B20624"/>
    <w:rsid w:val="00B208A3"/>
    <w:rsid w:val="00B21F1C"/>
    <w:rsid w:val="00B22901"/>
    <w:rsid w:val="00B22F57"/>
    <w:rsid w:val="00B24385"/>
    <w:rsid w:val="00B25053"/>
    <w:rsid w:val="00B264D3"/>
    <w:rsid w:val="00B26B06"/>
    <w:rsid w:val="00B30FD8"/>
    <w:rsid w:val="00B3245E"/>
    <w:rsid w:val="00B328CF"/>
    <w:rsid w:val="00B32D66"/>
    <w:rsid w:val="00B331C9"/>
    <w:rsid w:val="00B333F1"/>
    <w:rsid w:val="00B33E84"/>
    <w:rsid w:val="00B350A8"/>
    <w:rsid w:val="00B40168"/>
    <w:rsid w:val="00B40DC9"/>
    <w:rsid w:val="00B420F0"/>
    <w:rsid w:val="00B43E72"/>
    <w:rsid w:val="00B444EA"/>
    <w:rsid w:val="00B446FE"/>
    <w:rsid w:val="00B4501B"/>
    <w:rsid w:val="00B455BA"/>
    <w:rsid w:val="00B459F6"/>
    <w:rsid w:val="00B45BE5"/>
    <w:rsid w:val="00B45DB8"/>
    <w:rsid w:val="00B4688C"/>
    <w:rsid w:val="00B4756B"/>
    <w:rsid w:val="00B50020"/>
    <w:rsid w:val="00B50975"/>
    <w:rsid w:val="00B51C06"/>
    <w:rsid w:val="00B51D21"/>
    <w:rsid w:val="00B547FE"/>
    <w:rsid w:val="00B567D8"/>
    <w:rsid w:val="00B57840"/>
    <w:rsid w:val="00B6006A"/>
    <w:rsid w:val="00B60163"/>
    <w:rsid w:val="00B6098E"/>
    <w:rsid w:val="00B62780"/>
    <w:rsid w:val="00B63AE6"/>
    <w:rsid w:val="00B63AEE"/>
    <w:rsid w:val="00B70978"/>
    <w:rsid w:val="00B70B2B"/>
    <w:rsid w:val="00B734F3"/>
    <w:rsid w:val="00B73F1E"/>
    <w:rsid w:val="00B74363"/>
    <w:rsid w:val="00B743AC"/>
    <w:rsid w:val="00B764D4"/>
    <w:rsid w:val="00B76BD8"/>
    <w:rsid w:val="00B770FC"/>
    <w:rsid w:val="00B80259"/>
    <w:rsid w:val="00B8157B"/>
    <w:rsid w:val="00B82E29"/>
    <w:rsid w:val="00B84B09"/>
    <w:rsid w:val="00B87E4A"/>
    <w:rsid w:val="00B87F6D"/>
    <w:rsid w:val="00B902E3"/>
    <w:rsid w:val="00B92EA3"/>
    <w:rsid w:val="00B93985"/>
    <w:rsid w:val="00B94F2D"/>
    <w:rsid w:val="00B95427"/>
    <w:rsid w:val="00B9551E"/>
    <w:rsid w:val="00B969EF"/>
    <w:rsid w:val="00B97ADB"/>
    <w:rsid w:val="00B97F7E"/>
    <w:rsid w:val="00BA008E"/>
    <w:rsid w:val="00BA0957"/>
    <w:rsid w:val="00BA12B4"/>
    <w:rsid w:val="00BA1C41"/>
    <w:rsid w:val="00BA1FD6"/>
    <w:rsid w:val="00BA2A02"/>
    <w:rsid w:val="00BA4AEA"/>
    <w:rsid w:val="00BA4B85"/>
    <w:rsid w:val="00BA5C99"/>
    <w:rsid w:val="00BA6667"/>
    <w:rsid w:val="00BB1E1F"/>
    <w:rsid w:val="00BB24F4"/>
    <w:rsid w:val="00BB257B"/>
    <w:rsid w:val="00BB4AF4"/>
    <w:rsid w:val="00BB4EDF"/>
    <w:rsid w:val="00BB5A09"/>
    <w:rsid w:val="00BB6048"/>
    <w:rsid w:val="00BB6AF8"/>
    <w:rsid w:val="00BB746E"/>
    <w:rsid w:val="00BB7735"/>
    <w:rsid w:val="00BC1C13"/>
    <w:rsid w:val="00BC232B"/>
    <w:rsid w:val="00BC2B38"/>
    <w:rsid w:val="00BC5F1F"/>
    <w:rsid w:val="00BD03BD"/>
    <w:rsid w:val="00BD06A9"/>
    <w:rsid w:val="00BD07FB"/>
    <w:rsid w:val="00BD0B3A"/>
    <w:rsid w:val="00BD0B7C"/>
    <w:rsid w:val="00BD298F"/>
    <w:rsid w:val="00BD3CB0"/>
    <w:rsid w:val="00BD4280"/>
    <w:rsid w:val="00BD4856"/>
    <w:rsid w:val="00BD4A0A"/>
    <w:rsid w:val="00BD5538"/>
    <w:rsid w:val="00BD5E4B"/>
    <w:rsid w:val="00BD6B08"/>
    <w:rsid w:val="00BD7393"/>
    <w:rsid w:val="00BD7CD5"/>
    <w:rsid w:val="00BD7E76"/>
    <w:rsid w:val="00BE1157"/>
    <w:rsid w:val="00BE12C9"/>
    <w:rsid w:val="00BE1792"/>
    <w:rsid w:val="00BE1C93"/>
    <w:rsid w:val="00BE3108"/>
    <w:rsid w:val="00BE4972"/>
    <w:rsid w:val="00BE4991"/>
    <w:rsid w:val="00BE4A20"/>
    <w:rsid w:val="00BE5976"/>
    <w:rsid w:val="00BE6540"/>
    <w:rsid w:val="00BE6AA3"/>
    <w:rsid w:val="00BE6BFC"/>
    <w:rsid w:val="00BE6DAD"/>
    <w:rsid w:val="00BE720D"/>
    <w:rsid w:val="00BE75D4"/>
    <w:rsid w:val="00BE775E"/>
    <w:rsid w:val="00BF166E"/>
    <w:rsid w:val="00BF3B32"/>
    <w:rsid w:val="00BF3E36"/>
    <w:rsid w:val="00BF3EEE"/>
    <w:rsid w:val="00BF407E"/>
    <w:rsid w:val="00BF4639"/>
    <w:rsid w:val="00BF6441"/>
    <w:rsid w:val="00BF6681"/>
    <w:rsid w:val="00BF684A"/>
    <w:rsid w:val="00BF74F6"/>
    <w:rsid w:val="00BF7D53"/>
    <w:rsid w:val="00C0078A"/>
    <w:rsid w:val="00C00C3F"/>
    <w:rsid w:val="00C00EDF"/>
    <w:rsid w:val="00C0189E"/>
    <w:rsid w:val="00C03B67"/>
    <w:rsid w:val="00C04337"/>
    <w:rsid w:val="00C04C81"/>
    <w:rsid w:val="00C050AA"/>
    <w:rsid w:val="00C068C1"/>
    <w:rsid w:val="00C12229"/>
    <w:rsid w:val="00C122B2"/>
    <w:rsid w:val="00C13146"/>
    <w:rsid w:val="00C13B9E"/>
    <w:rsid w:val="00C13D42"/>
    <w:rsid w:val="00C141E3"/>
    <w:rsid w:val="00C143FA"/>
    <w:rsid w:val="00C14CBD"/>
    <w:rsid w:val="00C16B68"/>
    <w:rsid w:val="00C16DDB"/>
    <w:rsid w:val="00C174E6"/>
    <w:rsid w:val="00C177C8"/>
    <w:rsid w:val="00C17B24"/>
    <w:rsid w:val="00C201B7"/>
    <w:rsid w:val="00C210BB"/>
    <w:rsid w:val="00C22254"/>
    <w:rsid w:val="00C22915"/>
    <w:rsid w:val="00C22F62"/>
    <w:rsid w:val="00C234C3"/>
    <w:rsid w:val="00C24648"/>
    <w:rsid w:val="00C24B11"/>
    <w:rsid w:val="00C25126"/>
    <w:rsid w:val="00C2661F"/>
    <w:rsid w:val="00C30ADB"/>
    <w:rsid w:val="00C31BDE"/>
    <w:rsid w:val="00C33871"/>
    <w:rsid w:val="00C33FBA"/>
    <w:rsid w:val="00C347C0"/>
    <w:rsid w:val="00C34B47"/>
    <w:rsid w:val="00C34F68"/>
    <w:rsid w:val="00C36652"/>
    <w:rsid w:val="00C40EB4"/>
    <w:rsid w:val="00C41375"/>
    <w:rsid w:val="00C41923"/>
    <w:rsid w:val="00C42804"/>
    <w:rsid w:val="00C4281C"/>
    <w:rsid w:val="00C42B72"/>
    <w:rsid w:val="00C42ED5"/>
    <w:rsid w:val="00C4394C"/>
    <w:rsid w:val="00C43B47"/>
    <w:rsid w:val="00C46A65"/>
    <w:rsid w:val="00C50759"/>
    <w:rsid w:val="00C51D82"/>
    <w:rsid w:val="00C52130"/>
    <w:rsid w:val="00C52B0D"/>
    <w:rsid w:val="00C52B70"/>
    <w:rsid w:val="00C53DB4"/>
    <w:rsid w:val="00C54204"/>
    <w:rsid w:val="00C54488"/>
    <w:rsid w:val="00C54D4F"/>
    <w:rsid w:val="00C55E50"/>
    <w:rsid w:val="00C564B1"/>
    <w:rsid w:val="00C575AB"/>
    <w:rsid w:val="00C57DAB"/>
    <w:rsid w:val="00C6282C"/>
    <w:rsid w:val="00C636C8"/>
    <w:rsid w:val="00C64DEB"/>
    <w:rsid w:val="00C6698E"/>
    <w:rsid w:val="00C66CF8"/>
    <w:rsid w:val="00C66E70"/>
    <w:rsid w:val="00C673D2"/>
    <w:rsid w:val="00C707BC"/>
    <w:rsid w:val="00C70DB8"/>
    <w:rsid w:val="00C70FA4"/>
    <w:rsid w:val="00C710A7"/>
    <w:rsid w:val="00C718E7"/>
    <w:rsid w:val="00C7262A"/>
    <w:rsid w:val="00C72D2B"/>
    <w:rsid w:val="00C75954"/>
    <w:rsid w:val="00C76021"/>
    <w:rsid w:val="00C76A48"/>
    <w:rsid w:val="00C76EF4"/>
    <w:rsid w:val="00C77B86"/>
    <w:rsid w:val="00C77C63"/>
    <w:rsid w:val="00C81743"/>
    <w:rsid w:val="00C81950"/>
    <w:rsid w:val="00C83858"/>
    <w:rsid w:val="00C83F48"/>
    <w:rsid w:val="00C83FAF"/>
    <w:rsid w:val="00C84347"/>
    <w:rsid w:val="00C84A00"/>
    <w:rsid w:val="00C84ED9"/>
    <w:rsid w:val="00C85889"/>
    <w:rsid w:val="00C85F53"/>
    <w:rsid w:val="00C907D0"/>
    <w:rsid w:val="00C95C6D"/>
    <w:rsid w:val="00C968DD"/>
    <w:rsid w:val="00C96A40"/>
    <w:rsid w:val="00C97973"/>
    <w:rsid w:val="00CA0440"/>
    <w:rsid w:val="00CA0A33"/>
    <w:rsid w:val="00CA2868"/>
    <w:rsid w:val="00CA312A"/>
    <w:rsid w:val="00CA481D"/>
    <w:rsid w:val="00CA4C8D"/>
    <w:rsid w:val="00CA4DA1"/>
    <w:rsid w:val="00CA5404"/>
    <w:rsid w:val="00CA673B"/>
    <w:rsid w:val="00CB047B"/>
    <w:rsid w:val="00CB0819"/>
    <w:rsid w:val="00CB0CBA"/>
    <w:rsid w:val="00CB635E"/>
    <w:rsid w:val="00CC178A"/>
    <w:rsid w:val="00CC1C2A"/>
    <w:rsid w:val="00CC20B5"/>
    <w:rsid w:val="00CC2399"/>
    <w:rsid w:val="00CC281D"/>
    <w:rsid w:val="00CC3416"/>
    <w:rsid w:val="00CC3D19"/>
    <w:rsid w:val="00CC546F"/>
    <w:rsid w:val="00CC5B34"/>
    <w:rsid w:val="00CC73D5"/>
    <w:rsid w:val="00CD010C"/>
    <w:rsid w:val="00CD17B1"/>
    <w:rsid w:val="00CD207A"/>
    <w:rsid w:val="00CD23B2"/>
    <w:rsid w:val="00CD2B0A"/>
    <w:rsid w:val="00CD2BFB"/>
    <w:rsid w:val="00CD2D63"/>
    <w:rsid w:val="00CD3913"/>
    <w:rsid w:val="00CD3BB1"/>
    <w:rsid w:val="00CD4CBD"/>
    <w:rsid w:val="00CD5CA0"/>
    <w:rsid w:val="00CD6E64"/>
    <w:rsid w:val="00CD6EC4"/>
    <w:rsid w:val="00CD7628"/>
    <w:rsid w:val="00CE0788"/>
    <w:rsid w:val="00CE14AA"/>
    <w:rsid w:val="00CE1B08"/>
    <w:rsid w:val="00CE30CA"/>
    <w:rsid w:val="00CE32C6"/>
    <w:rsid w:val="00CE37F0"/>
    <w:rsid w:val="00CE3B09"/>
    <w:rsid w:val="00CE6256"/>
    <w:rsid w:val="00CF01B2"/>
    <w:rsid w:val="00CF0620"/>
    <w:rsid w:val="00CF13B8"/>
    <w:rsid w:val="00CF239E"/>
    <w:rsid w:val="00CF4942"/>
    <w:rsid w:val="00CF5380"/>
    <w:rsid w:val="00CF5609"/>
    <w:rsid w:val="00CF5BDD"/>
    <w:rsid w:val="00CF6522"/>
    <w:rsid w:val="00CF6655"/>
    <w:rsid w:val="00CF6C49"/>
    <w:rsid w:val="00CF71D1"/>
    <w:rsid w:val="00CF755A"/>
    <w:rsid w:val="00CF78AD"/>
    <w:rsid w:val="00CF7DB4"/>
    <w:rsid w:val="00D014D7"/>
    <w:rsid w:val="00D01CD2"/>
    <w:rsid w:val="00D0469E"/>
    <w:rsid w:val="00D063CA"/>
    <w:rsid w:val="00D0760C"/>
    <w:rsid w:val="00D076BD"/>
    <w:rsid w:val="00D079C0"/>
    <w:rsid w:val="00D10943"/>
    <w:rsid w:val="00D11833"/>
    <w:rsid w:val="00D11E30"/>
    <w:rsid w:val="00D13053"/>
    <w:rsid w:val="00D13F07"/>
    <w:rsid w:val="00D141FF"/>
    <w:rsid w:val="00D14D33"/>
    <w:rsid w:val="00D15E30"/>
    <w:rsid w:val="00D16844"/>
    <w:rsid w:val="00D17819"/>
    <w:rsid w:val="00D204A0"/>
    <w:rsid w:val="00D207C6"/>
    <w:rsid w:val="00D21095"/>
    <w:rsid w:val="00D214A9"/>
    <w:rsid w:val="00D2411C"/>
    <w:rsid w:val="00D241A7"/>
    <w:rsid w:val="00D2467C"/>
    <w:rsid w:val="00D25DDF"/>
    <w:rsid w:val="00D26FE5"/>
    <w:rsid w:val="00D27548"/>
    <w:rsid w:val="00D30326"/>
    <w:rsid w:val="00D30A67"/>
    <w:rsid w:val="00D30F9E"/>
    <w:rsid w:val="00D31C2A"/>
    <w:rsid w:val="00D32CAD"/>
    <w:rsid w:val="00D32CE4"/>
    <w:rsid w:val="00D32EC7"/>
    <w:rsid w:val="00D33A1D"/>
    <w:rsid w:val="00D353EB"/>
    <w:rsid w:val="00D369F3"/>
    <w:rsid w:val="00D36A5D"/>
    <w:rsid w:val="00D4078D"/>
    <w:rsid w:val="00D40A54"/>
    <w:rsid w:val="00D410EA"/>
    <w:rsid w:val="00D414A4"/>
    <w:rsid w:val="00D41500"/>
    <w:rsid w:val="00D417FD"/>
    <w:rsid w:val="00D427ED"/>
    <w:rsid w:val="00D4524F"/>
    <w:rsid w:val="00D4531E"/>
    <w:rsid w:val="00D4660B"/>
    <w:rsid w:val="00D54F6C"/>
    <w:rsid w:val="00D570D0"/>
    <w:rsid w:val="00D576C4"/>
    <w:rsid w:val="00D6053D"/>
    <w:rsid w:val="00D6151E"/>
    <w:rsid w:val="00D61B21"/>
    <w:rsid w:val="00D633C9"/>
    <w:rsid w:val="00D636C6"/>
    <w:rsid w:val="00D64E36"/>
    <w:rsid w:val="00D65AB8"/>
    <w:rsid w:val="00D6745D"/>
    <w:rsid w:val="00D6762E"/>
    <w:rsid w:val="00D7095E"/>
    <w:rsid w:val="00D7122A"/>
    <w:rsid w:val="00D71482"/>
    <w:rsid w:val="00D72248"/>
    <w:rsid w:val="00D72844"/>
    <w:rsid w:val="00D73DD6"/>
    <w:rsid w:val="00D750EF"/>
    <w:rsid w:val="00D80290"/>
    <w:rsid w:val="00D8146A"/>
    <w:rsid w:val="00D81970"/>
    <w:rsid w:val="00D83099"/>
    <w:rsid w:val="00D83D81"/>
    <w:rsid w:val="00D842BF"/>
    <w:rsid w:val="00D84B86"/>
    <w:rsid w:val="00D84E03"/>
    <w:rsid w:val="00D85AD4"/>
    <w:rsid w:val="00D86009"/>
    <w:rsid w:val="00D862AD"/>
    <w:rsid w:val="00D87B23"/>
    <w:rsid w:val="00D903C4"/>
    <w:rsid w:val="00D916F5"/>
    <w:rsid w:val="00D91CF9"/>
    <w:rsid w:val="00D92F95"/>
    <w:rsid w:val="00D930E0"/>
    <w:rsid w:val="00D9565D"/>
    <w:rsid w:val="00D979B0"/>
    <w:rsid w:val="00D97CE3"/>
    <w:rsid w:val="00DA0044"/>
    <w:rsid w:val="00DA04A3"/>
    <w:rsid w:val="00DA0687"/>
    <w:rsid w:val="00DA1087"/>
    <w:rsid w:val="00DA3F21"/>
    <w:rsid w:val="00DA43AC"/>
    <w:rsid w:val="00DA4B7E"/>
    <w:rsid w:val="00DA4DA6"/>
    <w:rsid w:val="00DA5339"/>
    <w:rsid w:val="00DA5C8A"/>
    <w:rsid w:val="00DA6CEE"/>
    <w:rsid w:val="00DA7121"/>
    <w:rsid w:val="00DA75D1"/>
    <w:rsid w:val="00DB44B6"/>
    <w:rsid w:val="00DB737B"/>
    <w:rsid w:val="00DB7CEF"/>
    <w:rsid w:val="00DB7D12"/>
    <w:rsid w:val="00DC06CF"/>
    <w:rsid w:val="00DC1B0E"/>
    <w:rsid w:val="00DC1F2B"/>
    <w:rsid w:val="00DC285D"/>
    <w:rsid w:val="00DC30F5"/>
    <w:rsid w:val="00DC32B3"/>
    <w:rsid w:val="00DC3819"/>
    <w:rsid w:val="00DC4DD1"/>
    <w:rsid w:val="00DC5B3A"/>
    <w:rsid w:val="00DD0AAD"/>
    <w:rsid w:val="00DD12DA"/>
    <w:rsid w:val="00DD1B9C"/>
    <w:rsid w:val="00DD473D"/>
    <w:rsid w:val="00DD5DB9"/>
    <w:rsid w:val="00DD7B72"/>
    <w:rsid w:val="00DE2551"/>
    <w:rsid w:val="00DE2906"/>
    <w:rsid w:val="00DE2BDC"/>
    <w:rsid w:val="00DE4954"/>
    <w:rsid w:val="00DE4D37"/>
    <w:rsid w:val="00DE4D6E"/>
    <w:rsid w:val="00DE5066"/>
    <w:rsid w:val="00DE53F1"/>
    <w:rsid w:val="00DE5674"/>
    <w:rsid w:val="00DE5AB4"/>
    <w:rsid w:val="00DE601F"/>
    <w:rsid w:val="00DE6F18"/>
    <w:rsid w:val="00DF0AEC"/>
    <w:rsid w:val="00DF1081"/>
    <w:rsid w:val="00DF2679"/>
    <w:rsid w:val="00DF392D"/>
    <w:rsid w:val="00DF3D4B"/>
    <w:rsid w:val="00DF61DF"/>
    <w:rsid w:val="00DF66B7"/>
    <w:rsid w:val="00DF7F85"/>
    <w:rsid w:val="00E000C1"/>
    <w:rsid w:val="00E004AD"/>
    <w:rsid w:val="00E008E2"/>
    <w:rsid w:val="00E01EC6"/>
    <w:rsid w:val="00E022AA"/>
    <w:rsid w:val="00E02CFF"/>
    <w:rsid w:val="00E02F08"/>
    <w:rsid w:val="00E037C9"/>
    <w:rsid w:val="00E03D15"/>
    <w:rsid w:val="00E056BF"/>
    <w:rsid w:val="00E065E3"/>
    <w:rsid w:val="00E078FF"/>
    <w:rsid w:val="00E1029A"/>
    <w:rsid w:val="00E12ACB"/>
    <w:rsid w:val="00E12DB9"/>
    <w:rsid w:val="00E1420D"/>
    <w:rsid w:val="00E1507D"/>
    <w:rsid w:val="00E15093"/>
    <w:rsid w:val="00E16C64"/>
    <w:rsid w:val="00E16CA4"/>
    <w:rsid w:val="00E209D3"/>
    <w:rsid w:val="00E23A20"/>
    <w:rsid w:val="00E23ACE"/>
    <w:rsid w:val="00E23F82"/>
    <w:rsid w:val="00E2454A"/>
    <w:rsid w:val="00E24E6E"/>
    <w:rsid w:val="00E26CCB"/>
    <w:rsid w:val="00E27E80"/>
    <w:rsid w:val="00E30543"/>
    <w:rsid w:val="00E30A05"/>
    <w:rsid w:val="00E30FC1"/>
    <w:rsid w:val="00E3153D"/>
    <w:rsid w:val="00E32721"/>
    <w:rsid w:val="00E33BB2"/>
    <w:rsid w:val="00E33E15"/>
    <w:rsid w:val="00E36051"/>
    <w:rsid w:val="00E374F5"/>
    <w:rsid w:val="00E37661"/>
    <w:rsid w:val="00E37917"/>
    <w:rsid w:val="00E40C45"/>
    <w:rsid w:val="00E41649"/>
    <w:rsid w:val="00E42398"/>
    <w:rsid w:val="00E42EDB"/>
    <w:rsid w:val="00E43989"/>
    <w:rsid w:val="00E43C77"/>
    <w:rsid w:val="00E44F30"/>
    <w:rsid w:val="00E450D1"/>
    <w:rsid w:val="00E47D93"/>
    <w:rsid w:val="00E504B9"/>
    <w:rsid w:val="00E508A6"/>
    <w:rsid w:val="00E52522"/>
    <w:rsid w:val="00E52CA2"/>
    <w:rsid w:val="00E53E6C"/>
    <w:rsid w:val="00E606FD"/>
    <w:rsid w:val="00E611AA"/>
    <w:rsid w:val="00E61546"/>
    <w:rsid w:val="00E61BB1"/>
    <w:rsid w:val="00E61E92"/>
    <w:rsid w:val="00E62102"/>
    <w:rsid w:val="00E62F69"/>
    <w:rsid w:val="00E63093"/>
    <w:rsid w:val="00E63153"/>
    <w:rsid w:val="00E631BC"/>
    <w:rsid w:val="00E63210"/>
    <w:rsid w:val="00E637AE"/>
    <w:rsid w:val="00E64364"/>
    <w:rsid w:val="00E65FC0"/>
    <w:rsid w:val="00E66A69"/>
    <w:rsid w:val="00E7028A"/>
    <w:rsid w:val="00E70A67"/>
    <w:rsid w:val="00E71252"/>
    <w:rsid w:val="00E7141A"/>
    <w:rsid w:val="00E71E16"/>
    <w:rsid w:val="00E74422"/>
    <w:rsid w:val="00E750FF"/>
    <w:rsid w:val="00E75DB5"/>
    <w:rsid w:val="00E761A7"/>
    <w:rsid w:val="00E767E0"/>
    <w:rsid w:val="00E77499"/>
    <w:rsid w:val="00E7757E"/>
    <w:rsid w:val="00E77A34"/>
    <w:rsid w:val="00E80059"/>
    <w:rsid w:val="00E82F46"/>
    <w:rsid w:val="00E830B7"/>
    <w:rsid w:val="00E83F16"/>
    <w:rsid w:val="00E84CAB"/>
    <w:rsid w:val="00E875D1"/>
    <w:rsid w:val="00E87607"/>
    <w:rsid w:val="00E87CBD"/>
    <w:rsid w:val="00E91329"/>
    <w:rsid w:val="00E91FAE"/>
    <w:rsid w:val="00E92179"/>
    <w:rsid w:val="00E92707"/>
    <w:rsid w:val="00E936EC"/>
    <w:rsid w:val="00E93C2E"/>
    <w:rsid w:val="00E93F94"/>
    <w:rsid w:val="00E9501A"/>
    <w:rsid w:val="00E9630F"/>
    <w:rsid w:val="00EA09C2"/>
    <w:rsid w:val="00EA0C60"/>
    <w:rsid w:val="00EA0C90"/>
    <w:rsid w:val="00EA0EEC"/>
    <w:rsid w:val="00EA1591"/>
    <w:rsid w:val="00EA1A3A"/>
    <w:rsid w:val="00EA20BD"/>
    <w:rsid w:val="00EA2312"/>
    <w:rsid w:val="00EA239C"/>
    <w:rsid w:val="00EA249E"/>
    <w:rsid w:val="00EA2F64"/>
    <w:rsid w:val="00EA32D2"/>
    <w:rsid w:val="00EA36A5"/>
    <w:rsid w:val="00EA5761"/>
    <w:rsid w:val="00EB0886"/>
    <w:rsid w:val="00EB0FF0"/>
    <w:rsid w:val="00EB17C1"/>
    <w:rsid w:val="00EB24B7"/>
    <w:rsid w:val="00EB3EFC"/>
    <w:rsid w:val="00EB5B53"/>
    <w:rsid w:val="00EB6DDC"/>
    <w:rsid w:val="00EB76EE"/>
    <w:rsid w:val="00EC0161"/>
    <w:rsid w:val="00EC0E8D"/>
    <w:rsid w:val="00EC13DF"/>
    <w:rsid w:val="00EC1A86"/>
    <w:rsid w:val="00EC1D97"/>
    <w:rsid w:val="00EC2F0D"/>
    <w:rsid w:val="00EC32B4"/>
    <w:rsid w:val="00EC4B4F"/>
    <w:rsid w:val="00EC5653"/>
    <w:rsid w:val="00EC6F14"/>
    <w:rsid w:val="00ED013E"/>
    <w:rsid w:val="00ED04B8"/>
    <w:rsid w:val="00ED3063"/>
    <w:rsid w:val="00ED3693"/>
    <w:rsid w:val="00ED38E0"/>
    <w:rsid w:val="00ED4298"/>
    <w:rsid w:val="00ED4421"/>
    <w:rsid w:val="00ED4AEA"/>
    <w:rsid w:val="00ED4D3D"/>
    <w:rsid w:val="00ED511D"/>
    <w:rsid w:val="00ED5AC8"/>
    <w:rsid w:val="00ED5D19"/>
    <w:rsid w:val="00ED7DD4"/>
    <w:rsid w:val="00EE02C6"/>
    <w:rsid w:val="00EE40B9"/>
    <w:rsid w:val="00EE49E6"/>
    <w:rsid w:val="00EE4A2C"/>
    <w:rsid w:val="00EE73A0"/>
    <w:rsid w:val="00EE766B"/>
    <w:rsid w:val="00EF1508"/>
    <w:rsid w:val="00EF16B3"/>
    <w:rsid w:val="00EF18D9"/>
    <w:rsid w:val="00EF1933"/>
    <w:rsid w:val="00EF329D"/>
    <w:rsid w:val="00EF411A"/>
    <w:rsid w:val="00EF48DB"/>
    <w:rsid w:val="00EF690C"/>
    <w:rsid w:val="00EF79CA"/>
    <w:rsid w:val="00F01B83"/>
    <w:rsid w:val="00F03FDE"/>
    <w:rsid w:val="00F05719"/>
    <w:rsid w:val="00F06367"/>
    <w:rsid w:val="00F06B4D"/>
    <w:rsid w:val="00F06CB3"/>
    <w:rsid w:val="00F077EE"/>
    <w:rsid w:val="00F079A2"/>
    <w:rsid w:val="00F10223"/>
    <w:rsid w:val="00F107F9"/>
    <w:rsid w:val="00F10B39"/>
    <w:rsid w:val="00F10D6E"/>
    <w:rsid w:val="00F10DD7"/>
    <w:rsid w:val="00F10FEB"/>
    <w:rsid w:val="00F1190E"/>
    <w:rsid w:val="00F13397"/>
    <w:rsid w:val="00F139EC"/>
    <w:rsid w:val="00F146E1"/>
    <w:rsid w:val="00F15040"/>
    <w:rsid w:val="00F151F1"/>
    <w:rsid w:val="00F157BD"/>
    <w:rsid w:val="00F15AC2"/>
    <w:rsid w:val="00F2000D"/>
    <w:rsid w:val="00F23D96"/>
    <w:rsid w:val="00F23FFC"/>
    <w:rsid w:val="00F250E3"/>
    <w:rsid w:val="00F25808"/>
    <w:rsid w:val="00F27635"/>
    <w:rsid w:val="00F3051B"/>
    <w:rsid w:val="00F3127A"/>
    <w:rsid w:val="00F31B46"/>
    <w:rsid w:val="00F344A2"/>
    <w:rsid w:val="00F34905"/>
    <w:rsid w:val="00F3561F"/>
    <w:rsid w:val="00F358D3"/>
    <w:rsid w:val="00F35F2A"/>
    <w:rsid w:val="00F366E4"/>
    <w:rsid w:val="00F37C9F"/>
    <w:rsid w:val="00F417AB"/>
    <w:rsid w:val="00F421A2"/>
    <w:rsid w:val="00F43E27"/>
    <w:rsid w:val="00F447C5"/>
    <w:rsid w:val="00F47CD1"/>
    <w:rsid w:val="00F5054E"/>
    <w:rsid w:val="00F50D90"/>
    <w:rsid w:val="00F51FC6"/>
    <w:rsid w:val="00F5238E"/>
    <w:rsid w:val="00F5394A"/>
    <w:rsid w:val="00F55A87"/>
    <w:rsid w:val="00F56326"/>
    <w:rsid w:val="00F5644E"/>
    <w:rsid w:val="00F5724F"/>
    <w:rsid w:val="00F57719"/>
    <w:rsid w:val="00F578DD"/>
    <w:rsid w:val="00F57900"/>
    <w:rsid w:val="00F60DCE"/>
    <w:rsid w:val="00F611C3"/>
    <w:rsid w:val="00F63802"/>
    <w:rsid w:val="00F67398"/>
    <w:rsid w:val="00F6792A"/>
    <w:rsid w:val="00F72F77"/>
    <w:rsid w:val="00F7562A"/>
    <w:rsid w:val="00F76AA6"/>
    <w:rsid w:val="00F76E3C"/>
    <w:rsid w:val="00F82BD0"/>
    <w:rsid w:val="00F83CF8"/>
    <w:rsid w:val="00F84169"/>
    <w:rsid w:val="00F851F3"/>
    <w:rsid w:val="00F8684C"/>
    <w:rsid w:val="00F87EEB"/>
    <w:rsid w:val="00F9009E"/>
    <w:rsid w:val="00F90619"/>
    <w:rsid w:val="00F90EFB"/>
    <w:rsid w:val="00F91BB9"/>
    <w:rsid w:val="00F944EF"/>
    <w:rsid w:val="00F951DD"/>
    <w:rsid w:val="00F97E9A"/>
    <w:rsid w:val="00FA1AB5"/>
    <w:rsid w:val="00FA3D40"/>
    <w:rsid w:val="00FA4524"/>
    <w:rsid w:val="00FA4887"/>
    <w:rsid w:val="00FA5690"/>
    <w:rsid w:val="00FA63BD"/>
    <w:rsid w:val="00FA6468"/>
    <w:rsid w:val="00FA6AB6"/>
    <w:rsid w:val="00FA72B1"/>
    <w:rsid w:val="00FA72D7"/>
    <w:rsid w:val="00FB0FFC"/>
    <w:rsid w:val="00FB19C9"/>
    <w:rsid w:val="00FB2A8D"/>
    <w:rsid w:val="00FB30F4"/>
    <w:rsid w:val="00FB477C"/>
    <w:rsid w:val="00FB4875"/>
    <w:rsid w:val="00FB66BF"/>
    <w:rsid w:val="00FB7384"/>
    <w:rsid w:val="00FB797F"/>
    <w:rsid w:val="00FC07F2"/>
    <w:rsid w:val="00FC0F15"/>
    <w:rsid w:val="00FC1BA8"/>
    <w:rsid w:val="00FC2FC7"/>
    <w:rsid w:val="00FC3A9B"/>
    <w:rsid w:val="00FC413F"/>
    <w:rsid w:val="00FC4D17"/>
    <w:rsid w:val="00FC5EE1"/>
    <w:rsid w:val="00FC72C3"/>
    <w:rsid w:val="00FC76A8"/>
    <w:rsid w:val="00FC786C"/>
    <w:rsid w:val="00FD1B30"/>
    <w:rsid w:val="00FD2BA3"/>
    <w:rsid w:val="00FD3C01"/>
    <w:rsid w:val="00FD3D63"/>
    <w:rsid w:val="00FD461A"/>
    <w:rsid w:val="00FD48FD"/>
    <w:rsid w:val="00FD6313"/>
    <w:rsid w:val="00FE0718"/>
    <w:rsid w:val="00FE2465"/>
    <w:rsid w:val="00FE3BEF"/>
    <w:rsid w:val="00FE44FE"/>
    <w:rsid w:val="00FE514C"/>
    <w:rsid w:val="00FE520C"/>
    <w:rsid w:val="00FF0BC0"/>
    <w:rsid w:val="00FF1B10"/>
    <w:rsid w:val="00FF231F"/>
    <w:rsid w:val="00FF264C"/>
    <w:rsid w:val="00FF3606"/>
    <w:rsid w:val="00FF3A04"/>
    <w:rsid w:val="00FF3F07"/>
    <w:rsid w:val="00FF5B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f" fillcolor="white" stroke="f" strokecolor="none [3212]">
      <v:fill color="white" on="f"/>
      <v:stroke color="none [3212]" weight="0" on="f"/>
    </o:shapedefaults>
    <o:shapelayout v:ext="edit">
      <o:idmap v:ext="edit" data="1"/>
    </o:shapelayout>
  </w:shapeDefaults>
  <w:decimalSymbol w:val=","/>
  <w:listSeparator w:val=";"/>
  <w15:chartTrackingRefBased/>
  <w15:docId w15:val="{0043A32F-9F65-4036-8031-F829FC34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rPr>
  </w:style>
  <w:style w:type="paragraph" w:styleId="Ttulo1">
    <w:name w:val="heading 1"/>
    <w:basedOn w:val="Normal"/>
    <w:next w:val="Normal"/>
    <w:qFormat/>
    <w:pPr>
      <w:keepNext/>
      <w:jc w:val="center"/>
      <w:outlineLvl w:val="0"/>
    </w:pPr>
    <w:rPr>
      <w:b/>
      <w:sz w:val="24"/>
    </w:rPr>
  </w:style>
  <w:style w:type="paragraph" w:styleId="Ttulo2">
    <w:name w:val="heading 2"/>
    <w:basedOn w:val="Normal"/>
    <w:next w:val="Normal"/>
    <w:qFormat/>
    <w:pPr>
      <w:keepNext/>
      <w:outlineLvl w:val="1"/>
    </w:pPr>
    <w:rPr>
      <w:b/>
      <w:sz w:val="24"/>
    </w:rPr>
  </w:style>
  <w:style w:type="paragraph" w:styleId="Ttulo3">
    <w:name w:val="heading 3"/>
    <w:basedOn w:val="Normal"/>
    <w:next w:val="Normal"/>
    <w:qFormat/>
    <w:pPr>
      <w:keepNext/>
      <w:jc w:val="center"/>
      <w:outlineLvl w:val="2"/>
    </w:pPr>
    <w:rPr>
      <w:sz w:val="28"/>
    </w:rPr>
  </w:style>
  <w:style w:type="paragraph" w:styleId="Ttulo4">
    <w:name w:val="heading 4"/>
    <w:basedOn w:val="Normal"/>
    <w:next w:val="Normal"/>
    <w:qFormat/>
    <w:pPr>
      <w:keepNext/>
      <w:spacing w:before="100"/>
      <w:outlineLvl w:val="3"/>
    </w:pPr>
    <w:rPr>
      <w:rFonts w:ascii="Arial" w:hAnsi="Arial"/>
      <w:b/>
    </w:rPr>
  </w:style>
  <w:style w:type="paragraph" w:styleId="Ttulo5">
    <w:name w:val="heading 5"/>
    <w:basedOn w:val="Normal"/>
    <w:next w:val="Normal"/>
    <w:qFormat/>
    <w:pPr>
      <w:keepNext/>
      <w:spacing w:before="20"/>
      <w:jc w:val="center"/>
      <w:outlineLvl w:val="4"/>
    </w:pPr>
    <w:rPr>
      <w:rFonts w:ascii="Arial" w:hAnsi="Arial"/>
      <w:b/>
      <w:sz w:val="16"/>
    </w:rPr>
  </w:style>
  <w:style w:type="paragraph" w:styleId="Ttulo6">
    <w:name w:val="heading 6"/>
    <w:basedOn w:val="Normal"/>
    <w:next w:val="Normal"/>
    <w:qFormat/>
    <w:pPr>
      <w:keepNext/>
      <w:ind w:left="1134"/>
      <w:jc w:val="both"/>
      <w:outlineLvl w:val="5"/>
    </w:pPr>
    <w:rPr>
      <w:sz w:val="24"/>
    </w:rPr>
  </w:style>
  <w:style w:type="paragraph" w:styleId="Ttulo7">
    <w:name w:val="heading 7"/>
    <w:basedOn w:val="Normal"/>
    <w:next w:val="Normal"/>
    <w:qFormat/>
    <w:pPr>
      <w:keepNext/>
      <w:jc w:val="both"/>
      <w:outlineLvl w:val="6"/>
    </w:pPr>
    <w:rPr>
      <w:b/>
      <w:sz w:val="24"/>
    </w:rPr>
  </w:style>
  <w:style w:type="paragraph" w:styleId="Ttulo8">
    <w:name w:val="heading 8"/>
    <w:basedOn w:val="Normal"/>
    <w:next w:val="Normal"/>
    <w:qFormat/>
    <w:pPr>
      <w:keepNext/>
      <w:tabs>
        <w:tab w:val="left" w:pos="2552"/>
      </w:tabs>
      <w:ind w:left="-71"/>
      <w:outlineLvl w:val="7"/>
    </w:pPr>
    <w:rPr>
      <w:b/>
      <w:sz w:val="24"/>
    </w:rPr>
  </w:style>
  <w:style w:type="paragraph" w:styleId="Ttulo9">
    <w:name w:val="heading 9"/>
    <w:basedOn w:val="Normal"/>
    <w:next w:val="Normal"/>
    <w:qFormat/>
    <w:pPr>
      <w:keepNext/>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uiPriority w:val="99"/>
    <w:pPr>
      <w:tabs>
        <w:tab w:val="center" w:pos="4419"/>
        <w:tab w:val="right" w:pos="8838"/>
      </w:tabs>
    </w:pPr>
  </w:style>
  <w:style w:type="paragraph" w:styleId="Recuodecorpodetexto">
    <w:name w:val="Body Text Indent"/>
    <w:basedOn w:val="Normal"/>
    <w:link w:val="RecuodecorpodetextoChar"/>
    <w:semiHidden/>
    <w:pPr>
      <w:ind w:left="1134"/>
      <w:jc w:val="both"/>
    </w:pPr>
    <w:rPr>
      <w:sz w:val="24"/>
      <w:lang w:val="x-none" w:eastAsia="x-none"/>
    </w:rPr>
  </w:style>
  <w:style w:type="paragraph" w:styleId="Recuodecorpodetexto2">
    <w:name w:val="Body Text Indent 2"/>
    <w:basedOn w:val="Normal"/>
    <w:semiHidden/>
    <w:pPr>
      <w:ind w:left="1276"/>
      <w:jc w:val="both"/>
    </w:pPr>
    <w:rPr>
      <w:sz w:val="24"/>
    </w:rPr>
  </w:style>
  <w:style w:type="paragraph" w:styleId="Corpodetexto">
    <w:name w:val="Body Text"/>
    <w:basedOn w:val="Normal"/>
    <w:semiHidden/>
    <w:rPr>
      <w:b/>
      <w:bCs/>
      <w:sz w:val="22"/>
    </w:rPr>
  </w:style>
  <w:style w:type="paragraph" w:styleId="Recuodecorpodetexto3">
    <w:name w:val="Body Text Indent 3"/>
    <w:basedOn w:val="Normal"/>
    <w:semiHidden/>
    <w:pPr>
      <w:autoSpaceDE w:val="0"/>
      <w:autoSpaceDN w:val="0"/>
      <w:ind w:left="1134" w:hanging="1134"/>
      <w:jc w:val="both"/>
    </w:pPr>
    <w:rPr>
      <w:snapToGrid/>
      <w:szCs w:val="24"/>
    </w:rPr>
  </w:style>
  <w:style w:type="paragraph" w:styleId="Corpodetexto2">
    <w:name w:val="Body Text 2"/>
    <w:basedOn w:val="Normal"/>
    <w:semiHidden/>
    <w:pPr>
      <w:jc w:val="both"/>
    </w:pPr>
    <w:rPr>
      <w:sz w:val="22"/>
      <w:szCs w:val="22"/>
    </w:rPr>
  </w:style>
  <w:style w:type="paragraph" w:styleId="Ttulo">
    <w:name w:val="Title"/>
    <w:basedOn w:val="Normal"/>
    <w:qFormat/>
    <w:pPr>
      <w:jc w:val="center"/>
    </w:pPr>
    <w:rPr>
      <w:b/>
      <w:sz w:val="28"/>
      <w:u w:val="single"/>
    </w:rPr>
  </w:style>
  <w:style w:type="paragraph" w:styleId="Textodebalo">
    <w:name w:val="Balloon Text"/>
    <w:basedOn w:val="Normal"/>
    <w:semiHidden/>
    <w:rPr>
      <w:rFonts w:ascii="Tahoma" w:hAnsi="Tahoma" w:cs="Tahoma"/>
      <w:sz w:val="16"/>
      <w:szCs w:val="16"/>
    </w:rPr>
  </w:style>
  <w:style w:type="paragraph" w:styleId="Textodenotadefim">
    <w:name w:val="endnote text"/>
    <w:basedOn w:val="Normal"/>
    <w:semiHidden/>
  </w:style>
  <w:style w:type="character" w:styleId="Refdenotadefim">
    <w:name w:val="endnote reference"/>
    <w:semiHidden/>
    <w:rPr>
      <w:vertAlign w:val="superscript"/>
    </w:rPr>
  </w:style>
  <w:style w:type="paragraph" w:styleId="Corpodetexto3">
    <w:name w:val="Body Text 3"/>
    <w:basedOn w:val="Normal"/>
    <w:semiHidden/>
    <w:pPr>
      <w:tabs>
        <w:tab w:val="left" w:pos="1560"/>
      </w:tabs>
    </w:pPr>
    <w:rPr>
      <w:sz w:val="24"/>
    </w:rPr>
  </w:style>
  <w:style w:type="character" w:customStyle="1" w:styleId="RodapChar">
    <w:name w:val="Rodapé Char"/>
    <w:uiPriority w:val="99"/>
    <w:rPr>
      <w:snapToGrid w:val="0"/>
    </w:rPr>
  </w:style>
  <w:style w:type="paragraph" w:styleId="PargrafodaLista">
    <w:name w:val="List Paragraph"/>
    <w:basedOn w:val="Normal"/>
    <w:link w:val="PargrafodaListaChar"/>
    <w:uiPriority w:val="34"/>
    <w:qFormat/>
    <w:pPr>
      <w:widowControl/>
      <w:spacing w:after="200" w:line="276" w:lineRule="auto"/>
      <w:ind w:left="720"/>
      <w:contextualSpacing/>
    </w:pPr>
    <w:rPr>
      <w:rFonts w:ascii="Calibri" w:eastAsia="Calibri" w:hAnsi="Calibri"/>
      <w:snapToGrid/>
      <w:sz w:val="22"/>
      <w:szCs w:val="22"/>
      <w:lang w:eastAsia="en-US"/>
    </w:rPr>
  </w:style>
  <w:style w:type="table" w:styleId="Tabelacomgrade">
    <w:name w:val="Table Grid"/>
    <w:basedOn w:val="Tabelanormal"/>
    <w:uiPriority w:val="39"/>
    <w:rsid w:val="000C39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BF407E"/>
    <w:pPr>
      <w:autoSpaceDE w:val="0"/>
      <w:autoSpaceDN w:val="0"/>
      <w:adjustRightInd w:val="0"/>
    </w:pPr>
    <w:rPr>
      <w:rFonts w:ascii="Verdana" w:hAnsi="Verdana" w:cs="Verdana"/>
      <w:color w:val="000000"/>
      <w:sz w:val="24"/>
      <w:szCs w:val="24"/>
    </w:rPr>
  </w:style>
  <w:style w:type="character" w:customStyle="1" w:styleId="RecuodecorpodetextoChar">
    <w:name w:val="Recuo de corpo de texto Char"/>
    <w:link w:val="Recuodecorpodetexto"/>
    <w:semiHidden/>
    <w:rsid w:val="00AE5F02"/>
    <w:rPr>
      <w:snapToGrid w:val="0"/>
      <w:sz w:val="24"/>
    </w:rPr>
  </w:style>
  <w:style w:type="paragraph" w:styleId="Textodenotaderodap">
    <w:name w:val="footnote text"/>
    <w:basedOn w:val="Normal"/>
    <w:link w:val="TextodenotaderodapChar"/>
    <w:uiPriority w:val="99"/>
    <w:semiHidden/>
    <w:unhideWhenUsed/>
    <w:rsid w:val="00027435"/>
    <w:rPr>
      <w:lang w:val="x-none" w:eastAsia="x-none"/>
    </w:rPr>
  </w:style>
  <w:style w:type="character" w:customStyle="1" w:styleId="TextodenotaderodapChar">
    <w:name w:val="Texto de nota de rodapé Char"/>
    <w:link w:val="Textodenotaderodap"/>
    <w:uiPriority w:val="99"/>
    <w:semiHidden/>
    <w:rsid w:val="00027435"/>
    <w:rPr>
      <w:snapToGrid w:val="0"/>
    </w:rPr>
  </w:style>
  <w:style w:type="character" w:styleId="Refdenotaderodap">
    <w:name w:val="footnote reference"/>
    <w:uiPriority w:val="99"/>
    <w:semiHidden/>
    <w:unhideWhenUsed/>
    <w:rsid w:val="00027435"/>
    <w:rPr>
      <w:vertAlign w:val="superscript"/>
    </w:rPr>
  </w:style>
  <w:style w:type="paragraph" w:styleId="NormalWeb">
    <w:name w:val="Normal (Web)"/>
    <w:basedOn w:val="Normal"/>
    <w:uiPriority w:val="99"/>
    <w:semiHidden/>
    <w:unhideWhenUsed/>
    <w:rsid w:val="005C42D9"/>
    <w:pPr>
      <w:widowControl/>
      <w:spacing w:before="100" w:beforeAutospacing="1" w:after="100" w:afterAutospacing="1"/>
    </w:pPr>
    <w:rPr>
      <w:snapToGrid/>
      <w:sz w:val="24"/>
      <w:szCs w:val="24"/>
    </w:rPr>
  </w:style>
  <w:style w:type="character" w:customStyle="1" w:styleId="apple-converted-space">
    <w:name w:val="apple-converted-space"/>
    <w:basedOn w:val="Fontepargpadro"/>
    <w:rsid w:val="005C42D9"/>
  </w:style>
  <w:style w:type="character" w:customStyle="1" w:styleId="PargrafodaListaChar">
    <w:name w:val="Parágrafo da Lista Char"/>
    <w:link w:val="PargrafodaLista"/>
    <w:uiPriority w:val="34"/>
    <w:rsid w:val="00B9551E"/>
    <w:rPr>
      <w:rFonts w:ascii="Calibri" w:eastAsia="Calibri" w:hAnsi="Calibri"/>
      <w:sz w:val="22"/>
      <w:szCs w:val="22"/>
      <w:lang w:eastAsia="en-US"/>
    </w:rPr>
  </w:style>
  <w:style w:type="paragraph" w:customStyle="1" w:styleId="ColorfulList-Accent11">
    <w:name w:val="Colorful List - Accent 11"/>
    <w:basedOn w:val="Normal"/>
    <w:uiPriority w:val="34"/>
    <w:qFormat/>
    <w:rsid w:val="008A71CD"/>
    <w:pPr>
      <w:widowControl/>
      <w:ind w:left="708"/>
    </w:pPr>
    <w:rPr>
      <w:rFonts w:ascii="Times" w:hAnsi="Times"/>
      <w:snapToGrid/>
      <w:color w:val="000000"/>
      <w:sz w:val="22"/>
      <w:lang w:eastAsia="en-US"/>
    </w:rPr>
  </w:style>
  <w:style w:type="paragraph" w:customStyle="1" w:styleId="Marcador1">
    <w:name w:val="Marcador1"/>
    <w:autoRedefine/>
    <w:rsid w:val="008A71CD"/>
    <w:pPr>
      <w:spacing w:after="220"/>
      <w:ind w:left="360"/>
    </w:pPr>
    <w:rPr>
      <w:color w:val="000000"/>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6513">
      <w:bodyDiv w:val="1"/>
      <w:marLeft w:val="0"/>
      <w:marRight w:val="0"/>
      <w:marTop w:val="0"/>
      <w:marBottom w:val="0"/>
      <w:divBdr>
        <w:top w:val="none" w:sz="0" w:space="0" w:color="auto"/>
        <w:left w:val="none" w:sz="0" w:space="0" w:color="auto"/>
        <w:bottom w:val="none" w:sz="0" w:space="0" w:color="auto"/>
        <w:right w:val="none" w:sz="0" w:space="0" w:color="auto"/>
      </w:divBdr>
    </w:div>
    <w:div w:id="3896104">
      <w:bodyDiv w:val="1"/>
      <w:marLeft w:val="0"/>
      <w:marRight w:val="0"/>
      <w:marTop w:val="0"/>
      <w:marBottom w:val="0"/>
      <w:divBdr>
        <w:top w:val="none" w:sz="0" w:space="0" w:color="auto"/>
        <w:left w:val="none" w:sz="0" w:space="0" w:color="auto"/>
        <w:bottom w:val="none" w:sz="0" w:space="0" w:color="auto"/>
        <w:right w:val="none" w:sz="0" w:space="0" w:color="auto"/>
      </w:divBdr>
    </w:div>
    <w:div w:id="9069461">
      <w:bodyDiv w:val="1"/>
      <w:marLeft w:val="0"/>
      <w:marRight w:val="0"/>
      <w:marTop w:val="0"/>
      <w:marBottom w:val="0"/>
      <w:divBdr>
        <w:top w:val="none" w:sz="0" w:space="0" w:color="auto"/>
        <w:left w:val="none" w:sz="0" w:space="0" w:color="auto"/>
        <w:bottom w:val="none" w:sz="0" w:space="0" w:color="auto"/>
        <w:right w:val="none" w:sz="0" w:space="0" w:color="auto"/>
      </w:divBdr>
    </w:div>
    <w:div w:id="18513578">
      <w:bodyDiv w:val="1"/>
      <w:marLeft w:val="0"/>
      <w:marRight w:val="0"/>
      <w:marTop w:val="0"/>
      <w:marBottom w:val="0"/>
      <w:divBdr>
        <w:top w:val="none" w:sz="0" w:space="0" w:color="auto"/>
        <w:left w:val="none" w:sz="0" w:space="0" w:color="auto"/>
        <w:bottom w:val="none" w:sz="0" w:space="0" w:color="auto"/>
        <w:right w:val="none" w:sz="0" w:space="0" w:color="auto"/>
      </w:divBdr>
    </w:div>
    <w:div w:id="27221312">
      <w:bodyDiv w:val="1"/>
      <w:marLeft w:val="0"/>
      <w:marRight w:val="0"/>
      <w:marTop w:val="0"/>
      <w:marBottom w:val="0"/>
      <w:divBdr>
        <w:top w:val="none" w:sz="0" w:space="0" w:color="auto"/>
        <w:left w:val="none" w:sz="0" w:space="0" w:color="auto"/>
        <w:bottom w:val="none" w:sz="0" w:space="0" w:color="auto"/>
        <w:right w:val="none" w:sz="0" w:space="0" w:color="auto"/>
      </w:divBdr>
    </w:div>
    <w:div w:id="37821492">
      <w:bodyDiv w:val="1"/>
      <w:marLeft w:val="0"/>
      <w:marRight w:val="0"/>
      <w:marTop w:val="0"/>
      <w:marBottom w:val="0"/>
      <w:divBdr>
        <w:top w:val="none" w:sz="0" w:space="0" w:color="auto"/>
        <w:left w:val="none" w:sz="0" w:space="0" w:color="auto"/>
        <w:bottom w:val="none" w:sz="0" w:space="0" w:color="auto"/>
        <w:right w:val="none" w:sz="0" w:space="0" w:color="auto"/>
      </w:divBdr>
    </w:div>
    <w:div w:id="39988140">
      <w:bodyDiv w:val="1"/>
      <w:marLeft w:val="0"/>
      <w:marRight w:val="0"/>
      <w:marTop w:val="0"/>
      <w:marBottom w:val="0"/>
      <w:divBdr>
        <w:top w:val="none" w:sz="0" w:space="0" w:color="auto"/>
        <w:left w:val="none" w:sz="0" w:space="0" w:color="auto"/>
        <w:bottom w:val="none" w:sz="0" w:space="0" w:color="auto"/>
        <w:right w:val="none" w:sz="0" w:space="0" w:color="auto"/>
      </w:divBdr>
    </w:div>
    <w:div w:id="51276426">
      <w:bodyDiv w:val="1"/>
      <w:marLeft w:val="0"/>
      <w:marRight w:val="0"/>
      <w:marTop w:val="0"/>
      <w:marBottom w:val="0"/>
      <w:divBdr>
        <w:top w:val="none" w:sz="0" w:space="0" w:color="auto"/>
        <w:left w:val="none" w:sz="0" w:space="0" w:color="auto"/>
        <w:bottom w:val="none" w:sz="0" w:space="0" w:color="auto"/>
        <w:right w:val="none" w:sz="0" w:space="0" w:color="auto"/>
      </w:divBdr>
    </w:div>
    <w:div w:id="56175996">
      <w:bodyDiv w:val="1"/>
      <w:marLeft w:val="0"/>
      <w:marRight w:val="0"/>
      <w:marTop w:val="0"/>
      <w:marBottom w:val="0"/>
      <w:divBdr>
        <w:top w:val="none" w:sz="0" w:space="0" w:color="auto"/>
        <w:left w:val="none" w:sz="0" w:space="0" w:color="auto"/>
        <w:bottom w:val="none" w:sz="0" w:space="0" w:color="auto"/>
        <w:right w:val="none" w:sz="0" w:space="0" w:color="auto"/>
      </w:divBdr>
    </w:div>
    <w:div w:id="73209049">
      <w:bodyDiv w:val="1"/>
      <w:marLeft w:val="0"/>
      <w:marRight w:val="0"/>
      <w:marTop w:val="0"/>
      <w:marBottom w:val="0"/>
      <w:divBdr>
        <w:top w:val="none" w:sz="0" w:space="0" w:color="auto"/>
        <w:left w:val="none" w:sz="0" w:space="0" w:color="auto"/>
        <w:bottom w:val="none" w:sz="0" w:space="0" w:color="auto"/>
        <w:right w:val="none" w:sz="0" w:space="0" w:color="auto"/>
      </w:divBdr>
    </w:div>
    <w:div w:id="86580217">
      <w:bodyDiv w:val="1"/>
      <w:marLeft w:val="0"/>
      <w:marRight w:val="0"/>
      <w:marTop w:val="0"/>
      <w:marBottom w:val="0"/>
      <w:divBdr>
        <w:top w:val="none" w:sz="0" w:space="0" w:color="auto"/>
        <w:left w:val="none" w:sz="0" w:space="0" w:color="auto"/>
        <w:bottom w:val="none" w:sz="0" w:space="0" w:color="auto"/>
        <w:right w:val="none" w:sz="0" w:space="0" w:color="auto"/>
      </w:divBdr>
    </w:div>
    <w:div w:id="89007397">
      <w:bodyDiv w:val="1"/>
      <w:marLeft w:val="0"/>
      <w:marRight w:val="0"/>
      <w:marTop w:val="0"/>
      <w:marBottom w:val="0"/>
      <w:divBdr>
        <w:top w:val="none" w:sz="0" w:space="0" w:color="auto"/>
        <w:left w:val="none" w:sz="0" w:space="0" w:color="auto"/>
        <w:bottom w:val="none" w:sz="0" w:space="0" w:color="auto"/>
        <w:right w:val="none" w:sz="0" w:space="0" w:color="auto"/>
      </w:divBdr>
    </w:div>
    <w:div w:id="101996824">
      <w:bodyDiv w:val="1"/>
      <w:marLeft w:val="0"/>
      <w:marRight w:val="0"/>
      <w:marTop w:val="0"/>
      <w:marBottom w:val="0"/>
      <w:divBdr>
        <w:top w:val="none" w:sz="0" w:space="0" w:color="auto"/>
        <w:left w:val="none" w:sz="0" w:space="0" w:color="auto"/>
        <w:bottom w:val="none" w:sz="0" w:space="0" w:color="auto"/>
        <w:right w:val="none" w:sz="0" w:space="0" w:color="auto"/>
      </w:divBdr>
    </w:div>
    <w:div w:id="110756844">
      <w:bodyDiv w:val="1"/>
      <w:marLeft w:val="0"/>
      <w:marRight w:val="0"/>
      <w:marTop w:val="0"/>
      <w:marBottom w:val="0"/>
      <w:divBdr>
        <w:top w:val="none" w:sz="0" w:space="0" w:color="auto"/>
        <w:left w:val="none" w:sz="0" w:space="0" w:color="auto"/>
        <w:bottom w:val="none" w:sz="0" w:space="0" w:color="auto"/>
        <w:right w:val="none" w:sz="0" w:space="0" w:color="auto"/>
      </w:divBdr>
    </w:div>
    <w:div w:id="119307994">
      <w:bodyDiv w:val="1"/>
      <w:marLeft w:val="0"/>
      <w:marRight w:val="0"/>
      <w:marTop w:val="0"/>
      <w:marBottom w:val="0"/>
      <w:divBdr>
        <w:top w:val="none" w:sz="0" w:space="0" w:color="auto"/>
        <w:left w:val="none" w:sz="0" w:space="0" w:color="auto"/>
        <w:bottom w:val="none" w:sz="0" w:space="0" w:color="auto"/>
        <w:right w:val="none" w:sz="0" w:space="0" w:color="auto"/>
      </w:divBdr>
    </w:div>
    <w:div w:id="119689890">
      <w:bodyDiv w:val="1"/>
      <w:marLeft w:val="0"/>
      <w:marRight w:val="0"/>
      <w:marTop w:val="0"/>
      <w:marBottom w:val="0"/>
      <w:divBdr>
        <w:top w:val="none" w:sz="0" w:space="0" w:color="auto"/>
        <w:left w:val="none" w:sz="0" w:space="0" w:color="auto"/>
        <w:bottom w:val="none" w:sz="0" w:space="0" w:color="auto"/>
        <w:right w:val="none" w:sz="0" w:space="0" w:color="auto"/>
      </w:divBdr>
    </w:div>
    <w:div w:id="135530980">
      <w:bodyDiv w:val="1"/>
      <w:marLeft w:val="0"/>
      <w:marRight w:val="0"/>
      <w:marTop w:val="0"/>
      <w:marBottom w:val="0"/>
      <w:divBdr>
        <w:top w:val="none" w:sz="0" w:space="0" w:color="auto"/>
        <w:left w:val="none" w:sz="0" w:space="0" w:color="auto"/>
        <w:bottom w:val="none" w:sz="0" w:space="0" w:color="auto"/>
        <w:right w:val="none" w:sz="0" w:space="0" w:color="auto"/>
      </w:divBdr>
    </w:div>
    <w:div w:id="173156362">
      <w:bodyDiv w:val="1"/>
      <w:marLeft w:val="0"/>
      <w:marRight w:val="0"/>
      <w:marTop w:val="0"/>
      <w:marBottom w:val="0"/>
      <w:divBdr>
        <w:top w:val="none" w:sz="0" w:space="0" w:color="auto"/>
        <w:left w:val="none" w:sz="0" w:space="0" w:color="auto"/>
        <w:bottom w:val="none" w:sz="0" w:space="0" w:color="auto"/>
        <w:right w:val="none" w:sz="0" w:space="0" w:color="auto"/>
      </w:divBdr>
    </w:div>
    <w:div w:id="180050521">
      <w:bodyDiv w:val="1"/>
      <w:marLeft w:val="0"/>
      <w:marRight w:val="0"/>
      <w:marTop w:val="0"/>
      <w:marBottom w:val="0"/>
      <w:divBdr>
        <w:top w:val="none" w:sz="0" w:space="0" w:color="auto"/>
        <w:left w:val="none" w:sz="0" w:space="0" w:color="auto"/>
        <w:bottom w:val="none" w:sz="0" w:space="0" w:color="auto"/>
        <w:right w:val="none" w:sz="0" w:space="0" w:color="auto"/>
      </w:divBdr>
    </w:div>
    <w:div w:id="187136023">
      <w:bodyDiv w:val="1"/>
      <w:marLeft w:val="0"/>
      <w:marRight w:val="0"/>
      <w:marTop w:val="0"/>
      <w:marBottom w:val="0"/>
      <w:divBdr>
        <w:top w:val="none" w:sz="0" w:space="0" w:color="auto"/>
        <w:left w:val="none" w:sz="0" w:space="0" w:color="auto"/>
        <w:bottom w:val="none" w:sz="0" w:space="0" w:color="auto"/>
        <w:right w:val="none" w:sz="0" w:space="0" w:color="auto"/>
      </w:divBdr>
    </w:div>
    <w:div w:id="193812315">
      <w:bodyDiv w:val="1"/>
      <w:marLeft w:val="0"/>
      <w:marRight w:val="0"/>
      <w:marTop w:val="0"/>
      <w:marBottom w:val="0"/>
      <w:divBdr>
        <w:top w:val="none" w:sz="0" w:space="0" w:color="auto"/>
        <w:left w:val="none" w:sz="0" w:space="0" w:color="auto"/>
        <w:bottom w:val="none" w:sz="0" w:space="0" w:color="auto"/>
        <w:right w:val="none" w:sz="0" w:space="0" w:color="auto"/>
      </w:divBdr>
    </w:div>
    <w:div w:id="205456736">
      <w:bodyDiv w:val="1"/>
      <w:marLeft w:val="0"/>
      <w:marRight w:val="0"/>
      <w:marTop w:val="0"/>
      <w:marBottom w:val="0"/>
      <w:divBdr>
        <w:top w:val="none" w:sz="0" w:space="0" w:color="auto"/>
        <w:left w:val="none" w:sz="0" w:space="0" w:color="auto"/>
        <w:bottom w:val="none" w:sz="0" w:space="0" w:color="auto"/>
        <w:right w:val="none" w:sz="0" w:space="0" w:color="auto"/>
      </w:divBdr>
    </w:div>
    <w:div w:id="211188130">
      <w:bodyDiv w:val="1"/>
      <w:marLeft w:val="0"/>
      <w:marRight w:val="0"/>
      <w:marTop w:val="0"/>
      <w:marBottom w:val="0"/>
      <w:divBdr>
        <w:top w:val="none" w:sz="0" w:space="0" w:color="auto"/>
        <w:left w:val="none" w:sz="0" w:space="0" w:color="auto"/>
        <w:bottom w:val="none" w:sz="0" w:space="0" w:color="auto"/>
        <w:right w:val="none" w:sz="0" w:space="0" w:color="auto"/>
      </w:divBdr>
    </w:div>
    <w:div w:id="212160465">
      <w:bodyDiv w:val="1"/>
      <w:marLeft w:val="0"/>
      <w:marRight w:val="0"/>
      <w:marTop w:val="0"/>
      <w:marBottom w:val="0"/>
      <w:divBdr>
        <w:top w:val="none" w:sz="0" w:space="0" w:color="auto"/>
        <w:left w:val="none" w:sz="0" w:space="0" w:color="auto"/>
        <w:bottom w:val="none" w:sz="0" w:space="0" w:color="auto"/>
        <w:right w:val="none" w:sz="0" w:space="0" w:color="auto"/>
      </w:divBdr>
    </w:div>
    <w:div w:id="215901347">
      <w:bodyDiv w:val="1"/>
      <w:marLeft w:val="0"/>
      <w:marRight w:val="0"/>
      <w:marTop w:val="0"/>
      <w:marBottom w:val="0"/>
      <w:divBdr>
        <w:top w:val="none" w:sz="0" w:space="0" w:color="auto"/>
        <w:left w:val="none" w:sz="0" w:space="0" w:color="auto"/>
        <w:bottom w:val="none" w:sz="0" w:space="0" w:color="auto"/>
        <w:right w:val="none" w:sz="0" w:space="0" w:color="auto"/>
      </w:divBdr>
    </w:div>
    <w:div w:id="228927542">
      <w:bodyDiv w:val="1"/>
      <w:marLeft w:val="0"/>
      <w:marRight w:val="0"/>
      <w:marTop w:val="0"/>
      <w:marBottom w:val="0"/>
      <w:divBdr>
        <w:top w:val="none" w:sz="0" w:space="0" w:color="auto"/>
        <w:left w:val="none" w:sz="0" w:space="0" w:color="auto"/>
        <w:bottom w:val="none" w:sz="0" w:space="0" w:color="auto"/>
        <w:right w:val="none" w:sz="0" w:space="0" w:color="auto"/>
      </w:divBdr>
    </w:div>
    <w:div w:id="258489991">
      <w:bodyDiv w:val="1"/>
      <w:marLeft w:val="0"/>
      <w:marRight w:val="0"/>
      <w:marTop w:val="0"/>
      <w:marBottom w:val="0"/>
      <w:divBdr>
        <w:top w:val="none" w:sz="0" w:space="0" w:color="auto"/>
        <w:left w:val="none" w:sz="0" w:space="0" w:color="auto"/>
        <w:bottom w:val="none" w:sz="0" w:space="0" w:color="auto"/>
        <w:right w:val="none" w:sz="0" w:space="0" w:color="auto"/>
      </w:divBdr>
    </w:div>
    <w:div w:id="270361472">
      <w:bodyDiv w:val="1"/>
      <w:marLeft w:val="0"/>
      <w:marRight w:val="0"/>
      <w:marTop w:val="0"/>
      <w:marBottom w:val="0"/>
      <w:divBdr>
        <w:top w:val="none" w:sz="0" w:space="0" w:color="auto"/>
        <w:left w:val="none" w:sz="0" w:space="0" w:color="auto"/>
        <w:bottom w:val="none" w:sz="0" w:space="0" w:color="auto"/>
        <w:right w:val="none" w:sz="0" w:space="0" w:color="auto"/>
      </w:divBdr>
    </w:div>
    <w:div w:id="284700413">
      <w:bodyDiv w:val="1"/>
      <w:marLeft w:val="0"/>
      <w:marRight w:val="0"/>
      <w:marTop w:val="0"/>
      <w:marBottom w:val="0"/>
      <w:divBdr>
        <w:top w:val="none" w:sz="0" w:space="0" w:color="auto"/>
        <w:left w:val="none" w:sz="0" w:space="0" w:color="auto"/>
        <w:bottom w:val="none" w:sz="0" w:space="0" w:color="auto"/>
        <w:right w:val="none" w:sz="0" w:space="0" w:color="auto"/>
      </w:divBdr>
    </w:div>
    <w:div w:id="299457911">
      <w:bodyDiv w:val="1"/>
      <w:marLeft w:val="0"/>
      <w:marRight w:val="0"/>
      <w:marTop w:val="0"/>
      <w:marBottom w:val="0"/>
      <w:divBdr>
        <w:top w:val="none" w:sz="0" w:space="0" w:color="auto"/>
        <w:left w:val="none" w:sz="0" w:space="0" w:color="auto"/>
        <w:bottom w:val="none" w:sz="0" w:space="0" w:color="auto"/>
        <w:right w:val="none" w:sz="0" w:space="0" w:color="auto"/>
      </w:divBdr>
    </w:div>
    <w:div w:id="311566666">
      <w:bodyDiv w:val="1"/>
      <w:marLeft w:val="0"/>
      <w:marRight w:val="0"/>
      <w:marTop w:val="0"/>
      <w:marBottom w:val="0"/>
      <w:divBdr>
        <w:top w:val="none" w:sz="0" w:space="0" w:color="auto"/>
        <w:left w:val="none" w:sz="0" w:space="0" w:color="auto"/>
        <w:bottom w:val="none" w:sz="0" w:space="0" w:color="auto"/>
        <w:right w:val="none" w:sz="0" w:space="0" w:color="auto"/>
      </w:divBdr>
    </w:div>
    <w:div w:id="318777455">
      <w:bodyDiv w:val="1"/>
      <w:marLeft w:val="0"/>
      <w:marRight w:val="0"/>
      <w:marTop w:val="0"/>
      <w:marBottom w:val="0"/>
      <w:divBdr>
        <w:top w:val="none" w:sz="0" w:space="0" w:color="auto"/>
        <w:left w:val="none" w:sz="0" w:space="0" w:color="auto"/>
        <w:bottom w:val="none" w:sz="0" w:space="0" w:color="auto"/>
        <w:right w:val="none" w:sz="0" w:space="0" w:color="auto"/>
      </w:divBdr>
    </w:div>
    <w:div w:id="319500507">
      <w:bodyDiv w:val="1"/>
      <w:marLeft w:val="0"/>
      <w:marRight w:val="0"/>
      <w:marTop w:val="0"/>
      <w:marBottom w:val="0"/>
      <w:divBdr>
        <w:top w:val="none" w:sz="0" w:space="0" w:color="auto"/>
        <w:left w:val="none" w:sz="0" w:space="0" w:color="auto"/>
        <w:bottom w:val="none" w:sz="0" w:space="0" w:color="auto"/>
        <w:right w:val="none" w:sz="0" w:space="0" w:color="auto"/>
      </w:divBdr>
    </w:div>
    <w:div w:id="319775681">
      <w:bodyDiv w:val="1"/>
      <w:marLeft w:val="0"/>
      <w:marRight w:val="0"/>
      <w:marTop w:val="0"/>
      <w:marBottom w:val="0"/>
      <w:divBdr>
        <w:top w:val="none" w:sz="0" w:space="0" w:color="auto"/>
        <w:left w:val="none" w:sz="0" w:space="0" w:color="auto"/>
        <w:bottom w:val="none" w:sz="0" w:space="0" w:color="auto"/>
        <w:right w:val="none" w:sz="0" w:space="0" w:color="auto"/>
      </w:divBdr>
    </w:div>
    <w:div w:id="321009787">
      <w:bodyDiv w:val="1"/>
      <w:marLeft w:val="0"/>
      <w:marRight w:val="0"/>
      <w:marTop w:val="0"/>
      <w:marBottom w:val="0"/>
      <w:divBdr>
        <w:top w:val="none" w:sz="0" w:space="0" w:color="auto"/>
        <w:left w:val="none" w:sz="0" w:space="0" w:color="auto"/>
        <w:bottom w:val="none" w:sz="0" w:space="0" w:color="auto"/>
        <w:right w:val="none" w:sz="0" w:space="0" w:color="auto"/>
      </w:divBdr>
    </w:div>
    <w:div w:id="327564728">
      <w:bodyDiv w:val="1"/>
      <w:marLeft w:val="0"/>
      <w:marRight w:val="0"/>
      <w:marTop w:val="0"/>
      <w:marBottom w:val="0"/>
      <w:divBdr>
        <w:top w:val="none" w:sz="0" w:space="0" w:color="auto"/>
        <w:left w:val="none" w:sz="0" w:space="0" w:color="auto"/>
        <w:bottom w:val="none" w:sz="0" w:space="0" w:color="auto"/>
        <w:right w:val="none" w:sz="0" w:space="0" w:color="auto"/>
      </w:divBdr>
    </w:div>
    <w:div w:id="327752771">
      <w:bodyDiv w:val="1"/>
      <w:marLeft w:val="0"/>
      <w:marRight w:val="0"/>
      <w:marTop w:val="0"/>
      <w:marBottom w:val="0"/>
      <w:divBdr>
        <w:top w:val="none" w:sz="0" w:space="0" w:color="auto"/>
        <w:left w:val="none" w:sz="0" w:space="0" w:color="auto"/>
        <w:bottom w:val="none" w:sz="0" w:space="0" w:color="auto"/>
        <w:right w:val="none" w:sz="0" w:space="0" w:color="auto"/>
      </w:divBdr>
    </w:div>
    <w:div w:id="350768717">
      <w:bodyDiv w:val="1"/>
      <w:marLeft w:val="0"/>
      <w:marRight w:val="0"/>
      <w:marTop w:val="0"/>
      <w:marBottom w:val="0"/>
      <w:divBdr>
        <w:top w:val="none" w:sz="0" w:space="0" w:color="auto"/>
        <w:left w:val="none" w:sz="0" w:space="0" w:color="auto"/>
        <w:bottom w:val="none" w:sz="0" w:space="0" w:color="auto"/>
        <w:right w:val="none" w:sz="0" w:space="0" w:color="auto"/>
      </w:divBdr>
    </w:div>
    <w:div w:id="354577772">
      <w:bodyDiv w:val="1"/>
      <w:marLeft w:val="0"/>
      <w:marRight w:val="0"/>
      <w:marTop w:val="0"/>
      <w:marBottom w:val="0"/>
      <w:divBdr>
        <w:top w:val="none" w:sz="0" w:space="0" w:color="auto"/>
        <w:left w:val="none" w:sz="0" w:space="0" w:color="auto"/>
        <w:bottom w:val="none" w:sz="0" w:space="0" w:color="auto"/>
        <w:right w:val="none" w:sz="0" w:space="0" w:color="auto"/>
      </w:divBdr>
    </w:div>
    <w:div w:id="369838234">
      <w:bodyDiv w:val="1"/>
      <w:marLeft w:val="0"/>
      <w:marRight w:val="0"/>
      <w:marTop w:val="0"/>
      <w:marBottom w:val="0"/>
      <w:divBdr>
        <w:top w:val="none" w:sz="0" w:space="0" w:color="auto"/>
        <w:left w:val="none" w:sz="0" w:space="0" w:color="auto"/>
        <w:bottom w:val="none" w:sz="0" w:space="0" w:color="auto"/>
        <w:right w:val="none" w:sz="0" w:space="0" w:color="auto"/>
      </w:divBdr>
    </w:div>
    <w:div w:id="385762259">
      <w:bodyDiv w:val="1"/>
      <w:marLeft w:val="0"/>
      <w:marRight w:val="0"/>
      <w:marTop w:val="0"/>
      <w:marBottom w:val="0"/>
      <w:divBdr>
        <w:top w:val="none" w:sz="0" w:space="0" w:color="auto"/>
        <w:left w:val="none" w:sz="0" w:space="0" w:color="auto"/>
        <w:bottom w:val="none" w:sz="0" w:space="0" w:color="auto"/>
        <w:right w:val="none" w:sz="0" w:space="0" w:color="auto"/>
      </w:divBdr>
    </w:div>
    <w:div w:id="390079485">
      <w:bodyDiv w:val="1"/>
      <w:marLeft w:val="0"/>
      <w:marRight w:val="0"/>
      <w:marTop w:val="0"/>
      <w:marBottom w:val="0"/>
      <w:divBdr>
        <w:top w:val="none" w:sz="0" w:space="0" w:color="auto"/>
        <w:left w:val="none" w:sz="0" w:space="0" w:color="auto"/>
        <w:bottom w:val="none" w:sz="0" w:space="0" w:color="auto"/>
        <w:right w:val="none" w:sz="0" w:space="0" w:color="auto"/>
      </w:divBdr>
    </w:div>
    <w:div w:id="429398334">
      <w:bodyDiv w:val="1"/>
      <w:marLeft w:val="0"/>
      <w:marRight w:val="0"/>
      <w:marTop w:val="0"/>
      <w:marBottom w:val="0"/>
      <w:divBdr>
        <w:top w:val="none" w:sz="0" w:space="0" w:color="auto"/>
        <w:left w:val="none" w:sz="0" w:space="0" w:color="auto"/>
        <w:bottom w:val="none" w:sz="0" w:space="0" w:color="auto"/>
        <w:right w:val="none" w:sz="0" w:space="0" w:color="auto"/>
      </w:divBdr>
    </w:div>
    <w:div w:id="431704680">
      <w:bodyDiv w:val="1"/>
      <w:marLeft w:val="0"/>
      <w:marRight w:val="0"/>
      <w:marTop w:val="0"/>
      <w:marBottom w:val="0"/>
      <w:divBdr>
        <w:top w:val="none" w:sz="0" w:space="0" w:color="auto"/>
        <w:left w:val="none" w:sz="0" w:space="0" w:color="auto"/>
        <w:bottom w:val="none" w:sz="0" w:space="0" w:color="auto"/>
        <w:right w:val="none" w:sz="0" w:space="0" w:color="auto"/>
      </w:divBdr>
    </w:div>
    <w:div w:id="437793189">
      <w:bodyDiv w:val="1"/>
      <w:marLeft w:val="0"/>
      <w:marRight w:val="0"/>
      <w:marTop w:val="0"/>
      <w:marBottom w:val="0"/>
      <w:divBdr>
        <w:top w:val="none" w:sz="0" w:space="0" w:color="auto"/>
        <w:left w:val="none" w:sz="0" w:space="0" w:color="auto"/>
        <w:bottom w:val="none" w:sz="0" w:space="0" w:color="auto"/>
        <w:right w:val="none" w:sz="0" w:space="0" w:color="auto"/>
      </w:divBdr>
    </w:div>
    <w:div w:id="445731486">
      <w:bodyDiv w:val="1"/>
      <w:marLeft w:val="0"/>
      <w:marRight w:val="0"/>
      <w:marTop w:val="0"/>
      <w:marBottom w:val="0"/>
      <w:divBdr>
        <w:top w:val="none" w:sz="0" w:space="0" w:color="auto"/>
        <w:left w:val="none" w:sz="0" w:space="0" w:color="auto"/>
        <w:bottom w:val="none" w:sz="0" w:space="0" w:color="auto"/>
        <w:right w:val="none" w:sz="0" w:space="0" w:color="auto"/>
      </w:divBdr>
    </w:div>
    <w:div w:id="459882103">
      <w:bodyDiv w:val="1"/>
      <w:marLeft w:val="0"/>
      <w:marRight w:val="0"/>
      <w:marTop w:val="0"/>
      <w:marBottom w:val="0"/>
      <w:divBdr>
        <w:top w:val="none" w:sz="0" w:space="0" w:color="auto"/>
        <w:left w:val="none" w:sz="0" w:space="0" w:color="auto"/>
        <w:bottom w:val="none" w:sz="0" w:space="0" w:color="auto"/>
        <w:right w:val="none" w:sz="0" w:space="0" w:color="auto"/>
      </w:divBdr>
    </w:div>
    <w:div w:id="477721032">
      <w:bodyDiv w:val="1"/>
      <w:marLeft w:val="0"/>
      <w:marRight w:val="0"/>
      <w:marTop w:val="0"/>
      <w:marBottom w:val="0"/>
      <w:divBdr>
        <w:top w:val="none" w:sz="0" w:space="0" w:color="auto"/>
        <w:left w:val="none" w:sz="0" w:space="0" w:color="auto"/>
        <w:bottom w:val="none" w:sz="0" w:space="0" w:color="auto"/>
        <w:right w:val="none" w:sz="0" w:space="0" w:color="auto"/>
      </w:divBdr>
    </w:div>
    <w:div w:id="478231175">
      <w:bodyDiv w:val="1"/>
      <w:marLeft w:val="0"/>
      <w:marRight w:val="0"/>
      <w:marTop w:val="0"/>
      <w:marBottom w:val="0"/>
      <w:divBdr>
        <w:top w:val="none" w:sz="0" w:space="0" w:color="auto"/>
        <w:left w:val="none" w:sz="0" w:space="0" w:color="auto"/>
        <w:bottom w:val="none" w:sz="0" w:space="0" w:color="auto"/>
        <w:right w:val="none" w:sz="0" w:space="0" w:color="auto"/>
      </w:divBdr>
    </w:div>
    <w:div w:id="478419317">
      <w:bodyDiv w:val="1"/>
      <w:marLeft w:val="0"/>
      <w:marRight w:val="0"/>
      <w:marTop w:val="0"/>
      <w:marBottom w:val="0"/>
      <w:divBdr>
        <w:top w:val="none" w:sz="0" w:space="0" w:color="auto"/>
        <w:left w:val="none" w:sz="0" w:space="0" w:color="auto"/>
        <w:bottom w:val="none" w:sz="0" w:space="0" w:color="auto"/>
        <w:right w:val="none" w:sz="0" w:space="0" w:color="auto"/>
      </w:divBdr>
    </w:div>
    <w:div w:id="498038494">
      <w:bodyDiv w:val="1"/>
      <w:marLeft w:val="0"/>
      <w:marRight w:val="0"/>
      <w:marTop w:val="0"/>
      <w:marBottom w:val="0"/>
      <w:divBdr>
        <w:top w:val="none" w:sz="0" w:space="0" w:color="auto"/>
        <w:left w:val="none" w:sz="0" w:space="0" w:color="auto"/>
        <w:bottom w:val="none" w:sz="0" w:space="0" w:color="auto"/>
        <w:right w:val="none" w:sz="0" w:space="0" w:color="auto"/>
      </w:divBdr>
    </w:div>
    <w:div w:id="507449202">
      <w:bodyDiv w:val="1"/>
      <w:marLeft w:val="0"/>
      <w:marRight w:val="0"/>
      <w:marTop w:val="0"/>
      <w:marBottom w:val="0"/>
      <w:divBdr>
        <w:top w:val="none" w:sz="0" w:space="0" w:color="auto"/>
        <w:left w:val="none" w:sz="0" w:space="0" w:color="auto"/>
        <w:bottom w:val="none" w:sz="0" w:space="0" w:color="auto"/>
        <w:right w:val="none" w:sz="0" w:space="0" w:color="auto"/>
      </w:divBdr>
    </w:div>
    <w:div w:id="513500988">
      <w:bodyDiv w:val="1"/>
      <w:marLeft w:val="0"/>
      <w:marRight w:val="0"/>
      <w:marTop w:val="0"/>
      <w:marBottom w:val="0"/>
      <w:divBdr>
        <w:top w:val="none" w:sz="0" w:space="0" w:color="auto"/>
        <w:left w:val="none" w:sz="0" w:space="0" w:color="auto"/>
        <w:bottom w:val="none" w:sz="0" w:space="0" w:color="auto"/>
        <w:right w:val="none" w:sz="0" w:space="0" w:color="auto"/>
      </w:divBdr>
    </w:div>
    <w:div w:id="525482317">
      <w:bodyDiv w:val="1"/>
      <w:marLeft w:val="0"/>
      <w:marRight w:val="0"/>
      <w:marTop w:val="0"/>
      <w:marBottom w:val="0"/>
      <w:divBdr>
        <w:top w:val="none" w:sz="0" w:space="0" w:color="auto"/>
        <w:left w:val="none" w:sz="0" w:space="0" w:color="auto"/>
        <w:bottom w:val="none" w:sz="0" w:space="0" w:color="auto"/>
        <w:right w:val="none" w:sz="0" w:space="0" w:color="auto"/>
      </w:divBdr>
    </w:div>
    <w:div w:id="527370964">
      <w:bodyDiv w:val="1"/>
      <w:marLeft w:val="0"/>
      <w:marRight w:val="0"/>
      <w:marTop w:val="0"/>
      <w:marBottom w:val="0"/>
      <w:divBdr>
        <w:top w:val="none" w:sz="0" w:space="0" w:color="auto"/>
        <w:left w:val="none" w:sz="0" w:space="0" w:color="auto"/>
        <w:bottom w:val="none" w:sz="0" w:space="0" w:color="auto"/>
        <w:right w:val="none" w:sz="0" w:space="0" w:color="auto"/>
      </w:divBdr>
    </w:div>
    <w:div w:id="533231433">
      <w:bodyDiv w:val="1"/>
      <w:marLeft w:val="0"/>
      <w:marRight w:val="0"/>
      <w:marTop w:val="0"/>
      <w:marBottom w:val="0"/>
      <w:divBdr>
        <w:top w:val="none" w:sz="0" w:space="0" w:color="auto"/>
        <w:left w:val="none" w:sz="0" w:space="0" w:color="auto"/>
        <w:bottom w:val="none" w:sz="0" w:space="0" w:color="auto"/>
        <w:right w:val="none" w:sz="0" w:space="0" w:color="auto"/>
      </w:divBdr>
    </w:div>
    <w:div w:id="557932908">
      <w:bodyDiv w:val="1"/>
      <w:marLeft w:val="0"/>
      <w:marRight w:val="0"/>
      <w:marTop w:val="0"/>
      <w:marBottom w:val="0"/>
      <w:divBdr>
        <w:top w:val="none" w:sz="0" w:space="0" w:color="auto"/>
        <w:left w:val="none" w:sz="0" w:space="0" w:color="auto"/>
        <w:bottom w:val="none" w:sz="0" w:space="0" w:color="auto"/>
        <w:right w:val="none" w:sz="0" w:space="0" w:color="auto"/>
      </w:divBdr>
    </w:div>
    <w:div w:id="564144131">
      <w:bodyDiv w:val="1"/>
      <w:marLeft w:val="0"/>
      <w:marRight w:val="0"/>
      <w:marTop w:val="0"/>
      <w:marBottom w:val="0"/>
      <w:divBdr>
        <w:top w:val="none" w:sz="0" w:space="0" w:color="auto"/>
        <w:left w:val="none" w:sz="0" w:space="0" w:color="auto"/>
        <w:bottom w:val="none" w:sz="0" w:space="0" w:color="auto"/>
        <w:right w:val="none" w:sz="0" w:space="0" w:color="auto"/>
      </w:divBdr>
    </w:div>
    <w:div w:id="577134437">
      <w:bodyDiv w:val="1"/>
      <w:marLeft w:val="0"/>
      <w:marRight w:val="0"/>
      <w:marTop w:val="0"/>
      <w:marBottom w:val="0"/>
      <w:divBdr>
        <w:top w:val="none" w:sz="0" w:space="0" w:color="auto"/>
        <w:left w:val="none" w:sz="0" w:space="0" w:color="auto"/>
        <w:bottom w:val="none" w:sz="0" w:space="0" w:color="auto"/>
        <w:right w:val="none" w:sz="0" w:space="0" w:color="auto"/>
      </w:divBdr>
    </w:div>
    <w:div w:id="577834909">
      <w:bodyDiv w:val="1"/>
      <w:marLeft w:val="0"/>
      <w:marRight w:val="0"/>
      <w:marTop w:val="0"/>
      <w:marBottom w:val="0"/>
      <w:divBdr>
        <w:top w:val="none" w:sz="0" w:space="0" w:color="auto"/>
        <w:left w:val="none" w:sz="0" w:space="0" w:color="auto"/>
        <w:bottom w:val="none" w:sz="0" w:space="0" w:color="auto"/>
        <w:right w:val="none" w:sz="0" w:space="0" w:color="auto"/>
      </w:divBdr>
    </w:div>
    <w:div w:id="578054168">
      <w:bodyDiv w:val="1"/>
      <w:marLeft w:val="0"/>
      <w:marRight w:val="0"/>
      <w:marTop w:val="0"/>
      <w:marBottom w:val="0"/>
      <w:divBdr>
        <w:top w:val="none" w:sz="0" w:space="0" w:color="auto"/>
        <w:left w:val="none" w:sz="0" w:space="0" w:color="auto"/>
        <w:bottom w:val="none" w:sz="0" w:space="0" w:color="auto"/>
        <w:right w:val="none" w:sz="0" w:space="0" w:color="auto"/>
      </w:divBdr>
    </w:div>
    <w:div w:id="601306355">
      <w:bodyDiv w:val="1"/>
      <w:marLeft w:val="0"/>
      <w:marRight w:val="0"/>
      <w:marTop w:val="0"/>
      <w:marBottom w:val="0"/>
      <w:divBdr>
        <w:top w:val="none" w:sz="0" w:space="0" w:color="auto"/>
        <w:left w:val="none" w:sz="0" w:space="0" w:color="auto"/>
        <w:bottom w:val="none" w:sz="0" w:space="0" w:color="auto"/>
        <w:right w:val="none" w:sz="0" w:space="0" w:color="auto"/>
      </w:divBdr>
    </w:div>
    <w:div w:id="647824478">
      <w:bodyDiv w:val="1"/>
      <w:marLeft w:val="0"/>
      <w:marRight w:val="0"/>
      <w:marTop w:val="0"/>
      <w:marBottom w:val="0"/>
      <w:divBdr>
        <w:top w:val="none" w:sz="0" w:space="0" w:color="auto"/>
        <w:left w:val="none" w:sz="0" w:space="0" w:color="auto"/>
        <w:bottom w:val="none" w:sz="0" w:space="0" w:color="auto"/>
        <w:right w:val="none" w:sz="0" w:space="0" w:color="auto"/>
      </w:divBdr>
    </w:div>
    <w:div w:id="660699112">
      <w:bodyDiv w:val="1"/>
      <w:marLeft w:val="0"/>
      <w:marRight w:val="0"/>
      <w:marTop w:val="0"/>
      <w:marBottom w:val="0"/>
      <w:divBdr>
        <w:top w:val="none" w:sz="0" w:space="0" w:color="auto"/>
        <w:left w:val="none" w:sz="0" w:space="0" w:color="auto"/>
        <w:bottom w:val="none" w:sz="0" w:space="0" w:color="auto"/>
        <w:right w:val="none" w:sz="0" w:space="0" w:color="auto"/>
      </w:divBdr>
    </w:div>
    <w:div w:id="660810061">
      <w:bodyDiv w:val="1"/>
      <w:marLeft w:val="0"/>
      <w:marRight w:val="0"/>
      <w:marTop w:val="0"/>
      <w:marBottom w:val="0"/>
      <w:divBdr>
        <w:top w:val="none" w:sz="0" w:space="0" w:color="auto"/>
        <w:left w:val="none" w:sz="0" w:space="0" w:color="auto"/>
        <w:bottom w:val="none" w:sz="0" w:space="0" w:color="auto"/>
        <w:right w:val="none" w:sz="0" w:space="0" w:color="auto"/>
      </w:divBdr>
    </w:div>
    <w:div w:id="674578358">
      <w:bodyDiv w:val="1"/>
      <w:marLeft w:val="0"/>
      <w:marRight w:val="0"/>
      <w:marTop w:val="0"/>
      <w:marBottom w:val="0"/>
      <w:divBdr>
        <w:top w:val="none" w:sz="0" w:space="0" w:color="auto"/>
        <w:left w:val="none" w:sz="0" w:space="0" w:color="auto"/>
        <w:bottom w:val="none" w:sz="0" w:space="0" w:color="auto"/>
        <w:right w:val="none" w:sz="0" w:space="0" w:color="auto"/>
      </w:divBdr>
    </w:div>
    <w:div w:id="678000230">
      <w:bodyDiv w:val="1"/>
      <w:marLeft w:val="0"/>
      <w:marRight w:val="0"/>
      <w:marTop w:val="0"/>
      <w:marBottom w:val="0"/>
      <w:divBdr>
        <w:top w:val="none" w:sz="0" w:space="0" w:color="auto"/>
        <w:left w:val="none" w:sz="0" w:space="0" w:color="auto"/>
        <w:bottom w:val="none" w:sz="0" w:space="0" w:color="auto"/>
        <w:right w:val="none" w:sz="0" w:space="0" w:color="auto"/>
      </w:divBdr>
    </w:div>
    <w:div w:id="680472651">
      <w:bodyDiv w:val="1"/>
      <w:marLeft w:val="0"/>
      <w:marRight w:val="0"/>
      <w:marTop w:val="0"/>
      <w:marBottom w:val="0"/>
      <w:divBdr>
        <w:top w:val="none" w:sz="0" w:space="0" w:color="auto"/>
        <w:left w:val="none" w:sz="0" w:space="0" w:color="auto"/>
        <w:bottom w:val="none" w:sz="0" w:space="0" w:color="auto"/>
        <w:right w:val="none" w:sz="0" w:space="0" w:color="auto"/>
      </w:divBdr>
    </w:div>
    <w:div w:id="691998742">
      <w:bodyDiv w:val="1"/>
      <w:marLeft w:val="0"/>
      <w:marRight w:val="0"/>
      <w:marTop w:val="0"/>
      <w:marBottom w:val="0"/>
      <w:divBdr>
        <w:top w:val="none" w:sz="0" w:space="0" w:color="auto"/>
        <w:left w:val="none" w:sz="0" w:space="0" w:color="auto"/>
        <w:bottom w:val="none" w:sz="0" w:space="0" w:color="auto"/>
        <w:right w:val="none" w:sz="0" w:space="0" w:color="auto"/>
      </w:divBdr>
    </w:div>
    <w:div w:id="694619815">
      <w:bodyDiv w:val="1"/>
      <w:marLeft w:val="0"/>
      <w:marRight w:val="0"/>
      <w:marTop w:val="0"/>
      <w:marBottom w:val="0"/>
      <w:divBdr>
        <w:top w:val="none" w:sz="0" w:space="0" w:color="auto"/>
        <w:left w:val="none" w:sz="0" w:space="0" w:color="auto"/>
        <w:bottom w:val="none" w:sz="0" w:space="0" w:color="auto"/>
        <w:right w:val="none" w:sz="0" w:space="0" w:color="auto"/>
      </w:divBdr>
    </w:div>
    <w:div w:id="709645869">
      <w:bodyDiv w:val="1"/>
      <w:marLeft w:val="0"/>
      <w:marRight w:val="0"/>
      <w:marTop w:val="0"/>
      <w:marBottom w:val="0"/>
      <w:divBdr>
        <w:top w:val="none" w:sz="0" w:space="0" w:color="auto"/>
        <w:left w:val="none" w:sz="0" w:space="0" w:color="auto"/>
        <w:bottom w:val="none" w:sz="0" w:space="0" w:color="auto"/>
        <w:right w:val="none" w:sz="0" w:space="0" w:color="auto"/>
      </w:divBdr>
    </w:div>
    <w:div w:id="717438643">
      <w:bodyDiv w:val="1"/>
      <w:marLeft w:val="0"/>
      <w:marRight w:val="0"/>
      <w:marTop w:val="0"/>
      <w:marBottom w:val="0"/>
      <w:divBdr>
        <w:top w:val="none" w:sz="0" w:space="0" w:color="auto"/>
        <w:left w:val="none" w:sz="0" w:space="0" w:color="auto"/>
        <w:bottom w:val="none" w:sz="0" w:space="0" w:color="auto"/>
        <w:right w:val="none" w:sz="0" w:space="0" w:color="auto"/>
      </w:divBdr>
    </w:div>
    <w:div w:id="724990192">
      <w:bodyDiv w:val="1"/>
      <w:marLeft w:val="0"/>
      <w:marRight w:val="0"/>
      <w:marTop w:val="0"/>
      <w:marBottom w:val="0"/>
      <w:divBdr>
        <w:top w:val="none" w:sz="0" w:space="0" w:color="auto"/>
        <w:left w:val="none" w:sz="0" w:space="0" w:color="auto"/>
        <w:bottom w:val="none" w:sz="0" w:space="0" w:color="auto"/>
        <w:right w:val="none" w:sz="0" w:space="0" w:color="auto"/>
      </w:divBdr>
    </w:div>
    <w:div w:id="729619965">
      <w:bodyDiv w:val="1"/>
      <w:marLeft w:val="0"/>
      <w:marRight w:val="0"/>
      <w:marTop w:val="0"/>
      <w:marBottom w:val="0"/>
      <w:divBdr>
        <w:top w:val="none" w:sz="0" w:space="0" w:color="auto"/>
        <w:left w:val="none" w:sz="0" w:space="0" w:color="auto"/>
        <w:bottom w:val="none" w:sz="0" w:space="0" w:color="auto"/>
        <w:right w:val="none" w:sz="0" w:space="0" w:color="auto"/>
      </w:divBdr>
    </w:div>
    <w:div w:id="734743941">
      <w:bodyDiv w:val="1"/>
      <w:marLeft w:val="0"/>
      <w:marRight w:val="0"/>
      <w:marTop w:val="0"/>
      <w:marBottom w:val="0"/>
      <w:divBdr>
        <w:top w:val="none" w:sz="0" w:space="0" w:color="auto"/>
        <w:left w:val="none" w:sz="0" w:space="0" w:color="auto"/>
        <w:bottom w:val="none" w:sz="0" w:space="0" w:color="auto"/>
        <w:right w:val="none" w:sz="0" w:space="0" w:color="auto"/>
      </w:divBdr>
    </w:div>
    <w:div w:id="740373836">
      <w:bodyDiv w:val="1"/>
      <w:marLeft w:val="0"/>
      <w:marRight w:val="0"/>
      <w:marTop w:val="0"/>
      <w:marBottom w:val="0"/>
      <w:divBdr>
        <w:top w:val="none" w:sz="0" w:space="0" w:color="auto"/>
        <w:left w:val="none" w:sz="0" w:space="0" w:color="auto"/>
        <w:bottom w:val="none" w:sz="0" w:space="0" w:color="auto"/>
        <w:right w:val="none" w:sz="0" w:space="0" w:color="auto"/>
      </w:divBdr>
    </w:div>
    <w:div w:id="750396182">
      <w:bodyDiv w:val="1"/>
      <w:marLeft w:val="0"/>
      <w:marRight w:val="0"/>
      <w:marTop w:val="0"/>
      <w:marBottom w:val="0"/>
      <w:divBdr>
        <w:top w:val="none" w:sz="0" w:space="0" w:color="auto"/>
        <w:left w:val="none" w:sz="0" w:space="0" w:color="auto"/>
        <w:bottom w:val="none" w:sz="0" w:space="0" w:color="auto"/>
        <w:right w:val="none" w:sz="0" w:space="0" w:color="auto"/>
      </w:divBdr>
    </w:div>
    <w:div w:id="759063513">
      <w:bodyDiv w:val="1"/>
      <w:marLeft w:val="0"/>
      <w:marRight w:val="0"/>
      <w:marTop w:val="0"/>
      <w:marBottom w:val="0"/>
      <w:divBdr>
        <w:top w:val="none" w:sz="0" w:space="0" w:color="auto"/>
        <w:left w:val="none" w:sz="0" w:space="0" w:color="auto"/>
        <w:bottom w:val="none" w:sz="0" w:space="0" w:color="auto"/>
        <w:right w:val="none" w:sz="0" w:space="0" w:color="auto"/>
      </w:divBdr>
    </w:div>
    <w:div w:id="771246119">
      <w:bodyDiv w:val="1"/>
      <w:marLeft w:val="0"/>
      <w:marRight w:val="0"/>
      <w:marTop w:val="0"/>
      <w:marBottom w:val="0"/>
      <w:divBdr>
        <w:top w:val="none" w:sz="0" w:space="0" w:color="auto"/>
        <w:left w:val="none" w:sz="0" w:space="0" w:color="auto"/>
        <w:bottom w:val="none" w:sz="0" w:space="0" w:color="auto"/>
        <w:right w:val="none" w:sz="0" w:space="0" w:color="auto"/>
      </w:divBdr>
    </w:div>
    <w:div w:id="780228433">
      <w:bodyDiv w:val="1"/>
      <w:marLeft w:val="0"/>
      <w:marRight w:val="0"/>
      <w:marTop w:val="0"/>
      <w:marBottom w:val="0"/>
      <w:divBdr>
        <w:top w:val="none" w:sz="0" w:space="0" w:color="auto"/>
        <w:left w:val="none" w:sz="0" w:space="0" w:color="auto"/>
        <w:bottom w:val="none" w:sz="0" w:space="0" w:color="auto"/>
        <w:right w:val="none" w:sz="0" w:space="0" w:color="auto"/>
      </w:divBdr>
    </w:div>
    <w:div w:id="783230088">
      <w:bodyDiv w:val="1"/>
      <w:marLeft w:val="0"/>
      <w:marRight w:val="0"/>
      <w:marTop w:val="0"/>
      <w:marBottom w:val="0"/>
      <w:divBdr>
        <w:top w:val="none" w:sz="0" w:space="0" w:color="auto"/>
        <w:left w:val="none" w:sz="0" w:space="0" w:color="auto"/>
        <w:bottom w:val="none" w:sz="0" w:space="0" w:color="auto"/>
        <w:right w:val="none" w:sz="0" w:space="0" w:color="auto"/>
      </w:divBdr>
    </w:div>
    <w:div w:id="783304394">
      <w:bodyDiv w:val="1"/>
      <w:marLeft w:val="0"/>
      <w:marRight w:val="0"/>
      <w:marTop w:val="0"/>
      <w:marBottom w:val="0"/>
      <w:divBdr>
        <w:top w:val="none" w:sz="0" w:space="0" w:color="auto"/>
        <w:left w:val="none" w:sz="0" w:space="0" w:color="auto"/>
        <w:bottom w:val="none" w:sz="0" w:space="0" w:color="auto"/>
        <w:right w:val="none" w:sz="0" w:space="0" w:color="auto"/>
      </w:divBdr>
    </w:div>
    <w:div w:id="791242986">
      <w:bodyDiv w:val="1"/>
      <w:marLeft w:val="0"/>
      <w:marRight w:val="0"/>
      <w:marTop w:val="0"/>
      <w:marBottom w:val="0"/>
      <w:divBdr>
        <w:top w:val="none" w:sz="0" w:space="0" w:color="auto"/>
        <w:left w:val="none" w:sz="0" w:space="0" w:color="auto"/>
        <w:bottom w:val="none" w:sz="0" w:space="0" w:color="auto"/>
        <w:right w:val="none" w:sz="0" w:space="0" w:color="auto"/>
      </w:divBdr>
    </w:div>
    <w:div w:id="810748962">
      <w:bodyDiv w:val="1"/>
      <w:marLeft w:val="0"/>
      <w:marRight w:val="0"/>
      <w:marTop w:val="0"/>
      <w:marBottom w:val="0"/>
      <w:divBdr>
        <w:top w:val="none" w:sz="0" w:space="0" w:color="auto"/>
        <w:left w:val="none" w:sz="0" w:space="0" w:color="auto"/>
        <w:bottom w:val="none" w:sz="0" w:space="0" w:color="auto"/>
        <w:right w:val="none" w:sz="0" w:space="0" w:color="auto"/>
      </w:divBdr>
    </w:div>
    <w:div w:id="819267617">
      <w:bodyDiv w:val="1"/>
      <w:marLeft w:val="0"/>
      <w:marRight w:val="0"/>
      <w:marTop w:val="0"/>
      <w:marBottom w:val="0"/>
      <w:divBdr>
        <w:top w:val="none" w:sz="0" w:space="0" w:color="auto"/>
        <w:left w:val="none" w:sz="0" w:space="0" w:color="auto"/>
        <w:bottom w:val="none" w:sz="0" w:space="0" w:color="auto"/>
        <w:right w:val="none" w:sz="0" w:space="0" w:color="auto"/>
      </w:divBdr>
    </w:div>
    <w:div w:id="822967913">
      <w:bodyDiv w:val="1"/>
      <w:marLeft w:val="0"/>
      <w:marRight w:val="0"/>
      <w:marTop w:val="0"/>
      <w:marBottom w:val="0"/>
      <w:divBdr>
        <w:top w:val="none" w:sz="0" w:space="0" w:color="auto"/>
        <w:left w:val="none" w:sz="0" w:space="0" w:color="auto"/>
        <w:bottom w:val="none" w:sz="0" w:space="0" w:color="auto"/>
        <w:right w:val="none" w:sz="0" w:space="0" w:color="auto"/>
      </w:divBdr>
    </w:div>
    <w:div w:id="861673611">
      <w:bodyDiv w:val="1"/>
      <w:marLeft w:val="0"/>
      <w:marRight w:val="0"/>
      <w:marTop w:val="0"/>
      <w:marBottom w:val="0"/>
      <w:divBdr>
        <w:top w:val="none" w:sz="0" w:space="0" w:color="auto"/>
        <w:left w:val="none" w:sz="0" w:space="0" w:color="auto"/>
        <w:bottom w:val="none" w:sz="0" w:space="0" w:color="auto"/>
        <w:right w:val="none" w:sz="0" w:space="0" w:color="auto"/>
      </w:divBdr>
    </w:div>
    <w:div w:id="871183969">
      <w:bodyDiv w:val="1"/>
      <w:marLeft w:val="0"/>
      <w:marRight w:val="0"/>
      <w:marTop w:val="0"/>
      <w:marBottom w:val="0"/>
      <w:divBdr>
        <w:top w:val="none" w:sz="0" w:space="0" w:color="auto"/>
        <w:left w:val="none" w:sz="0" w:space="0" w:color="auto"/>
        <w:bottom w:val="none" w:sz="0" w:space="0" w:color="auto"/>
        <w:right w:val="none" w:sz="0" w:space="0" w:color="auto"/>
      </w:divBdr>
    </w:div>
    <w:div w:id="879052911">
      <w:bodyDiv w:val="1"/>
      <w:marLeft w:val="0"/>
      <w:marRight w:val="0"/>
      <w:marTop w:val="0"/>
      <w:marBottom w:val="0"/>
      <w:divBdr>
        <w:top w:val="none" w:sz="0" w:space="0" w:color="auto"/>
        <w:left w:val="none" w:sz="0" w:space="0" w:color="auto"/>
        <w:bottom w:val="none" w:sz="0" w:space="0" w:color="auto"/>
        <w:right w:val="none" w:sz="0" w:space="0" w:color="auto"/>
      </w:divBdr>
    </w:div>
    <w:div w:id="890725580">
      <w:bodyDiv w:val="1"/>
      <w:marLeft w:val="0"/>
      <w:marRight w:val="0"/>
      <w:marTop w:val="0"/>
      <w:marBottom w:val="0"/>
      <w:divBdr>
        <w:top w:val="none" w:sz="0" w:space="0" w:color="auto"/>
        <w:left w:val="none" w:sz="0" w:space="0" w:color="auto"/>
        <w:bottom w:val="none" w:sz="0" w:space="0" w:color="auto"/>
        <w:right w:val="none" w:sz="0" w:space="0" w:color="auto"/>
      </w:divBdr>
    </w:div>
    <w:div w:id="892472599">
      <w:bodyDiv w:val="1"/>
      <w:marLeft w:val="0"/>
      <w:marRight w:val="0"/>
      <w:marTop w:val="0"/>
      <w:marBottom w:val="0"/>
      <w:divBdr>
        <w:top w:val="none" w:sz="0" w:space="0" w:color="auto"/>
        <w:left w:val="none" w:sz="0" w:space="0" w:color="auto"/>
        <w:bottom w:val="none" w:sz="0" w:space="0" w:color="auto"/>
        <w:right w:val="none" w:sz="0" w:space="0" w:color="auto"/>
      </w:divBdr>
    </w:div>
    <w:div w:id="897595276">
      <w:bodyDiv w:val="1"/>
      <w:marLeft w:val="0"/>
      <w:marRight w:val="0"/>
      <w:marTop w:val="0"/>
      <w:marBottom w:val="0"/>
      <w:divBdr>
        <w:top w:val="none" w:sz="0" w:space="0" w:color="auto"/>
        <w:left w:val="none" w:sz="0" w:space="0" w:color="auto"/>
        <w:bottom w:val="none" w:sz="0" w:space="0" w:color="auto"/>
        <w:right w:val="none" w:sz="0" w:space="0" w:color="auto"/>
      </w:divBdr>
    </w:div>
    <w:div w:id="909077451">
      <w:bodyDiv w:val="1"/>
      <w:marLeft w:val="0"/>
      <w:marRight w:val="0"/>
      <w:marTop w:val="0"/>
      <w:marBottom w:val="0"/>
      <w:divBdr>
        <w:top w:val="none" w:sz="0" w:space="0" w:color="auto"/>
        <w:left w:val="none" w:sz="0" w:space="0" w:color="auto"/>
        <w:bottom w:val="none" w:sz="0" w:space="0" w:color="auto"/>
        <w:right w:val="none" w:sz="0" w:space="0" w:color="auto"/>
      </w:divBdr>
    </w:div>
    <w:div w:id="931279121">
      <w:bodyDiv w:val="1"/>
      <w:marLeft w:val="0"/>
      <w:marRight w:val="0"/>
      <w:marTop w:val="0"/>
      <w:marBottom w:val="0"/>
      <w:divBdr>
        <w:top w:val="none" w:sz="0" w:space="0" w:color="auto"/>
        <w:left w:val="none" w:sz="0" w:space="0" w:color="auto"/>
        <w:bottom w:val="none" w:sz="0" w:space="0" w:color="auto"/>
        <w:right w:val="none" w:sz="0" w:space="0" w:color="auto"/>
      </w:divBdr>
    </w:div>
    <w:div w:id="935867160">
      <w:bodyDiv w:val="1"/>
      <w:marLeft w:val="0"/>
      <w:marRight w:val="0"/>
      <w:marTop w:val="0"/>
      <w:marBottom w:val="0"/>
      <w:divBdr>
        <w:top w:val="none" w:sz="0" w:space="0" w:color="auto"/>
        <w:left w:val="none" w:sz="0" w:space="0" w:color="auto"/>
        <w:bottom w:val="none" w:sz="0" w:space="0" w:color="auto"/>
        <w:right w:val="none" w:sz="0" w:space="0" w:color="auto"/>
      </w:divBdr>
    </w:div>
    <w:div w:id="943343127">
      <w:bodyDiv w:val="1"/>
      <w:marLeft w:val="0"/>
      <w:marRight w:val="0"/>
      <w:marTop w:val="0"/>
      <w:marBottom w:val="0"/>
      <w:divBdr>
        <w:top w:val="none" w:sz="0" w:space="0" w:color="auto"/>
        <w:left w:val="none" w:sz="0" w:space="0" w:color="auto"/>
        <w:bottom w:val="none" w:sz="0" w:space="0" w:color="auto"/>
        <w:right w:val="none" w:sz="0" w:space="0" w:color="auto"/>
      </w:divBdr>
    </w:div>
    <w:div w:id="978652029">
      <w:bodyDiv w:val="1"/>
      <w:marLeft w:val="0"/>
      <w:marRight w:val="0"/>
      <w:marTop w:val="0"/>
      <w:marBottom w:val="0"/>
      <w:divBdr>
        <w:top w:val="none" w:sz="0" w:space="0" w:color="auto"/>
        <w:left w:val="none" w:sz="0" w:space="0" w:color="auto"/>
        <w:bottom w:val="none" w:sz="0" w:space="0" w:color="auto"/>
        <w:right w:val="none" w:sz="0" w:space="0" w:color="auto"/>
      </w:divBdr>
    </w:div>
    <w:div w:id="992609946">
      <w:bodyDiv w:val="1"/>
      <w:marLeft w:val="0"/>
      <w:marRight w:val="0"/>
      <w:marTop w:val="0"/>
      <w:marBottom w:val="0"/>
      <w:divBdr>
        <w:top w:val="none" w:sz="0" w:space="0" w:color="auto"/>
        <w:left w:val="none" w:sz="0" w:space="0" w:color="auto"/>
        <w:bottom w:val="none" w:sz="0" w:space="0" w:color="auto"/>
        <w:right w:val="none" w:sz="0" w:space="0" w:color="auto"/>
      </w:divBdr>
    </w:div>
    <w:div w:id="1005550450">
      <w:bodyDiv w:val="1"/>
      <w:marLeft w:val="0"/>
      <w:marRight w:val="0"/>
      <w:marTop w:val="0"/>
      <w:marBottom w:val="0"/>
      <w:divBdr>
        <w:top w:val="none" w:sz="0" w:space="0" w:color="auto"/>
        <w:left w:val="none" w:sz="0" w:space="0" w:color="auto"/>
        <w:bottom w:val="none" w:sz="0" w:space="0" w:color="auto"/>
        <w:right w:val="none" w:sz="0" w:space="0" w:color="auto"/>
      </w:divBdr>
    </w:div>
    <w:div w:id="1013919424">
      <w:bodyDiv w:val="1"/>
      <w:marLeft w:val="0"/>
      <w:marRight w:val="0"/>
      <w:marTop w:val="0"/>
      <w:marBottom w:val="0"/>
      <w:divBdr>
        <w:top w:val="none" w:sz="0" w:space="0" w:color="auto"/>
        <w:left w:val="none" w:sz="0" w:space="0" w:color="auto"/>
        <w:bottom w:val="none" w:sz="0" w:space="0" w:color="auto"/>
        <w:right w:val="none" w:sz="0" w:space="0" w:color="auto"/>
      </w:divBdr>
    </w:div>
    <w:div w:id="1045981803">
      <w:bodyDiv w:val="1"/>
      <w:marLeft w:val="0"/>
      <w:marRight w:val="0"/>
      <w:marTop w:val="0"/>
      <w:marBottom w:val="0"/>
      <w:divBdr>
        <w:top w:val="none" w:sz="0" w:space="0" w:color="auto"/>
        <w:left w:val="none" w:sz="0" w:space="0" w:color="auto"/>
        <w:bottom w:val="none" w:sz="0" w:space="0" w:color="auto"/>
        <w:right w:val="none" w:sz="0" w:space="0" w:color="auto"/>
      </w:divBdr>
    </w:div>
    <w:div w:id="1053429348">
      <w:bodyDiv w:val="1"/>
      <w:marLeft w:val="0"/>
      <w:marRight w:val="0"/>
      <w:marTop w:val="0"/>
      <w:marBottom w:val="0"/>
      <w:divBdr>
        <w:top w:val="none" w:sz="0" w:space="0" w:color="auto"/>
        <w:left w:val="none" w:sz="0" w:space="0" w:color="auto"/>
        <w:bottom w:val="none" w:sz="0" w:space="0" w:color="auto"/>
        <w:right w:val="none" w:sz="0" w:space="0" w:color="auto"/>
      </w:divBdr>
    </w:div>
    <w:div w:id="1088383869">
      <w:bodyDiv w:val="1"/>
      <w:marLeft w:val="0"/>
      <w:marRight w:val="0"/>
      <w:marTop w:val="0"/>
      <w:marBottom w:val="0"/>
      <w:divBdr>
        <w:top w:val="none" w:sz="0" w:space="0" w:color="auto"/>
        <w:left w:val="none" w:sz="0" w:space="0" w:color="auto"/>
        <w:bottom w:val="none" w:sz="0" w:space="0" w:color="auto"/>
        <w:right w:val="none" w:sz="0" w:space="0" w:color="auto"/>
      </w:divBdr>
    </w:div>
    <w:div w:id="1093084632">
      <w:bodyDiv w:val="1"/>
      <w:marLeft w:val="0"/>
      <w:marRight w:val="0"/>
      <w:marTop w:val="0"/>
      <w:marBottom w:val="0"/>
      <w:divBdr>
        <w:top w:val="none" w:sz="0" w:space="0" w:color="auto"/>
        <w:left w:val="none" w:sz="0" w:space="0" w:color="auto"/>
        <w:bottom w:val="none" w:sz="0" w:space="0" w:color="auto"/>
        <w:right w:val="none" w:sz="0" w:space="0" w:color="auto"/>
      </w:divBdr>
    </w:div>
    <w:div w:id="1095589840">
      <w:bodyDiv w:val="1"/>
      <w:marLeft w:val="0"/>
      <w:marRight w:val="0"/>
      <w:marTop w:val="0"/>
      <w:marBottom w:val="0"/>
      <w:divBdr>
        <w:top w:val="none" w:sz="0" w:space="0" w:color="auto"/>
        <w:left w:val="none" w:sz="0" w:space="0" w:color="auto"/>
        <w:bottom w:val="none" w:sz="0" w:space="0" w:color="auto"/>
        <w:right w:val="none" w:sz="0" w:space="0" w:color="auto"/>
      </w:divBdr>
    </w:div>
    <w:div w:id="1114835276">
      <w:bodyDiv w:val="1"/>
      <w:marLeft w:val="0"/>
      <w:marRight w:val="0"/>
      <w:marTop w:val="0"/>
      <w:marBottom w:val="0"/>
      <w:divBdr>
        <w:top w:val="none" w:sz="0" w:space="0" w:color="auto"/>
        <w:left w:val="none" w:sz="0" w:space="0" w:color="auto"/>
        <w:bottom w:val="none" w:sz="0" w:space="0" w:color="auto"/>
        <w:right w:val="none" w:sz="0" w:space="0" w:color="auto"/>
      </w:divBdr>
    </w:div>
    <w:div w:id="1125344879">
      <w:bodyDiv w:val="1"/>
      <w:marLeft w:val="0"/>
      <w:marRight w:val="0"/>
      <w:marTop w:val="0"/>
      <w:marBottom w:val="0"/>
      <w:divBdr>
        <w:top w:val="none" w:sz="0" w:space="0" w:color="auto"/>
        <w:left w:val="none" w:sz="0" w:space="0" w:color="auto"/>
        <w:bottom w:val="none" w:sz="0" w:space="0" w:color="auto"/>
        <w:right w:val="none" w:sz="0" w:space="0" w:color="auto"/>
      </w:divBdr>
    </w:div>
    <w:div w:id="1161233683">
      <w:bodyDiv w:val="1"/>
      <w:marLeft w:val="0"/>
      <w:marRight w:val="0"/>
      <w:marTop w:val="0"/>
      <w:marBottom w:val="0"/>
      <w:divBdr>
        <w:top w:val="none" w:sz="0" w:space="0" w:color="auto"/>
        <w:left w:val="none" w:sz="0" w:space="0" w:color="auto"/>
        <w:bottom w:val="none" w:sz="0" w:space="0" w:color="auto"/>
        <w:right w:val="none" w:sz="0" w:space="0" w:color="auto"/>
      </w:divBdr>
    </w:div>
    <w:div w:id="1185244895">
      <w:bodyDiv w:val="1"/>
      <w:marLeft w:val="0"/>
      <w:marRight w:val="0"/>
      <w:marTop w:val="0"/>
      <w:marBottom w:val="0"/>
      <w:divBdr>
        <w:top w:val="none" w:sz="0" w:space="0" w:color="auto"/>
        <w:left w:val="none" w:sz="0" w:space="0" w:color="auto"/>
        <w:bottom w:val="none" w:sz="0" w:space="0" w:color="auto"/>
        <w:right w:val="none" w:sz="0" w:space="0" w:color="auto"/>
      </w:divBdr>
    </w:div>
    <w:div w:id="1190680848">
      <w:bodyDiv w:val="1"/>
      <w:marLeft w:val="0"/>
      <w:marRight w:val="0"/>
      <w:marTop w:val="0"/>
      <w:marBottom w:val="0"/>
      <w:divBdr>
        <w:top w:val="none" w:sz="0" w:space="0" w:color="auto"/>
        <w:left w:val="none" w:sz="0" w:space="0" w:color="auto"/>
        <w:bottom w:val="none" w:sz="0" w:space="0" w:color="auto"/>
        <w:right w:val="none" w:sz="0" w:space="0" w:color="auto"/>
      </w:divBdr>
    </w:div>
    <w:div w:id="1191991672">
      <w:bodyDiv w:val="1"/>
      <w:marLeft w:val="0"/>
      <w:marRight w:val="0"/>
      <w:marTop w:val="0"/>
      <w:marBottom w:val="0"/>
      <w:divBdr>
        <w:top w:val="none" w:sz="0" w:space="0" w:color="auto"/>
        <w:left w:val="none" w:sz="0" w:space="0" w:color="auto"/>
        <w:bottom w:val="none" w:sz="0" w:space="0" w:color="auto"/>
        <w:right w:val="none" w:sz="0" w:space="0" w:color="auto"/>
      </w:divBdr>
    </w:div>
    <w:div w:id="1197278211">
      <w:bodyDiv w:val="1"/>
      <w:marLeft w:val="0"/>
      <w:marRight w:val="0"/>
      <w:marTop w:val="0"/>
      <w:marBottom w:val="0"/>
      <w:divBdr>
        <w:top w:val="none" w:sz="0" w:space="0" w:color="auto"/>
        <w:left w:val="none" w:sz="0" w:space="0" w:color="auto"/>
        <w:bottom w:val="none" w:sz="0" w:space="0" w:color="auto"/>
        <w:right w:val="none" w:sz="0" w:space="0" w:color="auto"/>
      </w:divBdr>
    </w:div>
    <w:div w:id="1199245084">
      <w:bodyDiv w:val="1"/>
      <w:marLeft w:val="0"/>
      <w:marRight w:val="0"/>
      <w:marTop w:val="0"/>
      <w:marBottom w:val="0"/>
      <w:divBdr>
        <w:top w:val="none" w:sz="0" w:space="0" w:color="auto"/>
        <w:left w:val="none" w:sz="0" w:space="0" w:color="auto"/>
        <w:bottom w:val="none" w:sz="0" w:space="0" w:color="auto"/>
        <w:right w:val="none" w:sz="0" w:space="0" w:color="auto"/>
      </w:divBdr>
    </w:div>
    <w:div w:id="1199665063">
      <w:bodyDiv w:val="1"/>
      <w:marLeft w:val="0"/>
      <w:marRight w:val="0"/>
      <w:marTop w:val="0"/>
      <w:marBottom w:val="0"/>
      <w:divBdr>
        <w:top w:val="none" w:sz="0" w:space="0" w:color="auto"/>
        <w:left w:val="none" w:sz="0" w:space="0" w:color="auto"/>
        <w:bottom w:val="none" w:sz="0" w:space="0" w:color="auto"/>
        <w:right w:val="none" w:sz="0" w:space="0" w:color="auto"/>
      </w:divBdr>
    </w:div>
    <w:div w:id="1211377434">
      <w:bodyDiv w:val="1"/>
      <w:marLeft w:val="0"/>
      <w:marRight w:val="0"/>
      <w:marTop w:val="0"/>
      <w:marBottom w:val="0"/>
      <w:divBdr>
        <w:top w:val="none" w:sz="0" w:space="0" w:color="auto"/>
        <w:left w:val="none" w:sz="0" w:space="0" w:color="auto"/>
        <w:bottom w:val="none" w:sz="0" w:space="0" w:color="auto"/>
        <w:right w:val="none" w:sz="0" w:space="0" w:color="auto"/>
      </w:divBdr>
    </w:div>
    <w:div w:id="1215628859">
      <w:bodyDiv w:val="1"/>
      <w:marLeft w:val="0"/>
      <w:marRight w:val="0"/>
      <w:marTop w:val="0"/>
      <w:marBottom w:val="0"/>
      <w:divBdr>
        <w:top w:val="none" w:sz="0" w:space="0" w:color="auto"/>
        <w:left w:val="none" w:sz="0" w:space="0" w:color="auto"/>
        <w:bottom w:val="none" w:sz="0" w:space="0" w:color="auto"/>
        <w:right w:val="none" w:sz="0" w:space="0" w:color="auto"/>
      </w:divBdr>
    </w:div>
    <w:div w:id="1232354607">
      <w:bodyDiv w:val="1"/>
      <w:marLeft w:val="0"/>
      <w:marRight w:val="0"/>
      <w:marTop w:val="0"/>
      <w:marBottom w:val="0"/>
      <w:divBdr>
        <w:top w:val="none" w:sz="0" w:space="0" w:color="auto"/>
        <w:left w:val="none" w:sz="0" w:space="0" w:color="auto"/>
        <w:bottom w:val="none" w:sz="0" w:space="0" w:color="auto"/>
        <w:right w:val="none" w:sz="0" w:space="0" w:color="auto"/>
      </w:divBdr>
    </w:div>
    <w:div w:id="1235431583">
      <w:bodyDiv w:val="1"/>
      <w:marLeft w:val="0"/>
      <w:marRight w:val="0"/>
      <w:marTop w:val="0"/>
      <w:marBottom w:val="0"/>
      <w:divBdr>
        <w:top w:val="none" w:sz="0" w:space="0" w:color="auto"/>
        <w:left w:val="none" w:sz="0" w:space="0" w:color="auto"/>
        <w:bottom w:val="none" w:sz="0" w:space="0" w:color="auto"/>
        <w:right w:val="none" w:sz="0" w:space="0" w:color="auto"/>
      </w:divBdr>
    </w:div>
    <w:div w:id="1237012623">
      <w:bodyDiv w:val="1"/>
      <w:marLeft w:val="0"/>
      <w:marRight w:val="0"/>
      <w:marTop w:val="0"/>
      <w:marBottom w:val="0"/>
      <w:divBdr>
        <w:top w:val="none" w:sz="0" w:space="0" w:color="auto"/>
        <w:left w:val="none" w:sz="0" w:space="0" w:color="auto"/>
        <w:bottom w:val="none" w:sz="0" w:space="0" w:color="auto"/>
        <w:right w:val="none" w:sz="0" w:space="0" w:color="auto"/>
      </w:divBdr>
    </w:div>
    <w:div w:id="1247424027">
      <w:bodyDiv w:val="1"/>
      <w:marLeft w:val="0"/>
      <w:marRight w:val="0"/>
      <w:marTop w:val="0"/>
      <w:marBottom w:val="0"/>
      <w:divBdr>
        <w:top w:val="none" w:sz="0" w:space="0" w:color="auto"/>
        <w:left w:val="none" w:sz="0" w:space="0" w:color="auto"/>
        <w:bottom w:val="none" w:sz="0" w:space="0" w:color="auto"/>
        <w:right w:val="none" w:sz="0" w:space="0" w:color="auto"/>
      </w:divBdr>
    </w:div>
    <w:div w:id="1249730180">
      <w:bodyDiv w:val="1"/>
      <w:marLeft w:val="0"/>
      <w:marRight w:val="0"/>
      <w:marTop w:val="0"/>
      <w:marBottom w:val="0"/>
      <w:divBdr>
        <w:top w:val="none" w:sz="0" w:space="0" w:color="auto"/>
        <w:left w:val="none" w:sz="0" w:space="0" w:color="auto"/>
        <w:bottom w:val="none" w:sz="0" w:space="0" w:color="auto"/>
        <w:right w:val="none" w:sz="0" w:space="0" w:color="auto"/>
      </w:divBdr>
    </w:div>
    <w:div w:id="1255749163">
      <w:bodyDiv w:val="1"/>
      <w:marLeft w:val="0"/>
      <w:marRight w:val="0"/>
      <w:marTop w:val="0"/>
      <w:marBottom w:val="0"/>
      <w:divBdr>
        <w:top w:val="none" w:sz="0" w:space="0" w:color="auto"/>
        <w:left w:val="none" w:sz="0" w:space="0" w:color="auto"/>
        <w:bottom w:val="none" w:sz="0" w:space="0" w:color="auto"/>
        <w:right w:val="none" w:sz="0" w:space="0" w:color="auto"/>
      </w:divBdr>
    </w:div>
    <w:div w:id="1263144282">
      <w:bodyDiv w:val="1"/>
      <w:marLeft w:val="0"/>
      <w:marRight w:val="0"/>
      <w:marTop w:val="0"/>
      <w:marBottom w:val="0"/>
      <w:divBdr>
        <w:top w:val="none" w:sz="0" w:space="0" w:color="auto"/>
        <w:left w:val="none" w:sz="0" w:space="0" w:color="auto"/>
        <w:bottom w:val="none" w:sz="0" w:space="0" w:color="auto"/>
        <w:right w:val="none" w:sz="0" w:space="0" w:color="auto"/>
      </w:divBdr>
    </w:div>
    <w:div w:id="1263755798">
      <w:bodyDiv w:val="1"/>
      <w:marLeft w:val="0"/>
      <w:marRight w:val="0"/>
      <w:marTop w:val="0"/>
      <w:marBottom w:val="0"/>
      <w:divBdr>
        <w:top w:val="none" w:sz="0" w:space="0" w:color="auto"/>
        <w:left w:val="none" w:sz="0" w:space="0" w:color="auto"/>
        <w:bottom w:val="none" w:sz="0" w:space="0" w:color="auto"/>
        <w:right w:val="none" w:sz="0" w:space="0" w:color="auto"/>
      </w:divBdr>
    </w:div>
    <w:div w:id="1265991671">
      <w:bodyDiv w:val="1"/>
      <w:marLeft w:val="0"/>
      <w:marRight w:val="0"/>
      <w:marTop w:val="0"/>
      <w:marBottom w:val="0"/>
      <w:divBdr>
        <w:top w:val="none" w:sz="0" w:space="0" w:color="auto"/>
        <w:left w:val="none" w:sz="0" w:space="0" w:color="auto"/>
        <w:bottom w:val="none" w:sz="0" w:space="0" w:color="auto"/>
        <w:right w:val="none" w:sz="0" w:space="0" w:color="auto"/>
      </w:divBdr>
    </w:div>
    <w:div w:id="1270622784">
      <w:bodyDiv w:val="1"/>
      <w:marLeft w:val="0"/>
      <w:marRight w:val="0"/>
      <w:marTop w:val="0"/>
      <w:marBottom w:val="0"/>
      <w:divBdr>
        <w:top w:val="none" w:sz="0" w:space="0" w:color="auto"/>
        <w:left w:val="none" w:sz="0" w:space="0" w:color="auto"/>
        <w:bottom w:val="none" w:sz="0" w:space="0" w:color="auto"/>
        <w:right w:val="none" w:sz="0" w:space="0" w:color="auto"/>
      </w:divBdr>
    </w:div>
    <w:div w:id="1304237853">
      <w:bodyDiv w:val="1"/>
      <w:marLeft w:val="0"/>
      <w:marRight w:val="0"/>
      <w:marTop w:val="0"/>
      <w:marBottom w:val="0"/>
      <w:divBdr>
        <w:top w:val="none" w:sz="0" w:space="0" w:color="auto"/>
        <w:left w:val="none" w:sz="0" w:space="0" w:color="auto"/>
        <w:bottom w:val="none" w:sz="0" w:space="0" w:color="auto"/>
        <w:right w:val="none" w:sz="0" w:space="0" w:color="auto"/>
      </w:divBdr>
    </w:div>
    <w:div w:id="1322542139">
      <w:bodyDiv w:val="1"/>
      <w:marLeft w:val="0"/>
      <w:marRight w:val="0"/>
      <w:marTop w:val="0"/>
      <w:marBottom w:val="0"/>
      <w:divBdr>
        <w:top w:val="none" w:sz="0" w:space="0" w:color="auto"/>
        <w:left w:val="none" w:sz="0" w:space="0" w:color="auto"/>
        <w:bottom w:val="none" w:sz="0" w:space="0" w:color="auto"/>
        <w:right w:val="none" w:sz="0" w:space="0" w:color="auto"/>
      </w:divBdr>
    </w:div>
    <w:div w:id="1331444523">
      <w:bodyDiv w:val="1"/>
      <w:marLeft w:val="0"/>
      <w:marRight w:val="0"/>
      <w:marTop w:val="0"/>
      <w:marBottom w:val="0"/>
      <w:divBdr>
        <w:top w:val="none" w:sz="0" w:space="0" w:color="auto"/>
        <w:left w:val="none" w:sz="0" w:space="0" w:color="auto"/>
        <w:bottom w:val="none" w:sz="0" w:space="0" w:color="auto"/>
        <w:right w:val="none" w:sz="0" w:space="0" w:color="auto"/>
      </w:divBdr>
    </w:div>
    <w:div w:id="1335377771">
      <w:bodyDiv w:val="1"/>
      <w:marLeft w:val="0"/>
      <w:marRight w:val="0"/>
      <w:marTop w:val="0"/>
      <w:marBottom w:val="0"/>
      <w:divBdr>
        <w:top w:val="none" w:sz="0" w:space="0" w:color="auto"/>
        <w:left w:val="none" w:sz="0" w:space="0" w:color="auto"/>
        <w:bottom w:val="none" w:sz="0" w:space="0" w:color="auto"/>
        <w:right w:val="none" w:sz="0" w:space="0" w:color="auto"/>
      </w:divBdr>
    </w:div>
    <w:div w:id="1336879726">
      <w:bodyDiv w:val="1"/>
      <w:marLeft w:val="0"/>
      <w:marRight w:val="0"/>
      <w:marTop w:val="0"/>
      <w:marBottom w:val="0"/>
      <w:divBdr>
        <w:top w:val="none" w:sz="0" w:space="0" w:color="auto"/>
        <w:left w:val="none" w:sz="0" w:space="0" w:color="auto"/>
        <w:bottom w:val="none" w:sz="0" w:space="0" w:color="auto"/>
        <w:right w:val="none" w:sz="0" w:space="0" w:color="auto"/>
      </w:divBdr>
    </w:div>
    <w:div w:id="1337002607">
      <w:bodyDiv w:val="1"/>
      <w:marLeft w:val="0"/>
      <w:marRight w:val="0"/>
      <w:marTop w:val="0"/>
      <w:marBottom w:val="0"/>
      <w:divBdr>
        <w:top w:val="none" w:sz="0" w:space="0" w:color="auto"/>
        <w:left w:val="none" w:sz="0" w:space="0" w:color="auto"/>
        <w:bottom w:val="none" w:sz="0" w:space="0" w:color="auto"/>
        <w:right w:val="none" w:sz="0" w:space="0" w:color="auto"/>
      </w:divBdr>
    </w:div>
    <w:div w:id="1338078564">
      <w:bodyDiv w:val="1"/>
      <w:marLeft w:val="0"/>
      <w:marRight w:val="0"/>
      <w:marTop w:val="0"/>
      <w:marBottom w:val="0"/>
      <w:divBdr>
        <w:top w:val="none" w:sz="0" w:space="0" w:color="auto"/>
        <w:left w:val="none" w:sz="0" w:space="0" w:color="auto"/>
        <w:bottom w:val="none" w:sz="0" w:space="0" w:color="auto"/>
        <w:right w:val="none" w:sz="0" w:space="0" w:color="auto"/>
      </w:divBdr>
    </w:div>
    <w:div w:id="1340236536">
      <w:bodyDiv w:val="1"/>
      <w:marLeft w:val="0"/>
      <w:marRight w:val="0"/>
      <w:marTop w:val="0"/>
      <w:marBottom w:val="0"/>
      <w:divBdr>
        <w:top w:val="none" w:sz="0" w:space="0" w:color="auto"/>
        <w:left w:val="none" w:sz="0" w:space="0" w:color="auto"/>
        <w:bottom w:val="none" w:sz="0" w:space="0" w:color="auto"/>
        <w:right w:val="none" w:sz="0" w:space="0" w:color="auto"/>
      </w:divBdr>
    </w:div>
    <w:div w:id="1372421492">
      <w:bodyDiv w:val="1"/>
      <w:marLeft w:val="0"/>
      <w:marRight w:val="0"/>
      <w:marTop w:val="0"/>
      <w:marBottom w:val="0"/>
      <w:divBdr>
        <w:top w:val="none" w:sz="0" w:space="0" w:color="auto"/>
        <w:left w:val="none" w:sz="0" w:space="0" w:color="auto"/>
        <w:bottom w:val="none" w:sz="0" w:space="0" w:color="auto"/>
        <w:right w:val="none" w:sz="0" w:space="0" w:color="auto"/>
      </w:divBdr>
    </w:div>
    <w:div w:id="1373503651">
      <w:bodyDiv w:val="1"/>
      <w:marLeft w:val="0"/>
      <w:marRight w:val="0"/>
      <w:marTop w:val="0"/>
      <w:marBottom w:val="0"/>
      <w:divBdr>
        <w:top w:val="none" w:sz="0" w:space="0" w:color="auto"/>
        <w:left w:val="none" w:sz="0" w:space="0" w:color="auto"/>
        <w:bottom w:val="none" w:sz="0" w:space="0" w:color="auto"/>
        <w:right w:val="none" w:sz="0" w:space="0" w:color="auto"/>
      </w:divBdr>
    </w:div>
    <w:div w:id="1382365995">
      <w:bodyDiv w:val="1"/>
      <w:marLeft w:val="0"/>
      <w:marRight w:val="0"/>
      <w:marTop w:val="0"/>
      <w:marBottom w:val="0"/>
      <w:divBdr>
        <w:top w:val="none" w:sz="0" w:space="0" w:color="auto"/>
        <w:left w:val="none" w:sz="0" w:space="0" w:color="auto"/>
        <w:bottom w:val="none" w:sz="0" w:space="0" w:color="auto"/>
        <w:right w:val="none" w:sz="0" w:space="0" w:color="auto"/>
      </w:divBdr>
    </w:div>
    <w:div w:id="1387601691">
      <w:bodyDiv w:val="1"/>
      <w:marLeft w:val="0"/>
      <w:marRight w:val="0"/>
      <w:marTop w:val="0"/>
      <w:marBottom w:val="0"/>
      <w:divBdr>
        <w:top w:val="none" w:sz="0" w:space="0" w:color="auto"/>
        <w:left w:val="none" w:sz="0" w:space="0" w:color="auto"/>
        <w:bottom w:val="none" w:sz="0" w:space="0" w:color="auto"/>
        <w:right w:val="none" w:sz="0" w:space="0" w:color="auto"/>
      </w:divBdr>
    </w:div>
    <w:div w:id="1394357032">
      <w:bodyDiv w:val="1"/>
      <w:marLeft w:val="0"/>
      <w:marRight w:val="0"/>
      <w:marTop w:val="0"/>
      <w:marBottom w:val="0"/>
      <w:divBdr>
        <w:top w:val="none" w:sz="0" w:space="0" w:color="auto"/>
        <w:left w:val="none" w:sz="0" w:space="0" w:color="auto"/>
        <w:bottom w:val="none" w:sz="0" w:space="0" w:color="auto"/>
        <w:right w:val="none" w:sz="0" w:space="0" w:color="auto"/>
      </w:divBdr>
    </w:div>
    <w:div w:id="1396850564">
      <w:bodyDiv w:val="1"/>
      <w:marLeft w:val="0"/>
      <w:marRight w:val="0"/>
      <w:marTop w:val="0"/>
      <w:marBottom w:val="0"/>
      <w:divBdr>
        <w:top w:val="none" w:sz="0" w:space="0" w:color="auto"/>
        <w:left w:val="none" w:sz="0" w:space="0" w:color="auto"/>
        <w:bottom w:val="none" w:sz="0" w:space="0" w:color="auto"/>
        <w:right w:val="none" w:sz="0" w:space="0" w:color="auto"/>
      </w:divBdr>
    </w:div>
    <w:div w:id="1435589416">
      <w:bodyDiv w:val="1"/>
      <w:marLeft w:val="0"/>
      <w:marRight w:val="0"/>
      <w:marTop w:val="0"/>
      <w:marBottom w:val="0"/>
      <w:divBdr>
        <w:top w:val="none" w:sz="0" w:space="0" w:color="auto"/>
        <w:left w:val="none" w:sz="0" w:space="0" w:color="auto"/>
        <w:bottom w:val="none" w:sz="0" w:space="0" w:color="auto"/>
        <w:right w:val="none" w:sz="0" w:space="0" w:color="auto"/>
      </w:divBdr>
    </w:div>
    <w:div w:id="1438719373">
      <w:bodyDiv w:val="1"/>
      <w:marLeft w:val="0"/>
      <w:marRight w:val="0"/>
      <w:marTop w:val="0"/>
      <w:marBottom w:val="0"/>
      <w:divBdr>
        <w:top w:val="none" w:sz="0" w:space="0" w:color="auto"/>
        <w:left w:val="none" w:sz="0" w:space="0" w:color="auto"/>
        <w:bottom w:val="none" w:sz="0" w:space="0" w:color="auto"/>
        <w:right w:val="none" w:sz="0" w:space="0" w:color="auto"/>
      </w:divBdr>
    </w:div>
    <w:div w:id="1454713415">
      <w:bodyDiv w:val="1"/>
      <w:marLeft w:val="0"/>
      <w:marRight w:val="0"/>
      <w:marTop w:val="0"/>
      <w:marBottom w:val="0"/>
      <w:divBdr>
        <w:top w:val="none" w:sz="0" w:space="0" w:color="auto"/>
        <w:left w:val="none" w:sz="0" w:space="0" w:color="auto"/>
        <w:bottom w:val="none" w:sz="0" w:space="0" w:color="auto"/>
        <w:right w:val="none" w:sz="0" w:space="0" w:color="auto"/>
      </w:divBdr>
    </w:div>
    <w:div w:id="1467967496">
      <w:bodyDiv w:val="1"/>
      <w:marLeft w:val="0"/>
      <w:marRight w:val="0"/>
      <w:marTop w:val="0"/>
      <w:marBottom w:val="0"/>
      <w:divBdr>
        <w:top w:val="none" w:sz="0" w:space="0" w:color="auto"/>
        <w:left w:val="none" w:sz="0" w:space="0" w:color="auto"/>
        <w:bottom w:val="none" w:sz="0" w:space="0" w:color="auto"/>
        <w:right w:val="none" w:sz="0" w:space="0" w:color="auto"/>
      </w:divBdr>
    </w:div>
    <w:div w:id="1470125310">
      <w:bodyDiv w:val="1"/>
      <w:marLeft w:val="0"/>
      <w:marRight w:val="0"/>
      <w:marTop w:val="0"/>
      <w:marBottom w:val="0"/>
      <w:divBdr>
        <w:top w:val="none" w:sz="0" w:space="0" w:color="auto"/>
        <w:left w:val="none" w:sz="0" w:space="0" w:color="auto"/>
        <w:bottom w:val="none" w:sz="0" w:space="0" w:color="auto"/>
        <w:right w:val="none" w:sz="0" w:space="0" w:color="auto"/>
      </w:divBdr>
    </w:div>
    <w:div w:id="1472016601">
      <w:bodyDiv w:val="1"/>
      <w:marLeft w:val="0"/>
      <w:marRight w:val="0"/>
      <w:marTop w:val="0"/>
      <w:marBottom w:val="0"/>
      <w:divBdr>
        <w:top w:val="none" w:sz="0" w:space="0" w:color="auto"/>
        <w:left w:val="none" w:sz="0" w:space="0" w:color="auto"/>
        <w:bottom w:val="none" w:sz="0" w:space="0" w:color="auto"/>
        <w:right w:val="none" w:sz="0" w:space="0" w:color="auto"/>
      </w:divBdr>
    </w:div>
    <w:div w:id="1472987811">
      <w:bodyDiv w:val="1"/>
      <w:marLeft w:val="0"/>
      <w:marRight w:val="0"/>
      <w:marTop w:val="0"/>
      <w:marBottom w:val="0"/>
      <w:divBdr>
        <w:top w:val="none" w:sz="0" w:space="0" w:color="auto"/>
        <w:left w:val="none" w:sz="0" w:space="0" w:color="auto"/>
        <w:bottom w:val="none" w:sz="0" w:space="0" w:color="auto"/>
        <w:right w:val="none" w:sz="0" w:space="0" w:color="auto"/>
      </w:divBdr>
    </w:div>
    <w:div w:id="1473713438">
      <w:bodyDiv w:val="1"/>
      <w:marLeft w:val="0"/>
      <w:marRight w:val="0"/>
      <w:marTop w:val="0"/>
      <w:marBottom w:val="0"/>
      <w:divBdr>
        <w:top w:val="none" w:sz="0" w:space="0" w:color="auto"/>
        <w:left w:val="none" w:sz="0" w:space="0" w:color="auto"/>
        <w:bottom w:val="none" w:sz="0" w:space="0" w:color="auto"/>
        <w:right w:val="none" w:sz="0" w:space="0" w:color="auto"/>
      </w:divBdr>
    </w:div>
    <w:div w:id="1477869486">
      <w:bodyDiv w:val="1"/>
      <w:marLeft w:val="0"/>
      <w:marRight w:val="0"/>
      <w:marTop w:val="0"/>
      <w:marBottom w:val="0"/>
      <w:divBdr>
        <w:top w:val="none" w:sz="0" w:space="0" w:color="auto"/>
        <w:left w:val="none" w:sz="0" w:space="0" w:color="auto"/>
        <w:bottom w:val="none" w:sz="0" w:space="0" w:color="auto"/>
        <w:right w:val="none" w:sz="0" w:space="0" w:color="auto"/>
      </w:divBdr>
    </w:div>
    <w:div w:id="1481072805">
      <w:bodyDiv w:val="1"/>
      <w:marLeft w:val="0"/>
      <w:marRight w:val="0"/>
      <w:marTop w:val="0"/>
      <w:marBottom w:val="0"/>
      <w:divBdr>
        <w:top w:val="none" w:sz="0" w:space="0" w:color="auto"/>
        <w:left w:val="none" w:sz="0" w:space="0" w:color="auto"/>
        <w:bottom w:val="none" w:sz="0" w:space="0" w:color="auto"/>
        <w:right w:val="none" w:sz="0" w:space="0" w:color="auto"/>
      </w:divBdr>
    </w:div>
    <w:div w:id="1483695293">
      <w:bodyDiv w:val="1"/>
      <w:marLeft w:val="0"/>
      <w:marRight w:val="0"/>
      <w:marTop w:val="0"/>
      <w:marBottom w:val="0"/>
      <w:divBdr>
        <w:top w:val="none" w:sz="0" w:space="0" w:color="auto"/>
        <w:left w:val="none" w:sz="0" w:space="0" w:color="auto"/>
        <w:bottom w:val="none" w:sz="0" w:space="0" w:color="auto"/>
        <w:right w:val="none" w:sz="0" w:space="0" w:color="auto"/>
      </w:divBdr>
    </w:div>
    <w:div w:id="1497766954">
      <w:bodyDiv w:val="1"/>
      <w:marLeft w:val="0"/>
      <w:marRight w:val="0"/>
      <w:marTop w:val="0"/>
      <w:marBottom w:val="0"/>
      <w:divBdr>
        <w:top w:val="none" w:sz="0" w:space="0" w:color="auto"/>
        <w:left w:val="none" w:sz="0" w:space="0" w:color="auto"/>
        <w:bottom w:val="none" w:sz="0" w:space="0" w:color="auto"/>
        <w:right w:val="none" w:sz="0" w:space="0" w:color="auto"/>
      </w:divBdr>
    </w:div>
    <w:div w:id="1498226969">
      <w:bodyDiv w:val="1"/>
      <w:marLeft w:val="0"/>
      <w:marRight w:val="0"/>
      <w:marTop w:val="0"/>
      <w:marBottom w:val="0"/>
      <w:divBdr>
        <w:top w:val="none" w:sz="0" w:space="0" w:color="auto"/>
        <w:left w:val="none" w:sz="0" w:space="0" w:color="auto"/>
        <w:bottom w:val="none" w:sz="0" w:space="0" w:color="auto"/>
        <w:right w:val="none" w:sz="0" w:space="0" w:color="auto"/>
      </w:divBdr>
    </w:div>
    <w:div w:id="1516071816">
      <w:bodyDiv w:val="1"/>
      <w:marLeft w:val="0"/>
      <w:marRight w:val="0"/>
      <w:marTop w:val="0"/>
      <w:marBottom w:val="0"/>
      <w:divBdr>
        <w:top w:val="none" w:sz="0" w:space="0" w:color="auto"/>
        <w:left w:val="none" w:sz="0" w:space="0" w:color="auto"/>
        <w:bottom w:val="none" w:sz="0" w:space="0" w:color="auto"/>
        <w:right w:val="none" w:sz="0" w:space="0" w:color="auto"/>
      </w:divBdr>
    </w:div>
    <w:div w:id="1523857114">
      <w:bodyDiv w:val="1"/>
      <w:marLeft w:val="0"/>
      <w:marRight w:val="0"/>
      <w:marTop w:val="0"/>
      <w:marBottom w:val="0"/>
      <w:divBdr>
        <w:top w:val="none" w:sz="0" w:space="0" w:color="auto"/>
        <w:left w:val="none" w:sz="0" w:space="0" w:color="auto"/>
        <w:bottom w:val="none" w:sz="0" w:space="0" w:color="auto"/>
        <w:right w:val="none" w:sz="0" w:space="0" w:color="auto"/>
      </w:divBdr>
    </w:div>
    <w:div w:id="1525364289">
      <w:bodyDiv w:val="1"/>
      <w:marLeft w:val="0"/>
      <w:marRight w:val="0"/>
      <w:marTop w:val="0"/>
      <w:marBottom w:val="0"/>
      <w:divBdr>
        <w:top w:val="none" w:sz="0" w:space="0" w:color="auto"/>
        <w:left w:val="none" w:sz="0" w:space="0" w:color="auto"/>
        <w:bottom w:val="none" w:sz="0" w:space="0" w:color="auto"/>
        <w:right w:val="none" w:sz="0" w:space="0" w:color="auto"/>
      </w:divBdr>
    </w:div>
    <w:div w:id="1527868899">
      <w:bodyDiv w:val="1"/>
      <w:marLeft w:val="0"/>
      <w:marRight w:val="0"/>
      <w:marTop w:val="0"/>
      <w:marBottom w:val="0"/>
      <w:divBdr>
        <w:top w:val="none" w:sz="0" w:space="0" w:color="auto"/>
        <w:left w:val="none" w:sz="0" w:space="0" w:color="auto"/>
        <w:bottom w:val="none" w:sz="0" w:space="0" w:color="auto"/>
        <w:right w:val="none" w:sz="0" w:space="0" w:color="auto"/>
      </w:divBdr>
    </w:div>
    <w:div w:id="1548758124">
      <w:bodyDiv w:val="1"/>
      <w:marLeft w:val="0"/>
      <w:marRight w:val="0"/>
      <w:marTop w:val="0"/>
      <w:marBottom w:val="0"/>
      <w:divBdr>
        <w:top w:val="none" w:sz="0" w:space="0" w:color="auto"/>
        <w:left w:val="none" w:sz="0" w:space="0" w:color="auto"/>
        <w:bottom w:val="none" w:sz="0" w:space="0" w:color="auto"/>
        <w:right w:val="none" w:sz="0" w:space="0" w:color="auto"/>
      </w:divBdr>
    </w:div>
    <w:div w:id="1552693977">
      <w:bodyDiv w:val="1"/>
      <w:marLeft w:val="0"/>
      <w:marRight w:val="0"/>
      <w:marTop w:val="0"/>
      <w:marBottom w:val="0"/>
      <w:divBdr>
        <w:top w:val="none" w:sz="0" w:space="0" w:color="auto"/>
        <w:left w:val="none" w:sz="0" w:space="0" w:color="auto"/>
        <w:bottom w:val="none" w:sz="0" w:space="0" w:color="auto"/>
        <w:right w:val="none" w:sz="0" w:space="0" w:color="auto"/>
      </w:divBdr>
    </w:div>
    <w:div w:id="1562131240">
      <w:bodyDiv w:val="1"/>
      <w:marLeft w:val="0"/>
      <w:marRight w:val="0"/>
      <w:marTop w:val="0"/>
      <w:marBottom w:val="0"/>
      <w:divBdr>
        <w:top w:val="none" w:sz="0" w:space="0" w:color="auto"/>
        <w:left w:val="none" w:sz="0" w:space="0" w:color="auto"/>
        <w:bottom w:val="none" w:sz="0" w:space="0" w:color="auto"/>
        <w:right w:val="none" w:sz="0" w:space="0" w:color="auto"/>
      </w:divBdr>
    </w:div>
    <w:div w:id="1582258019">
      <w:bodyDiv w:val="1"/>
      <w:marLeft w:val="0"/>
      <w:marRight w:val="0"/>
      <w:marTop w:val="0"/>
      <w:marBottom w:val="0"/>
      <w:divBdr>
        <w:top w:val="none" w:sz="0" w:space="0" w:color="auto"/>
        <w:left w:val="none" w:sz="0" w:space="0" w:color="auto"/>
        <w:bottom w:val="none" w:sz="0" w:space="0" w:color="auto"/>
        <w:right w:val="none" w:sz="0" w:space="0" w:color="auto"/>
      </w:divBdr>
    </w:div>
    <w:div w:id="1586768795">
      <w:bodyDiv w:val="1"/>
      <w:marLeft w:val="0"/>
      <w:marRight w:val="0"/>
      <w:marTop w:val="0"/>
      <w:marBottom w:val="0"/>
      <w:divBdr>
        <w:top w:val="none" w:sz="0" w:space="0" w:color="auto"/>
        <w:left w:val="none" w:sz="0" w:space="0" w:color="auto"/>
        <w:bottom w:val="none" w:sz="0" w:space="0" w:color="auto"/>
        <w:right w:val="none" w:sz="0" w:space="0" w:color="auto"/>
      </w:divBdr>
    </w:div>
    <w:div w:id="1595286898">
      <w:bodyDiv w:val="1"/>
      <w:marLeft w:val="0"/>
      <w:marRight w:val="0"/>
      <w:marTop w:val="0"/>
      <w:marBottom w:val="0"/>
      <w:divBdr>
        <w:top w:val="none" w:sz="0" w:space="0" w:color="auto"/>
        <w:left w:val="none" w:sz="0" w:space="0" w:color="auto"/>
        <w:bottom w:val="none" w:sz="0" w:space="0" w:color="auto"/>
        <w:right w:val="none" w:sz="0" w:space="0" w:color="auto"/>
      </w:divBdr>
    </w:div>
    <w:div w:id="1598751712">
      <w:bodyDiv w:val="1"/>
      <w:marLeft w:val="0"/>
      <w:marRight w:val="0"/>
      <w:marTop w:val="0"/>
      <w:marBottom w:val="0"/>
      <w:divBdr>
        <w:top w:val="none" w:sz="0" w:space="0" w:color="auto"/>
        <w:left w:val="none" w:sz="0" w:space="0" w:color="auto"/>
        <w:bottom w:val="none" w:sz="0" w:space="0" w:color="auto"/>
        <w:right w:val="none" w:sz="0" w:space="0" w:color="auto"/>
      </w:divBdr>
    </w:div>
    <w:div w:id="1608344882">
      <w:bodyDiv w:val="1"/>
      <w:marLeft w:val="0"/>
      <w:marRight w:val="0"/>
      <w:marTop w:val="0"/>
      <w:marBottom w:val="0"/>
      <w:divBdr>
        <w:top w:val="none" w:sz="0" w:space="0" w:color="auto"/>
        <w:left w:val="none" w:sz="0" w:space="0" w:color="auto"/>
        <w:bottom w:val="none" w:sz="0" w:space="0" w:color="auto"/>
        <w:right w:val="none" w:sz="0" w:space="0" w:color="auto"/>
      </w:divBdr>
    </w:div>
    <w:div w:id="1623926840">
      <w:bodyDiv w:val="1"/>
      <w:marLeft w:val="0"/>
      <w:marRight w:val="0"/>
      <w:marTop w:val="0"/>
      <w:marBottom w:val="0"/>
      <w:divBdr>
        <w:top w:val="none" w:sz="0" w:space="0" w:color="auto"/>
        <w:left w:val="none" w:sz="0" w:space="0" w:color="auto"/>
        <w:bottom w:val="none" w:sz="0" w:space="0" w:color="auto"/>
        <w:right w:val="none" w:sz="0" w:space="0" w:color="auto"/>
      </w:divBdr>
    </w:div>
    <w:div w:id="1629626179">
      <w:bodyDiv w:val="1"/>
      <w:marLeft w:val="0"/>
      <w:marRight w:val="0"/>
      <w:marTop w:val="0"/>
      <w:marBottom w:val="0"/>
      <w:divBdr>
        <w:top w:val="none" w:sz="0" w:space="0" w:color="auto"/>
        <w:left w:val="none" w:sz="0" w:space="0" w:color="auto"/>
        <w:bottom w:val="none" w:sz="0" w:space="0" w:color="auto"/>
        <w:right w:val="none" w:sz="0" w:space="0" w:color="auto"/>
      </w:divBdr>
    </w:div>
    <w:div w:id="1639188514">
      <w:bodyDiv w:val="1"/>
      <w:marLeft w:val="0"/>
      <w:marRight w:val="0"/>
      <w:marTop w:val="0"/>
      <w:marBottom w:val="0"/>
      <w:divBdr>
        <w:top w:val="none" w:sz="0" w:space="0" w:color="auto"/>
        <w:left w:val="none" w:sz="0" w:space="0" w:color="auto"/>
        <w:bottom w:val="none" w:sz="0" w:space="0" w:color="auto"/>
        <w:right w:val="none" w:sz="0" w:space="0" w:color="auto"/>
      </w:divBdr>
    </w:div>
    <w:div w:id="1649439845">
      <w:bodyDiv w:val="1"/>
      <w:marLeft w:val="0"/>
      <w:marRight w:val="0"/>
      <w:marTop w:val="0"/>
      <w:marBottom w:val="0"/>
      <w:divBdr>
        <w:top w:val="none" w:sz="0" w:space="0" w:color="auto"/>
        <w:left w:val="none" w:sz="0" w:space="0" w:color="auto"/>
        <w:bottom w:val="none" w:sz="0" w:space="0" w:color="auto"/>
        <w:right w:val="none" w:sz="0" w:space="0" w:color="auto"/>
      </w:divBdr>
    </w:div>
    <w:div w:id="1652364323">
      <w:bodyDiv w:val="1"/>
      <w:marLeft w:val="0"/>
      <w:marRight w:val="0"/>
      <w:marTop w:val="0"/>
      <w:marBottom w:val="0"/>
      <w:divBdr>
        <w:top w:val="none" w:sz="0" w:space="0" w:color="auto"/>
        <w:left w:val="none" w:sz="0" w:space="0" w:color="auto"/>
        <w:bottom w:val="none" w:sz="0" w:space="0" w:color="auto"/>
        <w:right w:val="none" w:sz="0" w:space="0" w:color="auto"/>
      </w:divBdr>
    </w:div>
    <w:div w:id="1657105422">
      <w:bodyDiv w:val="1"/>
      <w:marLeft w:val="0"/>
      <w:marRight w:val="0"/>
      <w:marTop w:val="0"/>
      <w:marBottom w:val="0"/>
      <w:divBdr>
        <w:top w:val="none" w:sz="0" w:space="0" w:color="auto"/>
        <w:left w:val="none" w:sz="0" w:space="0" w:color="auto"/>
        <w:bottom w:val="none" w:sz="0" w:space="0" w:color="auto"/>
        <w:right w:val="none" w:sz="0" w:space="0" w:color="auto"/>
      </w:divBdr>
    </w:div>
    <w:div w:id="1659260089">
      <w:bodyDiv w:val="1"/>
      <w:marLeft w:val="0"/>
      <w:marRight w:val="0"/>
      <w:marTop w:val="0"/>
      <w:marBottom w:val="0"/>
      <w:divBdr>
        <w:top w:val="none" w:sz="0" w:space="0" w:color="auto"/>
        <w:left w:val="none" w:sz="0" w:space="0" w:color="auto"/>
        <w:bottom w:val="none" w:sz="0" w:space="0" w:color="auto"/>
        <w:right w:val="none" w:sz="0" w:space="0" w:color="auto"/>
      </w:divBdr>
    </w:div>
    <w:div w:id="1681548078">
      <w:bodyDiv w:val="1"/>
      <w:marLeft w:val="0"/>
      <w:marRight w:val="0"/>
      <w:marTop w:val="0"/>
      <w:marBottom w:val="0"/>
      <w:divBdr>
        <w:top w:val="none" w:sz="0" w:space="0" w:color="auto"/>
        <w:left w:val="none" w:sz="0" w:space="0" w:color="auto"/>
        <w:bottom w:val="none" w:sz="0" w:space="0" w:color="auto"/>
        <w:right w:val="none" w:sz="0" w:space="0" w:color="auto"/>
      </w:divBdr>
    </w:div>
    <w:div w:id="1684477189">
      <w:bodyDiv w:val="1"/>
      <w:marLeft w:val="0"/>
      <w:marRight w:val="0"/>
      <w:marTop w:val="0"/>
      <w:marBottom w:val="0"/>
      <w:divBdr>
        <w:top w:val="none" w:sz="0" w:space="0" w:color="auto"/>
        <w:left w:val="none" w:sz="0" w:space="0" w:color="auto"/>
        <w:bottom w:val="none" w:sz="0" w:space="0" w:color="auto"/>
        <w:right w:val="none" w:sz="0" w:space="0" w:color="auto"/>
      </w:divBdr>
    </w:div>
    <w:div w:id="1685588966">
      <w:bodyDiv w:val="1"/>
      <w:marLeft w:val="0"/>
      <w:marRight w:val="0"/>
      <w:marTop w:val="0"/>
      <w:marBottom w:val="0"/>
      <w:divBdr>
        <w:top w:val="none" w:sz="0" w:space="0" w:color="auto"/>
        <w:left w:val="none" w:sz="0" w:space="0" w:color="auto"/>
        <w:bottom w:val="none" w:sz="0" w:space="0" w:color="auto"/>
        <w:right w:val="none" w:sz="0" w:space="0" w:color="auto"/>
      </w:divBdr>
      <w:divsChild>
        <w:div w:id="13269740">
          <w:marLeft w:val="0"/>
          <w:marRight w:val="0"/>
          <w:marTop w:val="0"/>
          <w:marBottom w:val="0"/>
          <w:divBdr>
            <w:top w:val="none" w:sz="0" w:space="0" w:color="auto"/>
            <w:left w:val="none" w:sz="0" w:space="0" w:color="auto"/>
            <w:bottom w:val="none" w:sz="0" w:space="0" w:color="auto"/>
            <w:right w:val="none" w:sz="0" w:space="0" w:color="auto"/>
          </w:divBdr>
        </w:div>
        <w:div w:id="303048520">
          <w:marLeft w:val="0"/>
          <w:marRight w:val="0"/>
          <w:marTop w:val="0"/>
          <w:marBottom w:val="0"/>
          <w:divBdr>
            <w:top w:val="none" w:sz="0" w:space="0" w:color="auto"/>
            <w:left w:val="none" w:sz="0" w:space="0" w:color="auto"/>
            <w:bottom w:val="none" w:sz="0" w:space="0" w:color="auto"/>
            <w:right w:val="none" w:sz="0" w:space="0" w:color="auto"/>
          </w:divBdr>
        </w:div>
        <w:div w:id="494146224">
          <w:marLeft w:val="0"/>
          <w:marRight w:val="0"/>
          <w:marTop w:val="0"/>
          <w:marBottom w:val="0"/>
          <w:divBdr>
            <w:top w:val="none" w:sz="0" w:space="0" w:color="auto"/>
            <w:left w:val="none" w:sz="0" w:space="0" w:color="auto"/>
            <w:bottom w:val="none" w:sz="0" w:space="0" w:color="auto"/>
            <w:right w:val="none" w:sz="0" w:space="0" w:color="auto"/>
          </w:divBdr>
        </w:div>
        <w:div w:id="958297215">
          <w:marLeft w:val="0"/>
          <w:marRight w:val="0"/>
          <w:marTop w:val="0"/>
          <w:marBottom w:val="0"/>
          <w:divBdr>
            <w:top w:val="none" w:sz="0" w:space="0" w:color="auto"/>
            <w:left w:val="none" w:sz="0" w:space="0" w:color="auto"/>
            <w:bottom w:val="none" w:sz="0" w:space="0" w:color="auto"/>
            <w:right w:val="none" w:sz="0" w:space="0" w:color="auto"/>
          </w:divBdr>
        </w:div>
        <w:div w:id="1608348565">
          <w:marLeft w:val="0"/>
          <w:marRight w:val="0"/>
          <w:marTop w:val="0"/>
          <w:marBottom w:val="0"/>
          <w:divBdr>
            <w:top w:val="none" w:sz="0" w:space="0" w:color="auto"/>
            <w:left w:val="none" w:sz="0" w:space="0" w:color="auto"/>
            <w:bottom w:val="none" w:sz="0" w:space="0" w:color="auto"/>
            <w:right w:val="none" w:sz="0" w:space="0" w:color="auto"/>
          </w:divBdr>
        </w:div>
        <w:div w:id="1741362051">
          <w:marLeft w:val="0"/>
          <w:marRight w:val="0"/>
          <w:marTop w:val="0"/>
          <w:marBottom w:val="0"/>
          <w:divBdr>
            <w:top w:val="none" w:sz="0" w:space="0" w:color="auto"/>
            <w:left w:val="none" w:sz="0" w:space="0" w:color="auto"/>
            <w:bottom w:val="none" w:sz="0" w:space="0" w:color="auto"/>
            <w:right w:val="none" w:sz="0" w:space="0" w:color="auto"/>
          </w:divBdr>
        </w:div>
      </w:divsChild>
    </w:div>
    <w:div w:id="1719280359">
      <w:bodyDiv w:val="1"/>
      <w:marLeft w:val="0"/>
      <w:marRight w:val="0"/>
      <w:marTop w:val="0"/>
      <w:marBottom w:val="0"/>
      <w:divBdr>
        <w:top w:val="none" w:sz="0" w:space="0" w:color="auto"/>
        <w:left w:val="none" w:sz="0" w:space="0" w:color="auto"/>
        <w:bottom w:val="none" w:sz="0" w:space="0" w:color="auto"/>
        <w:right w:val="none" w:sz="0" w:space="0" w:color="auto"/>
      </w:divBdr>
    </w:div>
    <w:div w:id="1722753279">
      <w:bodyDiv w:val="1"/>
      <w:marLeft w:val="0"/>
      <w:marRight w:val="0"/>
      <w:marTop w:val="0"/>
      <w:marBottom w:val="0"/>
      <w:divBdr>
        <w:top w:val="none" w:sz="0" w:space="0" w:color="auto"/>
        <w:left w:val="none" w:sz="0" w:space="0" w:color="auto"/>
        <w:bottom w:val="none" w:sz="0" w:space="0" w:color="auto"/>
        <w:right w:val="none" w:sz="0" w:space="0" w:color="auto"/>
      </w:divBdr>
    </w:div>
    <w:div w:id="1738626234">
      <w:bodyDiv w:val="1"/>
      <w:marLeft w:val="0"/>
      <w:marRight w:val="0"/>
      <w:marTop w:val="0"/>
      <w:marBottom w:val="0"/>
      <w:divBdr>
        <w:top w:val="none" w:sz="0" w:space="0" w:color="auto"/>
        <w:left w:val="none" w:sz="0" w:space="0" w:color="auto"/>
        <w:bottom w:val="none" w:sz="0" w:space="0" w:color="auto"/>
        <w:right w:val="none" w:sz="0" w:space="0" w:color="auto"/>
      </w:divBdr>
    </w:div>
    <w:div w:id="1739784342">
      <w:bodyDiv w:val="1"/>
      <w:marLeft w:val="0"/>
      <w:marRight w:val="0"/>
      <w:marTop w:val="0"/>
      <w:marBottom w:val="0"/>
      <w:divBdr>
        <w:top w:val="none" w:sz="0" w:space="0" w:color="auto"/>
        <w:left w:val="none" w:sz="0" w:space="0" w:color="auto"/>
        <w:bottom w:val="none" w:sz="0" w:space="0" w:color="auto"/>
        <w:right w:val="none" w:sz="0" w:space="0" w:color="auto"/>
      </w:divBdr>
    </w:div>
    <w:div w:id="1796437161">
      <w:bodyDiv w:val="1"/>
      <w:marLeft w:val="0"/>
      <w:marRight w:val="0"/>
      <w:marTop w:val="0"/>
      <w:marBottom w:val="0"/>
      <w:divBdr>
        <w:top w:val="none" w:sz="0" w:space="0" w:color="auto"/>
        <w:left w:val="none" w:sz="0" w:space="0" w:color="auto"/>
        <w:bottom w:val="none" w:sz="0" w:space="0" w:color="auto"/>
        <w:right w:val="none" w:sz="0" w:space="0" w:color="auto"/>
      </w:divBdr>
    </w:div>
    <w:div w:id="1799687638">
      <w:bodyDiv w:val="1"/>
      <w:marLeft w:val="0"/>
      <w:marRight w:val="0"/>
      <w:marTop w:val="0"/>
      <w:marBottom w:val="0"/>
      <w:divBdr>
        <w:top w:val="none" w:sz="0" w:space="0" w:color="auto"/>
        <w:left w:val="none" w:sz="0" w:space="0" w:color="auto"/>
        <w:bottom w:val="none" w:sz="0" w:space="0" w:color="auto"/>
        <w:right w:val="none" w:sz="0" w:space="0" w:color="auto"/>
      </w:divBdr>
    </w:div>
    <w:div w:id="1818960145">
      <w:bodyDiv w:val="1"/>
      <w:marLeft w:val="0"/>
      <w:marRight w:val="0"/>
      <w:marTop w:val="0"/>
      <w:marBottom w:val="0"/>
      <w:divBdr>
        <w:top w:val="none" w:sz="0" w:space="0" w:color="auto"/>
        <w:left w:val="none" w:sz="0" w:space="0" w:color="auto"/>
        <w:bottom w:val="none" w:sz="0" w:space="0" w:color="auto"/>
        <w:right w:val="none" w:sz="0" w:space="0" w:color="auto"/>
      </w:divBdr>
    </w:div>
    <w:div w:id="1823230172">
      <w:bodyDiv w:val="1"/>
      <w:marLeft w:val="0"/>
      <w:marRight w:val="0"/>
      <w:marTop w:val="0"/>
      <w:marBottom w:val="0"/>
      <w:divBdr>
        <w:top w:val="none" w:sz="0" w:space="0" w:color="auto"/>
        <w:left w:val="none" w:sz="0" w:space="0" w:color="auto"/>
        <w:bottom w:val="none" w:sz="0" w:space="0" w:color="auto"/>
        <w:right w:val="none" w:sz="0" w:space="0" w:color="auto"/>
      </w:divBdr>
    </w:div>
    <w:div w:id="1836991424">
      <w:bodyDiv w:val="1"/>
      <w:marLeft w:val="0"/>
      <w:marRight w:val="0"/>
      <w:marTop w:val="0"/>
      <w:marBottom w:val="0"/>
      <w:divBdr>
        <w:top w:val="none" w:sz="0" w:space="0" w:color="auto"/>
        <w:left w:val="none" w:sz="0" w:space="0" w:color="auto"/>
        <w:bottom w:val="none" w:sz="0" w:space="0" w:color="auto"/>
        <w:right w:val="none" w:sz="0" w:space="0" w:color="auto"/>
      </w:divBdr>
    </w:div>
    <w:div w:id="1838767056">
      <w:bodyDiv w:val="1"/>
      <w:marLeft w:val="0"/>
      <w:marRight w:val="0"/>
      <w:marTop w:val="0"/>
      <w:marBottom w:val="0"/>
      <w:divBdr>
        <w:top w:val="none" w:sz="0" w:space="0" w:color="auto"/>
        <w:left w:val="none" w:sz="0" w:space="0" w:color="auto"/>
        <w:bottom w:val="none" w:sz="0" w:space="0" w:color="auto"/>
        <w:right w:val="none" w:sz="0" w:space="0" w:color="auto"/>
      </w:divBdr>
    </w:div>
    <w:div w:id="1841695139">
      <w:bodyDiv w:val="1"/>
      <w:marLeft w:val="0"/>
      <w:marRight w:val="0"/>
      <w:marTop w:val="0"/>
      <w:marBottom w:val="0"/>
      <w:divBdr>
        <w:top w:val="none" w:sz="0" w:space="0" w:color="auto"/>
        <w:left w:val="none" w:sz="0" w:space="0" w:color="auto"/>
        <w:bottom w:val="none" w:sz="0" w:space="0" w:color="auto"/>
        <w:right w:val="none" w:sz="0" w:space="0" w:color="auto"/>
      </w:divBdr>
    </w:div>
    <w:div w:id="1844389639">
      <w:bodyDiv w:val="1"/>
      <w:marLeft w:val="0"/>
      <w:marRight w:val="0"/>
      <w:marTop w:val="0"/>
      <w:marBottom w:val="0"/>
      <w:divBdr>
        <w:top w:val="none" w:sz="0" w:space="0" w:color="auto"/>
        <w:left w:val="none" w:sz="0" w:space="0" w:color="auto"/>
        <w:bottom w:val="none" w:sz="0" w:space="0" w:color="auto"/>
        <w:right w:val="none" w:sz="0" w:space="0" w:color="auto"/>
      </w:divBdr>
    </w:div>
    <w:div w:id="1866480067">
      <w:bodyDiv w:val="1"/>
      <w:marLeft w:val="0"/>
      <w:marRight w:val="0"/>
      <w:marTop w:val="0"/>
      <w:marBottom w:val="0"/>
      <w:divBdr>
        <w:top w:val="none" w:sz="0" w:space="0" w:color="auto"/>
        <w:left w:val="none" w:sz="0" w:space="0" w:color="auto"/>
        <w:bottom w:val="none" w:sz="0" w:space="0" w:color="auto"/>
        <w:right w:val="none" w:sz="0" w:space="0" w:color="auto"/>
      </w:divBdr>
    </w:div>
    <w:div w:id="1872569656">
      <w:bodyDiv w:val="1"/>
      <w:marLeft w:val="0"/>
      <w:marRight w:val="0"/>
      <w:marTop w:val="0"/>
      <w:marBottom w:val="0"/>
      <w:divBdr>
        <w:top w:val="none" w:sz="0" w:space="0" w:color="auto"/>
        <w:left w:val="none" w:sz="0" w:space="0" w:color="auto"/>
        <w:bottom w:val="none" w:sz="0" w:space="0" w:color="auto"/>
        <w:right w:val="none" w:sz="0" w:space="0" w:color="auto"/>
      </w:divBdr>
    </w:div>
    <w:div w:id="1885294414">
      <w:bodyDiv w:val="1"/>
      <w:marLeft w:val="0"/>
      <w:marRight w:val="0"/>
      <w:marTop w:val="0"/>
      <w:marBottom w:val="0"/>
      <w:divBdr>
        <w:top w:val="none" w:sz="0" w:space="0" w:color="auto"/>
        <w:left w:val="none" w:sz="0" w:space="0" w:color="auto"/>
        <w:bottom w:val="none" w:sz="0" w:space="0" w:color="auto"/>
        <w:right w:val="none" w:sz="0" w:space="0" w:color="auto"/>
      </w:divBdr>
    </w:div>
    <w:div w:id="1892576974">
      <w:bodyDiv w:val="1"/>
      <w:marLeft w:val="0"/>
      <w:marRight w:val="0"/>
      <w:marTop w:val="0"/>
      <w:marBottom w:val="0"/>
      <w:divBdr>
        <w:top w:val="none" w:sz="0" w:space="0" w:color="auto"/>
        <w:left w:val="none" w:sz="0" w:space="0" w:color="auto"/>
        <w:bottom w:val="none" w:sz="0" w:space="0" w:color="auto"/>
        <w:right w:val="none" w:sz="0" w:space="0" w:color="auto"/>
      </w:divBdr>
    </w:div>
    <w:div w:id="1899168074">
      <w:bodyDiv w:val="1"/>
      <w:marLeft w:val="0"/>
      <w:marRight w:val="0"/>
      <w:marTop w:val="0"/>
      <w:marBottom w:val="0"/>
      <w:divBdr>
        <w:top w:val="none" w:sz="0" w:space="0" w:color="auto"/>
        <w:left w:val="none" w:sz="0" w:space="0" w:color="auto"/>
        <w:bottom w:val="none" w:sz="0" w:space="0" w:color="auto"/>
        <w:right w:val="none" w:sz="0" w:space="0" w:color="auto"/>
      </w:divBdr>
    </w:div>
    <w:div w:id="1921257659">
      <w:bodyDiv w:val="1"/>
      <w:marLeft w:val="0"/>
      <w:marRight w:val="0"/>
      <w:marTop w:val="0"/>
      <w:marBottom w:val="0"/>
      <w:divBdr>
        <w:top w:val="none" w:sz="0" w:space="0" w:color="auto"/>
        <w:left w:val="none" w:sz="0" w:space="0" w:color="auto"/>
        <w:bottom w:val="none" w:sz="0" w:space="0" w:color="auto"/>
        <w:right w:val="none" w:sz="0" w:space="0" w:color="auto"/>
      </w:divBdr>
    </w:div>
    <w:div w:id="1934705078">
      <w:bodyDiv w:val="1"/>
      <w:marLeft w:val="0"/>
      <w:marRight w:val="0"/>
      <w:marTop w:val="0"/>
      <w:marBottom w:val="0"/>
      <w:divBdr>
        <w:top w:val="none" w:sz="0" w:space="0" w:color="auto"/>
        <w:left w:val="none" w:sz="0" w:space="0" w:color="auto"/>
        <w:bottom w:val="none" w:sz="0" w:space="0" w:color="auto"/>
        <w:right w:val="none" w:sz="0" w:space="0" w:color="auto"/>
      </w:divBdr>
    </w:div>
    <w:div w:id="1953439650">
      <w:bodyDiv w:val="1"/>
      <w:marLeft w:val="0"/>
      <w:marRight w:val="0"/>
      <w:marTop w:val="0"/>
      <w:marBottom w:val="0"/>
      <w:divBdr>
        <w:top w:val="none" w:sz="0" w:space="0" w:color="auto"/>
        <w:left w:val="none" w:sz="0" w:space="0" w:color="auto"/>
        <w:bottom w:val="none" w:sz="0" w:space="0" w:color="auto"/>
        <w:right w:val="none" w:sz="0" w:space="0" w:color="auto"/>
      </w:divBdr>
    </w:div>
    <w:div w:id="1956673232">
      <w:bodyDiv w:val="1"/>
      <w:marLeft w:val="0"/>
      <w:marRight w:val="0"/>
      <w:marTop w:val="0"/>
      <w:marBottom w:val="0"/>
      <w:divBdr>
        <w:top w:val="none" w:sz="0" w:space="0" w:color="auto"/>
        <w:left w:val="none" w:sz="0" w:space="0" w:color="auto"/>
        <w:bottom w:val="none" w:sz="0" w:space="0" w:color="auto"/>
        <w:right w:val="none" w:sz="0" w:space="0" w:color="auto"/>
      </w:divBdr>
    </w:div>
    <w:div w:id="1962564102">
      <w:bodyDiv w:val="1"/>
      <w:marLeft w:val="0"/>
      <w:marRight w:val="0"/>
      <w:marTop w:val="0"/>
      <w:marBottom w:val="0"/>
      <w:divBdr>
        <w:top w:val="none" w:sz="0" w:space="0" w:color="auto"/>
        <w:left w:val="none" w:sz="0" w:space="0" w:color="auto"/>
        <w:bottom w:val="none" w:sz="0" w:space="0" w:color="auto"/>
        <w:right w:val="none" w:sz="0" w:space="0" w:color="auto"/>
      </w:divBdr>
    </w:div>
    <w:div w:id="1969705012">
      <w:bodyDiv w:val="1"/>
      <w:marLeft w:val="0"/>
      <w:marRight w:val="0"/>
      <w:marTop w:val="0"/>
      <w:marBottom w:val="0"/>
      <w:divBdr>
        <w:top w:val="none" w:sz="0" w:space="0" w:color="auto"/>
        <w:left w:val="none" w:sz="0" w:space="0" w:color="auto"/>
        <w:bottom w:val="none" w:sz="0" w:space="0" w:color="auto"/>
        <w:right w:val="none" w:sz="0" w:space="0" w:color="auto"/>
      </w:divBdr>
    </w:div>
    <w:div w:id="1975215197">
      <w:bodyDiv w:val="1"/>
      <w:marLeft w:val="0"/>
      <w:marRight w:val="0"/>
      <w:marTop w:val="0"/>
      <w:marBottom w:val="0"/>
      <w:divBdr>
        <w:top w:val="none" w:sz="0" w:space="0" w:color="auto"/>
        <w:left w:val="none" w:sz="0" w:space="0" w:color="auto"/>
        <w:bottom w:val="none" w:sz="0" w:space="0" w:color="auto"/>
        <w:right w:val="none" w:sz="0" w:space="0" w:color="auto"/>
      </w:divBdr>
    </w:div>
    <w:div w:id="1984264449">
      <w:bodyDiv w:val="1"/>
      <w:marLeft w:val="0"/>
      <w:marRight w:val="0"/>
      <w:marTop w:val="0"/>
      <w:marBottom w:val="0"/>
      <w:divBdr>
        <w:top w:val="none" w:sz="0" w:space="0" w:color="auto"/>
        <w:left w:val="none" w:sz="0" w:space="0" w:color="auto"/>
        <w:bottom w:val="none" w:sz="0" w:space="0" w:color="auto"/>
        <w:right w:val="none" w:sz="0" w:space="0" w:color="auto"/>
      </w:divBdr>
    </w:div>
    <w:div w:id="2009946048">
      <w:bodyDiv w:val="1"/>
      <w:marLeft w:val="0"/>
      <w:marRight w:val="0"/>
      <w:marTop w:val="0"/>
      <w:marBottom w:val="0"/>
      <w:divBdr>
        <w:top w:val="none" w:sz="0" w:space="0" w:color="auto"/>
        <w:left w:val="none" w:sz="0" w:space="0" w:color="auto"/>
        <w:bottom w:val="none" w:sz="0" w:space="0" w:color="auto"/>
        <w:right w:val="none" w:sz="0" w:space="0" w:color="auto"/>
      </w:divBdr>
    </w:div>
    <w:div w:id="2037999383">
      <w:bodyDiv w:val="1"/>
      <w:marLeft w:val="0"/>
      <w:marRight w:val="0"/>
      <w:marTop w:val="0"/>
      <w:marBottom w:val="0"/>
      <w:divBdr>
        <w:top w:val="none" w:sz="0" w:space="0" w:color="auto"/>
        <w:left w:val="none" w:sz="0" w:space="0" w:color="auto"/>
        <w:bottom w:val="none" w:sz="0" w:space="0" w:color="auto"/>
        <w:right w:val="none" w:sz="0" w:space="0" w:color="auto"/>
      </w:divBdr>
    </w:div>
    <w:div w:id="2048290192">
      <w:bodyDiv w:val="1"/>
      <w:marLeft w:val="0"/>
      <w:marRight w:val="0"/>
      <w:marTop w:val="0"/>
      <w:marBottom w:val="0"/>
      <w:divBdr>
        <w:top w:val="none" w:sz="0" w:space="0" w:color="auto"/>
        <w:left w:val="none" w:sz="0" w:space="0" w:color="auto"/>
        <w:bottom w:val="none" w:sz="0" w:space="0" w:color="auto"/>
        <w:right w:val="none" w:sz="0" w:space="0" w:color="auto"/>
      </w:divBdr>
    </w:div>
    <w:div w:id="2057002362">
      <w:bodyDiv w:val="1"/>
      <w:marLeft w:val="0"/>
      <w:marRight w:val="0"/>
      <w:marTop w:val="0"/>
      <w:marBottom w:val="0"/>
      <w:divBdr>
        <w:top w:val="none" w:sz="0" w:space="0" w:color="auto"/>
        <w:left w:val="none" w:sz="0" w:space="0" w:color="auto"/>
        <w:bottom w:val="none" w:sz="0" w:space="0" w:color="auto"/>
        <w:right w:val="none" w:sz="0" w:space="0" w:color="auto"/>
      </w:divBdr>
    </w:div>
    <w:div w:id="2058118609">
      <w:bodyDiv w:val="1"/>
      <w:marLeft w:val="0"/>
      <w:marRight w:val="0"/>
      <w:marTop w:val="0"/>
      <w:marBottom w:val="0"/>
      <w:divBdr>
        <w:top w:val="none" w:sz="0" w:space="0" w:color="auto"/>
        <w:left w:val="none" w:sz="0" w:space="0" w:color="auto"/>
        <w:bottom w:val="none" w:sz="0" w:space="0" w:color="auto"/>
        <w:right w:val="none" w:sz="0" w:space="0" w:color="auto"/>
      </w:divBdr>
    </w:div>
    <w:div w:id="2060283253">
      <w:bodyDiv w:val="1"/>
      <w:marLeft w:val="0"/>
      <w:marRight w:val="0"/>
      <w:marTop w:val="0"/>
      <w:marBottom w:val="0"/>
      <w:divBdr>
        <w:top w:val="none" w:sz="0" w:space="0" w:color="auto"/>
        <w:left w:val="none" w:sz="0" w:space="0" w:color="auto"/>
        <w:bottom w:val="none" w:sz="0" w:space="0" w:color="auto"/>
        <w:right w:val="none" w:sz="0" w:space="0" w:color="auto"/>
      </w:divBdr>
    </w:div>
    <w:div w:id="2061589335">
      <w:bodyDiv w:val="1"/>
      <w:marLeft w:val="0"/>
      <w:marRight w:val="0"/>
      <w:marTop w:val="0"/>
      <w:marBottom w:val="0"/>
      <w:divBdr>
        <w:top w:val="none" w:sz="0" w:space="0" w:color="auto"/>
        <w:left w:val="none" w:sz="0" w:space="0" w:color="auto"/>
        <w:bottom w:val="none" w:sz="0" w:space="0" w:color="auto"/>
        <w:right w:val="none" w:sz="0" w:space="0" w:color="auto"/>
      </w:divBdr>
    </w:div>
    <w:div w:id="2066833829">
      <w:bodyDiv w:val="1"/>
      <w:marLeft w:val="0"/>
      <w:marRight w:val="0"/>
      <w:marTop w:val="0"/>
      <w:marBottom w:val="0"/>
      <w:divBdr>
        <w:top w:val="none" w:sz="0" w:space="0" w:color="auto"/>
        <w:left w:val="none" w:sz="0" w:space="0" w:color="auto"/>
        <w:bottom w:val="none" w:sz="0" w:space="0" w:color="auto"/>
        <w:right w:val="none" w:sz="0" w:space="0" w:color="auto"/>
      </w:divBdr>
    </w:div>
    <w:div w:id="2068796161">
      <w:bodyDiv w:val="1"/>
      <w:marLeft w:val="0"/>
      <w:marRight w:val="0"/>
      <w:marTop w:val="0"/>
      <w:marBottom w:val="0"/>
      <w:divBdr>
        <w:top w:val="none" w:sz="0" w:space="0" w:color="auto"/>
        <w:left w:val="none" w:sz="0" w:space="0" w:color="auto"/>
        <w:bottom w:val="none" w:sz="0" w:space="0" w:color="auto"/>
        <w:right w:val="none" w:sz="0" w:space="0" w:color="auto"/>
      </w:divBdr>
    </w:div>
    <w:div w:id="2077044181">
      <w:bodyDiv w:val="1"/>
      <w:marLeft w:val="0"/>
      <w:marRight w:val="0"/>
      <w:marTop w:val="0"/>
      <w:marBottom w:val="0"/>
      <w:divBdr>
        <w:top w:val="none" w:sz="0" w:space="0" w:color="auto"/>
        <w:left w:val="none" w:sz="0" w:space="0" w:color="auto"/>
        <w:bottom w:val="none" w:sz="0" w:space="0" w:color="auto"/>
        <w:right w:val="none" w:sz="0" w:space="0" w:color="auto"/>
      </w:divBdr>
    </w:div>
    <w:div w:id="2080512700">
      <w:bodyDiv w:val="1"/>
      <w:marLeft w:val="0"/>
      <w:marRight w:val="0"/>
      <w:marTop w:val="0"/>
      <w:marBottom w:val="0"/>
      <w:divBdr>
        <w:top w:val="none" w:sz="0" w:space="0" w:color="auto"/>
        <w:left w:val="none" w:sz="0" w:space="0" w:color="auto"/>
        <w:bottom w:val="none" w:sz="0" w:space="0" w:color="auto"/>
        <w:right w:val="none" w:sz="0" w:space="0" w:color="auto"/>
      </w:divBdr>
    </w:div>
    <w:div w:id="2108843503">
      <w:bodyDiv w:val="1"/>
      <w:marLeft w:val="0"/>
      <w:marRight w:val="0"/>
      <w:marTop w:val="0"/>
      <w:marBottom w:val="0"/>
      <w:divBdr>
        <w:top w:val="none" w:sz="0" w:space="0" w:color="auto"/>
        <w:left w:val="none" w:sz="0" w:space="0" w:color="auto"/>
        <w:bottom w:val="none" w:sz="0" w:space="0" w:color="auto"/>
        <w:right w:val="none" w:sz="0" w:space="0" w:color="auto"/>
      </w:divBdr>
    </w:div>
    <w:div w:id="2124838086">
      <w:bodyDiv w:val="1"/>
      <w:marLeft w:val="0"/>
      <w:marRight w:val="0"/>
      <w:marTop w:val="0"/>
      <w:marBottom w:val="0"/>
      <w:divBdr>
        <w:top w:val="none" w:sz="0" w:space="0" w:color="auto"/>
        <w:left w:val="none" w:sz="0" w:space="0" w:color="auto"/>
        <w:bottom w:val="none" w:sz="0" w:space="0" w:color="auto"/>
        <w:right w:val="none" w:sz="0" w:space="0" w:color="auto"/>
      </w:divBdr>
    </w:div>
    <w:div w:id="214461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4.wmf"/></Relationships>
</file>

<file path=word/_rels/header2.xml.rels><?xml version="1.0" encoding="UTF-8" standalone="yes"?>
<Relationships xmlns="http://schemas.openxmlformats.org/package/2006/relationships"><Relationship Id="rId1" Type="http://schemas.openxmlformats.org/officeDocument/2006/relationships/image" Target="media/image14.wmf"/></Relationships>
</file>

<file path=word/_rels/header3.xml.rels><?xml version="1.0" encoding="UTF-8" standalone="yes"?>
<Relationships xmlns="http://schemas.openxmlformats.org/package/2006/relationships"><Relationship Id="rId1" Type="http://schemas.openxmlformats.org/officeDocument/2006/relationships/image" Target="media/image14.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BAD3D-71E3-4F11-A725-C685F6A73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2334</TotalTime>
  <Pages>41</Pages>
  <Words>9484</Words>
  <Characters>51214</Characters>
  <Application>Microsoft Office Word</Application>
  <DocSecurity>0</DocSecurity>
  <Lines>426</Lines>
  <Paragraphs>121</Paragraphs>
  <ScaleCrop>false</ScaleCrop>
  <HeadingPairs>
    <vt:vector size="2" baseType="variant">
      <vt:variant>
        <vt:lpstr>Título</vt:lpstr>
      </vt:variant>
      <vt:variant>
        <vt:i4>1</vt:i4>
      </vt:variant>
    </vt:vector>
  </HeadingPairs>
  <TitlesOfParts>
    <vt:vector size="1" baseType="lpstr">
      <vt:lpstr>PARECER DOS AUDITORES INDEPENDENTES</vt:lpstr>
    </vt:vector>
  </TitlesOfParts>
  <Company>Auditasse</Company>
  <LinksUpToDate>false</LinksUpToDate>
  <CharactersWithSpaces>60577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DOS AUDITORES INDEPENDENTES</dc:title>
  <dc:subject/>
  <dc:creator>Eduardo Pires Soares</dc:creator>
  <cp:keywords/>
  <cp:lastModifiedBy>Eduardo Soares</cp:lastModifiedBy>
  <cp:revision>40</cp:revision>
  <cp:lastPrinted>2020-07-23T01:02:00Z</cp:lastPrinted>
  <dcterms:created xsi:type="dcterms:W3CDTF">2020-03-19T21:31:00Z</dcterms:created>
  <dcterms:modified xsi:type="dcterms:W3CDTF">2020-08-28T21:19:00Z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-611699117</vt:i4>
  </property>
  <property fmtid="{D5CDD505-2E9C-101B-9397-08002B2CF9AE}" pid="3" name="_EmailSubject">
    <vt:lpwstr>relatorio docas</vt:lpwstr>
  </property>
  <property fmtid="{D5CDD505-2E9C-101B-9397-08002B2CF9AE}" pid="4" name="_AuthorEmail">
    <vt:lpwstr>auditasse@auditasse.com.br</vt:lpwstr>
  </property>
  <property fmtid="{D5CDD505-2E9C-101B-9397-08002B2CF9AE}" pid="5" name="_AuthorEmailDisplayName">
    <vt:lpwstr>Auditasse Auditores</vt:lpwstr>
  </property>
  <property fmtid="{D5CDD505-2E9C-101B-9397-08002B2CF9AE}" pid="6" name="_PreviousAdHocReviewCycleID">
    <vt:i4>1200401252</vt:i4>
  </property>
  <property fmtid="{D5CDD505-2E9C-101B-9397-08002B2CF9AE}" pid="7" name="_ReviewingToolsShownOnce">
    <vt:lpwstr/>
  </property>
</Properties>
</file>