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F" w:rsidRPr="00B03145" w:rsidRDefault="00D842BF" w:rsidP="0012521A">
      <w:pPr>
        <w:pStyle w:val="Ttulo3"/>
        <w:ind w:left="142" w:firstLine="142"/>
        <w:rPr>
          <w:rFonts w:ascii="Calibri" w:hAnsi="Calibri" w:cs="Calibri"/>
          <w:b/>
          <w:bCs/>
          <w:sz w:val="24"/>
          <w:szCs w:val="24"/>
        </w:rPr>
      </w:pPr>
      <w:r w:rsidRPr="00B03145">
        <w:rPr>
          <w:rFonts w:ascii="Calibri" w:hAnsi="Calibri" w:cs="Calibri"/>
          <w:b/>
          <w:bCs/>
          <w:sz w:val="24"/>
          <w:szCs w:val="24"/>
        </w:rPr>
        <w:t>COMPANHIA DOCAS DO RIO DE JANEIRO - CDRJ</w:t>
      </w:r>
    </w:p>
    <w:p w:rsidR="00D842BF" w:rsidRPr="00B03145" w:rsidRDefault="00D842BF">
      <w:pPr>
        <w:pStyle w:val="Ttulo1"/>
        <w:rPr>
          <w:rFonts w:ascii="Calibri" w:hAnsi="Calibri" w:cs="Calibri"/>
          <w:szCs w:val="24"/>
        </w:rPr>
      </w:pPr>
      <w:r w:rsidRPr="00B03145">
        <w:rPr>
          <w:rFonts w:ascii="Calibri" w:hAnsi="Calibri" w:cs="Calibri"/>
          <w:szCs w:val="24"/>
        </w:rPr>
        <w:t>B</w:t>
      </w:r>
      <w:r w:rsidR="00CC178A" w:rsidRPr="00B03145">
        <w:rPr>
          <w:rFonts w:ascii="Calibri" w:hAnsi="Calibri" w:cs="Calibri"/>
          <w:szCs w:val="24"/>
        </w:rPr>
        <w:t>ALANÇO PATRIMONIAL</w:t>
      </w:r>
      <w:r w:rsidRPr="00B03145">
        <w:rPr>
          <w:rFonts w:ascii="Calibri" w:hAnsi="Calibri" w:cs="Calibri"/>
          <w:szCs w:val="24"/>
        </w:rPr>
        <w:t xml:space="preserve"> </w:t>
      </w:r>
    </w:p>
    <w:p w:rsidR="00D842BF" w:rsidRDefault="00D842BF">
      <w:pPr>
        <w:jc w:val="center"/>
        <w:rPr>
          <w:rFonts w:ascii="Calibri" w:hAnsi="Calibri" w:cs="Calibri"/>
          <w:sz w:val="22"/>
          <w:szCs w:val="22"/>
        </w:rPr>
      </w:pPr>
      <w:r w:rsidRPr="00A10DC2">
        <w:rPr>
          <w:rFonts w:ascii="Calibri" w:hAnsi="Calibri" w:cs="Calibri"/>
          <w:sz w:val="22"/>
          <w:szCs w:val="22"/>
        </w:rPr>
        <w:t xml:space="preserve">(Em </w:t>
      </w:r>
      <w:r w:rsidR="003C0DE4">
        <w:rPr>
          <w:rFonts w:ascii="Calibri" w:hAnsi="Calibri" w:cs="Calibri"/>
          <w:sz w:val="22"/>
          <w:szCs w:val="22"/>
        </w:rPr>
        <w:t xml:space="preserve">milhares de </w:t>
      </w:r>
      <w:r w:rsidRPr="00A10DC2">
        <w:rPr>
          <w:rFonts w:ascii="Calibri" w:hAnsi="Calibri" w:cs="Calibri"/>
          <w:sz w:val="22"/>
          <w:szCs w:val="22"/>
        </w:rPr>
        <w:t>Reais)</w:t>
      </w:r>
    </w:p>
    <w:p w:rsidR="00E875D1" w:rsidRDefault="00E875D1">
      <w:pPr>
        <w:jc w:val="center"/>
        <w:rPr>
          <w:rFonts w:ascii="Calibri" w:hAnsi="Calibri" w:cs="Calibri"/>
          <w:sz w:val="22"/>
          <w:szCs w:val="22"/>
        </w:rPr>
      </w:pPr>
    </w:p>
    <w:p w:rsidR="00CD6E64" w:rsidRDefault="00CD6E64">
      <w:pPr>
        <w:jc w:val="center"/>
        <w:rPr>
          <w:rFonts w:ascii="Calibri" w:hAnsi="Calibri" w:cs="Calibri"/>
          <w:sz w:val="22"/>
          <w:szCs w:val="22"/>
        </w:rPr>
      </w:pPr>
    </w:p>
    <w:p w:rsidR="00D31C2A" w:rsidRDefault="00B84457">
      <w:pPr>
        <w:jc w:val="center"/>
        <w:rPr>
          <w:rFonts w:ascii="Calibri" w:hAnsi="Calibri" w:cs="Calibri"/>
          <w:sz w:val="22"/>
          <w:szCs w:val="22"/>
        </w:rPr>
      </w:pPr>
      <w:r w:rsidRPr="00B84457">
        <w:rPr>
          <w:noProof/>
        </w:rPr>
        <w:drawing>
          <wp:inline distT="0" distB="0" distL="0" distR="0">
            <wp:extent cx="5953125" cy="54102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5410200"/>
                    </a:xfrm>
                    <a:prstGeom prst="rect">
                      <a:avLst/>
                    </a:prstGeom>
                    <a:noFill/>
                    <a:ln>
                      <a:noFill/>
                    </a:ln>
                  </pic:spPr>
                </pic:pic>
              </a:graphicData>
            </a:graphic>
          </wp:inline>
        </w:drawing>
      </w: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E875D1" w:rsidRDefault="00E875D1">
      <w:pPr>
        <w:jc w:val="center"/>
        <w:rPr>
          <w:rFonts w:ascii="Calibri" w:hAnsi="Calibri" w:cs="Calibri"/>
          <w:sz w:val="22"/>
          <w:szCs w:val="22"/>
        </w:rPr>
      </w:pPr>
    </w:p>
    <w:p w:rsidR="00E875D1" w:rsidRDefault="00E875D1">
      <w:pPr>
        <w:jc w:val="center"/>
        <w:rPr>
          <w:rFonts w:ascii="Calibri" w:hAnsi="Calibri" w:cs="Calibri"/>
          <w:sz w:val="22"/>
          <w:szCs w:val="22"/>
        </w:rPr>
      </w:pPr>
    </w:p>
    <w:p w:rsidR="00E875D1" w:rsidRDefault="00E875D1">
      <w:pPr>
        <w:jc w:val="center"/>
        <w:rPr>
          <w:rFonts w:ascii="Calibri" w:hAnsi="Calibri" w:cs="Calibri"/>
          <w:sz w:val="22"/>
          <w:szCs w:val="22"/>
        </w:rPr>
      </w:pPr>
    </w:p>
    <w:p w:rsidR="00D31C2A" w:rsidRDefault="00D31C2A">
      <w:pPr>
        <w:jc w:val="center"/>
        <w:rPr>
          <w:rFonts w:ascii="Calibri" w:hAnsi="Calibri" w:cs="Calibri"/>
          <w:sz w:val="22"/>
          <w:szCs w:val="22"/>
        </w:rPr>
      </w:pPr>
    </w:p>
    <w:p w:rsidR="00D31C2A" w:rsidRDefault="00D31C2A">
      <w:pPr>
        <w:jc w:val="center"/>
        <w:rPr>
          <w:rFonts w:ascii="Calibri" w:hAnsi="Calibri" w:cs="Calibri"/>
          <w:sz w:val="22"/>
          <w:szCs w:val="22"/>
        </w:rPr>
      </w:pPr>
    </w:p>
    <w:p w:rsidR="00A10DC2" w:rsidRPr="00A10DC2" w:rsidRDefault="00A10DC2">
      <w:pPr>
        <w:jc w:val="center"/>
        <w:rPr>
          <w:rFonts w:ascii="Calibri" w:hAnsi="Calibri" w:cs="Calibri"/>
          <w:sz w:val="22"/>
          <w:szCs w:val="22"/>
        </w:rPr>
      </w:pPr>
    </w:p>
    <w:p w:rsidR="00D842BF" w:rsidRPr="00B03145" w:rsidRDefault="00D842BF">
      <w:pPr>
        <w:pStyle w:val="Ttulo3"/>
        <w:rPr>
          <w:rFonts w:ascii="Calibri" w:hAnsi="Calibri" w:cs="Calibri"/>
          <w:b/>
          <w:bCs/>
          <w:sz w:val="24"/>
          <w:szCs w:val="24"/>
        </w:rPr>
      </w:pPr>
      <w:r w:rsidRPr="00B03145">
        <w:rPr>
          <w:rFonts w:ascii="Calibri" w:hAnsi="Calibri" w:cs="Calibri"/>
          <w:b/>
          <w:bCs/>
          <w:sz w:val="24"/>
          <w:szCs w:val="24"/>
        </w:rPr>
        <w:lastRenderedPageBreak/>
        <w:t>COMPANHIA DOCAS DO RIO DE JANEIRO - CDRJ</w:t>
      </w:r>
    </w:p>
    <w:p w:rsidR="00D842BF" w:rsidRPr="00B03145" w:rsidRDefault="00D842BF">
      <w:pPr>
        <w:pStyle w:val="Ttulo1"/>
        <w:rPr>
          <w:rFonts w:ascii="Calibri" w:hAnsi="Calibri" w:cs="Calibri"/>
          <w:szCs w:val="24"/>
        </w:rPr>
      </w:pPr>
      <w:r w:rsidRPr="00B03145">
        <w:rPr>
          <w:rFonts w:ascii="Calibri" w:hAnsi="Calibri" w:cs="Calibri"/>
          <w:szCs w:val="24"/>
        </w:rPr>
        <w:t>B</w:t>
      </w:r>
      <w:r w:rsidR="00CC178A" w:rsidRPr="00B03145">
        <w:rPr>
          <w:rFonts w:ascii="Calibri" w:hAnsi="Calibri" w:cs="Calibri"/>
          <w:szCs w:val="24"/>
        </w:rPr>
        <w:t>ALANÇO PATRIMONIAL</w:t>
      </w:r>
      <w:r w:rsidRPr="00B03145">
        <w:rPr>
          <w:rFonts w:ascii="Calibri" w:hAnsi="Calibri" w:cs="Calibri"/>
          <w:szCs w:val="24"/>
        </w:rPr>
        <w:t xml:space="preserve"> </w:t>
      </w:r>
    </w:p>
    <w:p w:rsidR="00D842BF" w:rsidRDefault="00D842BF">
      <w:pPr>
        <w:jc w:val="center"/>
        <w:rPr>
          <w:rFonts w:ascii="Calibri" w:hAnsi="Calibri" w:cs="Calibri"/>
          <w:sz w:val="22"/>
          <w:szCs w:val="22"/>
        </w:rPr>
      </w:pPr>
      <w:r w:rsidRPr="00A10DC2">
        <w:rPr>
          <w:rFonts w:ascii="Calibri" w:hAnsi="Calibri" w:cs="Calibri"/>
          <w:sz w:val="22"/>
          <w:szCs w:val="22"/>
        </w:rPr>
        <w:t xml:space="preserve">(Em </w:t>
      </w:r>
      <w:r w:rsidR="003C0DE4">
        <w:rPr>
          <w:rFonts w:ascii="Calibri" w:hAnsi="Calibri" w:cs="Calibri"/>
          <w:sz w:val="22"/>
          <w:szCs w:val="22"/>
        </w:rPr>
        <w:t xml:space="preserve">milhares de </w:t>
      </w:r>
      <w:r w:rsidRPr="00A10DC2">
        <w:rPr>
          <w:rFonts w:ascii="Calibri" w:hAnsi="Calibri" w:cs="Calibri"/>
          <w:sz w:val="22"/>
          <w:szCs w:val="22"/>
        </w:rPr>
        <w:t>Reais)</w:t>
      </w:r>
    </w:p>
    <w:p w:rsidR="00E875D1" w:rsidRDefault="00E875D1">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B84457">
      <w:pPr>
        <w:jc w:val="center"/>
        <w:rPr>
          <w:rFonts w:ascii="Calibri" w:hAnsi="Calibri" w:cs="Calibri"/>
          <w:sz w:val="22"/>
          <w:szCs w:val="22"/>
        </w:rPr>
      </w:pPr>
      <w:r w:rsidRPr="00B84457">
        <w:rPr>
          <w:noProof/>
        </w:rPr>
        <w:drawing>
          <wp:inline distT="0" distB="0" distL="0" distR="0">
            <wp:extent cx="6162675" cy="50101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5010150"/>
                    </a:xfrm>
                    <a:prstGeom prst="rect">
                      <a:avLst/>
                    </a:prstGeom>
                    <a:noFill/>
                    <a:ln>
                      <a:noFill/>
                    </a:ln>
                  </pic:spPr>
                </pic:pic>
              </a:graphicData>
            </a:graphic>
          </wp:inline>
        </w:drawing>
      </w: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2500FC" w:rsidRDefault="002500FC">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E875D1" w:rsidRDefault="00E875D1">
      <w:pPr>
        <w:jc w:val="center"/>
        <w:rPr>
          <w:rFonts w:ascii="Calibri" w:hAnsi="Calibri" w:cs="Calibri"/>
          <w:sz w:val="22"/>
          <w:szCs w:val="22"/>
        </w:rPr>
      </w:pPr>
    </w:p>
    <w:p w:rsidR="00E875D1" w:rsidRDefault="00E875D1">
      <w:pPr>
        <w:jc w:val="center"/>
        <w:rPr>
          <w:rFonts w:ascii="Calibri" w:hAnsi="Calibri" w:cs="Calibri"/>
          <w:sz w:val="22"/>
          <w:szCs w:val="22"/>
        </w:rPr>
      </w:pPr>
    </w:p>
    <w:p w:rsidR="00E875D1" w:rsidRDefault="00E875D1">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9272C5" w:rsidRDefault="009272C5">
      <w:pPr>
        <w:jc w:val="center"/>
        <w:rPr>
          <w:rFonts w:ascii="Calibri" w:hAnsi="Calibri" w:cs="Calibri"/>
          <w:sz w:val="22"/>
          <w:szCs w:val="22"/>
        </w:rPr>
      </w:pPr>
    </w:p>
    <w:p w:rsidR="00512CDE" w:rsidRPr="00A10DC2" w:rsidRDefault="00512CDE" w:rsidP="00647EF2">
      <w:pPr>
        <w:rPr>
          <w:rFonts w:ascii="Calibri" w:hAnsi="Calibri" w:cs="Calibri"/>
          <w:sz w:val="22"/>
          <w:szCs w:val="22"/>
        </w:rPr>
      </w:pPr>
    </w:p>
    <w:p w:rsidR="00D842BF" w:rsidRPr="00B03145" w:rsidRDefault="00D842BF">
      <w:pPr>
        <w:pStyle w:val="Ttulo3"/>
        <w:rPr>
          <w:rFonts w:ascii="Calibri" w:hAnsi="Calibri" w:cs="Calibri"/>
          <w:b/>
          <w:bCs/>
          <w:sz w:val="24"/>
          <w:szCs w:val="24"/>
        </w:rPr>
      </w:pPr>
      <w:r w:rsidRPr="00B03145">
        <w:rPr>
          <w:rFonts w:ascii="Calibri" w:hAnsi="Calibri" w:cs="Calibri"/>
          <w:b/>
          <w:bCs/>
          <w:sz w:val="24"/>
          <w:szCs w:val="24"/>
        </w:rPr>
        <w:lastRenderedPageBreak/>
        <w:t>COMPANHIA DOCAS DO RIO DE JANEIRO - CDRJ</w:t>
      </w:r>
    </w:p>
    <w:p w:rsidR="00D842BF" w:rsidRPr="00B03145" w:rsidRDefault="00D842BF">
      <w:pPr>
        <w:jc w:val="center"/>
        <w:rPr>
          <w:rFonts w:ascii="Calibri" w:hAnsi="Calibri" w:cs="Calibri"/>
          <w:b/>
          <w:sz w:val="24"/>
          <w:szCs w:val="24"/>
        </w:rPr>
      </w:pPr>
      <w:r w:rsidRPr="00B03145">
        <w:rPr>
          <w:rFonts w:ascii="Calibri" w:hAnsi="Calibri" w:cs="Calibri"/>
          <w:b/>
          <w:bCs/>
          <w:sz w:val="24"/>
          <w:szCs w:val="24"/>
        </w:rPr>
        <w:t>DEMONSTRAÇÃO</w:t>
      </w:r>
      <w:r w:rsidRPr="00B03145">
        <w:rPr>
          <w:rFonts w:ascii="Calibri" w:hAnsi="Calibri" w:cs="Calibri"/>
          <w:b/>
          <w:sz w:val="24"/>
          <w:szCs w:val="24"/>
        </w:rPr>
        <w:t xml:space="preserve"> DO RESULTADO</w:t>
      </w:r>
      <w:r w:rsidR="009762BE">
        <w:rPr>
          <w:rFonts w:ascii="Calibri" w:hAnsi="Calibri" w:cs="Calibri"/>
          <w:b/>
          <w:sz w:val="24"/>
          <w:szCs w:val="24"/>
        </w:rPr>
        <w:t xml:space="preserve"> DO EXERCÍCIO</w:t>
      </w:r>
    </w:p>
    <w:p w:rsidR="00D842BF" w:rsidRDefault="00B03145">
      <w:pPr>
        <w:jc w:val="center"/>
        <w:rPr>
          <w:rFonts w:ascii="Calibri" w:hAnsi="Calibri" w:cs="Calibri"/>
          <w:sz w:val="22"/>
          <w:szCs w:val="22"/>
        </w:rPr>
      </w:pPr>
      <w:r w:rsidRPr="00A10DC2">
        <w:rPr>
          <w:rFonts w:ascii="Calibri" w:hAnsi="Calibri" w:cs="Calibri"/>
          <w:sz w:val="22"/>
          <w:szCs w:val="22"/>
        </w:rPr>
        <w:t xml:space="preserve"> </w:t>
      </w:r>
      <w:r w:rsidR="00D842BF" w:rsidRPr="00A10DC2">
        <w:rPr>
          <w:rFonts w:ascii="Calibri" w:hAnsi="Calibri" w:cs="Calibri"/>
          <w:sz w:val="22"/>
          <w:szCs w:val="22"/>
        </w:rPr>
        <w:t xml:space="preserve">(Em </w:t>
      </w:r>
      <w:r w:rsidR="00903551">
        <w:rPr>
          <w:rFonts w:ascii="Calibri" w:hAnsi="Calibri" w:cs="Calibri"/>
          <w:sz w:val="22"/>
          <w:szCs w:val="22"/>
        </w:rPr>
        <w:t xml:space="preserve">milhares </w:t>
      </w:r>
      <w:r w:rsidR="00A647F3">
        <w:rPr>
          <w:rFonts w:ascii="Calibri" w:hAnsi="Calibri" w:cs="Calibri"/>
          <w:sz w:val="22"/>
          <w:szCs w:val="22"/>
        </w:rPr>
        <w:t xml:space="preserve">de </w:t>
      </w:r>
      <w:r w:rsidR="00D842BF" w:rsidRPr="00A10DC2">
        <w:rPr>
          <w:rFonts w:ascii="Calibri" w:hAnsi="Calibri" w:cs="Calibri"/>
          <w:sz w:val="22"/>
          <w:szCs w:val="22"/>
        </w:rPr>
        <w:t>Reais)</w:t>
      </w:r>
    </w:p>
    <w:p w:rsidR="005B6140" w:rsidRDefault="005B6140">
      <w:pPr>
        <w:jc w:val="center"/>
        <w:rPr>
          <w:rFonts w:ascii="Calibri" w:hAnsi="Calibri" w:cs="Calibri"/>
          <w:sz w:val="22"/>
          <w:szCs w:val="22"/>
        </w:rPr>
      </w:pPr>
    </w:p>
    <w:p w:rsidR="00E875D1" w:rsidRDefault="00E875D1">
      <w:pPr>
        <w:jc w:val="center"/>
        <w:rPr>
          <w:rFonts w:ascii="Calibri" w:hAnsi="Calibri" w:cs="Calibri"/>
          <w:sz w:val="22"/>
          <w:szCs w:val="22"/>
        </w:rPr>
      </w:pPr>
    </w:p>
    <w:p w:rsidR="00E875D1" w:rsidRDefault="004142F7">
      <w:pPr>
        <w:jc w:val="center"/>
        <w:rPr>
          <w:rFonts w:ascii="Calibri" w:hAnsi="Calibri" w:cs="Calibri"/>
          <w:sz w:val="22"/>
          <w:szCs w:val="22"/>
        </w:rPr>
      </w:pPr>
      <w:r w:rsidRPr="004142F7">
        <w:rPr>
          <w:noProof/>
        </w:rPr>
        <w:drawing>
          <wp:inline distT="0" distB="0" distL="0" distR="0">
            <wp:extent cx="6284595" cy="4612640"/>
            <wp:effectExtent l="0" t="0" r="190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4595" cy="4612640"/>
                    </a:xfrm>
                    <a:prstGeom prst="rect">
                      <a:avLst/>
                    </a:prstGeom>
                    <a:noFill/>
                    <a:ln>
                      <a:noFill/>
                    </a:ln>
                  </pic:spPr>
                </pic:pic>
              </a:graphicData>
            </a:graphic>
          </wp:inline>
        </w:drawing>
      </w:r>
    </w:p>
    <w:p w:rsidR="008E4D82" w:rsidRDefault="008E4D82">
      <w:pPr>
        <w:jc w:val="center"/>
        <w:rPr>
          <w:rFonts w:ascii="Calibri" w:hAnsi="Calibri" w:cs="Calibri"/>
          <w:sz w:val="22"/>
          <w:szCs w:val="22"/>
        </w:rPr>
      </w:pPr>
    </w:p>
    <w:p w:rsidR="008E4D82" w:rsidRDefault="00B84457">
      <w:pPr>
        <w:jc w:val="center"/>
        <w:rPr>
          <w:rFonts w:ascii="Calibri" w:hAnsi="Calibri" w:cs="Calibri"/>
          <w:sz w:val="22"/>
          <w:szCs w:val="22"/>
        </w:rPr>
      </w:pPr>
      <w:r>
        <w:rPr>
          <w:rFonts w:ascii="Calibri" w:hAnsi="Calibri" w:cs="Calibri"/>
          <w:sz w:val="22"/>
          <w:szCs w:val="22"/>
        </w:rPr>
        <w:tab/>
      </w:r>
    </w:p>
    <w:p w:rsidR="008E4D82" w:rsidRDefault="008E4D82">
      <w:pPr>
        <w:jc w:val="center"/>
        <w:rPr>
          <w:rFonts w:ascii="Calibri" w:hAnsi="Calibri" w:cs="Calibri"/>
          <w:sz w:val="22"/>
          <w:szCs w:val="22"/>
        </w:rPr>
      </w:pPr>
    </w:p>
    <w:p w:rsidR="009272C5" w:rsidRDefault="009272C5">
      <w:pPr>
        <w:jc w:val="center"/>
        <w:rPr>
          <w:rFonts w:ascii="Calibri" w:hAnsi="Calibri" w:cs="Calibri"/>
          <w:sz w:val="22"/>
          <w:szCs w:val="22"/>
        </w:rPr>
      </w:pPr>
    </w:p>
    <w:p w:rsidR="008704BE" w:rsidRPr="00A10DC2" w:rsidRDefault="008704BE">
      <w:pPr>
        <w:jc w:val="center"/>
        <w:rPr>
          <w:rFonts w:ascii="Calibri" w:hAnsi="Calibri" w:cs="Calibri"/>
          <w:sz w:val="22"/>
          <w:szCs w:val="22"/>
        </w:rPr>
      </w:pPr>
    </w:p>
    <w:p w:rsidR="00696DD3" w:rsidRPr="00A10DC2" w:rsidRDefault="00696DD3">
      <w:pPr>
        <w:jc w:val="center"/>
        <w:rPr>
          <w:rFonts w:ascii="Calibri" w:hAnsi="Calibri" w:cs="Calibri"/>
          <w:sz w:val="22"/>
          <w:szCs w:val="22"/>
        </w:rPr>
      </w:pPr>
    </w:p>
    <w:p w:rsidR="00696DD3" w:rsidRPr="00A10DC2" w:rsidRDefault="00696DD3">
      <w:pPr>
        <w:jc w:val="center"/>
        <w:rPr>
          <w:rFonts w:ascii="Calibri" w:hAnsi="Calibri" w:cs="Calibri"/>
          <w:sz w:val="22"/>
          <w:szCs w:val="22"/>
        </w:rPr>
      </w:pPr>
    </w:p>
    <w:p w:rsidR="00696DD3" w:rsidRPr="00A10DC2" w:rsidRDefault="00696DD3">
      <w:pPr>
        <w:jc w:val="center"/>
        <w:rPr>
          <w:rFonts w:ascii="Calibri" w:hAnsi="Calibri" w:cs="Calibri"/>
          <w:sz w:val="22"/>
          <w:szCs w:val="22"/>
        </w:rPr>
      </w:pPr>
    </w:p>
    <w:p w:rsidR="00696DD3" w:rsidRPr="00A10DC2" w:rsidRDefault="00696DD3">
      <w:pPr>
        <w:jc w:val="center"/>
        <w:rPr>
          <w:rFonts w:ascii="Calibri" w:hAnsi="Calibri" w:cs="Calibri"/>
          <w:sz w:val="22"/>
          <w:szCs w:val="22"/>
        </w:rPr>
      </w:pPr>
    </w:p>
    <w:p w:rsidR="008704BE" w:rsidRDefault="008704BE">
      <w:pPr>
        <w:jc w:val="center"/>
        <w:rPr>
          <w:rFonts w:ascii="Calibri" w:hAnsi="Calibri" w:cs="Calibri"/>
          <w:sz w:val="22"/>
          <w:szCs w:val="22"/>
        </w:rPr>
      </w:pPr>
    </w:p>
    <w:p w:rsidR="00472724" w:rsidRDefault="00472724">
      <w:pPr>
        <w:jc w:val="center"/>
        <w:rPr>
          <w:rFonts w:ascii="Calibri" w:hAnsi="Calibri" w:cs="Calibri"/>
          <w:sz w:val="22"/>
          <w:szCs w:val="22"/>
        </w:rPr>
      </w:pPr>
    </w:p>
    <w:p w:rsidR="00903551" w:rsidRDefault="00903551">
      <w:pPr>
        <w:jc w:val="center"/>
        <w:rPr>
          <w:rFonts w:ascii="Calibri" w:hAnsi="Calibri" w:cs="Calibri"/>
          <w:sz w:val="22"/>
          <w:szCs w:val="22"/>
        </w:rPr>
      </w:pPr>
    </w:p>
    <w:p w:rsidR="008704BE" w:rsidRDefault="008704BE">
      <w:pPr>
        <w:jc w:val="center"/>
        <w:rPr>
          <w:rFonts w:ascii="Calibri" w:hAnsi="Calibri" w:cs="Calibri"/>
          <w:sz w:val="22"/>
          <w:szCs w:val="22"/>
        </w:rPr>
      </w:pPr>
    </w:p>
    <w:p w:rsidR="00C24648" w:rsidRDefault="00C24648">
      <w:pPr>
        <w:jc w:val="center"/>
        <w:rPr>
          <w:rFonts w:ascii="Calibri" w:hAnsi="Calibri" w:cs="Calibri"/>
          <w:sz w:val="22"/>
          <w:szCs w:val="22"/>
        </w:rPr>
      </w:pPr>
    </w:p>
    <w:p w:rsidR="00C24648" w:rsidRPr="00A10DC2" w:rsidRDefault="00C24648">
      <w:pPr>
        <w:jc w:val="center"/>
        <w:rPr>
          <w:rFonts w:ascii="Calibri" w:hAnsi="Calibri" w:cs="Calibri"/>
          <w:sz w:val="22"/>
          <w:szCs w:val="22"/>
        </w:rPr>
      </w:pPr>
    </w:p>
    <w:p w:rsidR="008704BE" w:rsidRPr="00A10DC2" w:rsidRDefault="008704BE">
      <w:pPr>
        <w:jc w:val="center"/>
        <w:rPr>
          <w:rFonts w:ascii="Calibri" w:hAnsi="Calibri" w:cs="Calibri"/>
          <w:sz w:val="22"/>
          <w:szCs w:val="22"/>
        </w:rPr>
      </w:pPr>
    </w:p>
    <w:p w:rsidR="00472724" w:rsidRDefault="00472724">
      <w:pPr>
        <w:jc w:val="center"/>
        <w:rPr>
          <w:rFonts w:ascii="Calibri" w:hAnsi="Calibri" w:cs="Calibri"/>
          <w:sz w:val="22"/>
          <w:szCs w:val="22"/>
        </w:rPr>
      </w:pPr>
    </w:p>
    <w:p w:rsidR="00184338" w:rsidRPr="00472724" w:rsidRDefault="00184338" w:rsidP="00184338">
      <w:pPr>
        <w:pStyle w:val="Ttulo3"/>
        <w:rPr>
          <w:rFonts w:ascii="Calibri" w:hAnsi="Calibri" w:cs="Calibri"/>
          <w:b/>
          <w:bCs/>
          <w:sz w:val="24"/>
          <w:szCs w:val="24"/>
        </w:rPr>
      </w:pPr>
      <w:r w:rsidRPr="00472724">
        <w:rPr>
          <w:rFonts w:ascii="Calibri" w:hAnsi="Calibri" w:cs="Calibri"/>
          <w:b/>
          <w:bCs/>
          <w:sz w:val="24"/>
          <w:szCs w:val="24"/>
        </w:rPr>
        <w:lastRenderedPageBreak/>
        <w:t>COMPANHIA DOCAS DO RIO DE JANEIRO - CDRJ</w:t>
      </w:r>
    </w:p>
    <w:p w:rsidR="00184338" w:rsidRPr="00472724" w:rsidRDefault="00184338" w:rsidP="00184338">
      <w:pPr>
        <w:jc w:val="center"/>
        <w:rPr>
          <w:rFonts w:ascii="Calibri" w:hAnsi="Calibri" w:cs="Calibri"/>
          <w:b/>
          <w:sz w:val="24"/>
          <w:szCs w:val="24"/>
        </w:rPr>
      </w:pPr>
      <w:r w:rsidRPr="00472724">
        <w:rPr>
          <w:rFonts w:ascii="Calibri" w:hAnsi="Calibri" w:cs="Calibri"/>
          <w:b/>
          <w:bCs/>
          <w:sz w:val="24"/>
          <w:szCs w:val="24"/>
        </w:rPr>
        <w:t>DEMONSTRAÇÃO</w:t>
      </w:r>
      <w:r w:rsidRPr="00472724">
        <w:rPr>
          <w:rFonts w:ascii="Calibri" w:hAnsi="Calibri" w:cs="Calibri"/>
          <w:b/>
          <w:sz w:val="24"/>
          <w:szCs w:val="24"/>
        </w:rPr>
        <w:t xml:space="preserve"> DO </w:t>
      </w:r>
      <w:r>
        <w:rPr>
          <w:rFonts w:ascii="Calibri" w:hAnsi="Calibri" w:cs="Calibri"/>
          <w:b/>
          <w:sz w:val="24"/>
          <w:szCs w:val="24"/>
        </w:rPr>
        <w:t>RESULTADO A</w:t>
      </w:r>
      <w:r w:rsidR="0072175A">
        <w:rPr>
          <w:rFonts w:ascii="Calibri" w:hAnsi="Calibri" w:cs="Calibri"/>
          <w:b/>
          <w:sz w:val="24"/>
          <w:szCs w:val="24"/>
        </w:rPr>
        <w:t>B</w:t>
      </w:r>
      <w:r>
        <w:rPr>
          <w:rFonts w:ascii="Calibri" w:hAnsi="Calibri" w:cs="Calibri"/>
          <w:b/>
          <w:sz w:val="24"/>
          <w:szCs w:val="24"/>
        </w:rPr>
        <w:t>RANGENTE</w:t>
      </w:r>
    </w:p>
    <w:p w:rsidR="00184338" w:rsidRDefault="00184338" w:rsidP="00184338">
      <w:pPr>
        <w:jc w:val="center"/>
        <w:rPr>
          <w:rFonts w:ascii="Calibri" w:hAnsi="Calibri" w:cs="Calibri"/>
          <w:sz w:val="22"/>
          <w:szCs w:val="22"/>
        </w:rPr>
      </w:pPr>
      <w:r w:rsidRPr="00A10DC2">
        <w:rPr>
          <w:rFonts w:ascii="Calibri" w:hAnsi="Calibri" w:cs="Calibri"/>
          <w:sz w:val="22"/>
          <w:szCs w:val="22"/>
        </w:rPr>
        <w:t xml:space="preserve">(Em </w:t>
      </w:r>
      <w:r>
        <w:rPr>
          <w:rFonts w:ascii="Calibri" w:hAnsi="Calibri" w:cs="Calibri"/>
          <w:sz w:val="22"/>
          <w:szCs w:val="22"/>
        </w:rPr>
        <w:t>milhares de Reais)</w:t>
      </w:r>
    </w:p>
    <w:p w:rsidR="003C3422" w:rsidRDefault="003C3422">
      <w:pPr>
        <w:jc w:val="center"/>
        <w:rPr>
          <w:rFonts w:ascii="Calibri" w:hAnsi="Calibri" w:cs="Calibri"/>
          <w:sz w:val="24"/>
          <w:szCs w:val="24"/>
        </w:rPr>
      </w:pPr>
    </w:p>
    <w:p w:rsidR="00184338" w:rsidRDefault="00184338">
      <w:pPr>
        <w:jc w:val="center"/>
        <w:rPr>
          <w:rFonts w:ascii="Calibri" w:hAnsi="Calibri" w:cs="Calibri"/>
          <w:sz w:val="22"/>
          <w:szCs w:val="22"/>
        </w:rPr>
      </w:pPr>
    </w:p>
    <w:p w:rsidR="00E875D1" w:rsidRDefault="008F27B4">
      <w:pPr>
        <w:jc w:val="center"/>
        <w:rPr>
          <w:rFonts w:ascii="Calibri" w:hAnsi="Calibri" w:cs="Calibri"/>
          <w:sz w:val="22"/>
          <w:szCs w:val="22"/>
        </w:rPr>
      </w:pPr>
      <w:r w:rsidRPr="008F27B4">
        <w:rPr>
          <w:noProof/>
        </w:rPr>
        <w:drawing>
          <wp:inline distT="0" distB="0" distL="0" distR="0">
            <wp:extent cx="6229350" cy="100965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1009650"/>
                    </a:xfrm>
                    <a:prstGeom prst="rect">
                      <a:avLst/>
                    </a:prstGeom>
                    <a:noFill/>
                    <a:ln>
                      <a:noFill/>
                    </a:ln>
                  </pic:spPr>
                </pic:pic>
              </a:graphicData>
            </a:graphic>
          </wp:inline>
        </w:drawing>
      </w: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8F27B4" w:rsidRDefault="008F27B4">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Default="00184338">
      <w:pPr>
        <w:jc w:val="center"/>
        <w:rPr>
          <w:rFonts w:ascii="Calibri" w:hAnsi="Calibri" w:cs="Calibri"/>
          <w:sz w:val="22"/>
          <w:szCs w:val="22"/>
        </w:rPr>
      </w:pPr>
    </w:p>
    <w:p w:rsidR="00184338" w:rsidRPr="00AF538B" w:rsidRDefault="00184338" w:rsidP="00184338">
      <w:pPr>
        <w:pStyle w:val="Ttulo3"/>
        <w:rPr>
          <w:rFonts w:ascii="Calibri" w:hAnsi="Calibri" w:cs="Calibri"/>
          <w:sz w:val="24"/>
          <w:szCs w:val="24"/>
        </w:rPr>
      </w:pPr>
      <w:r w:rsidRPr="00AF538B">
        <w:rPr>
          <w:rFonts w:ascii="Calibri" w:hAnsi="Calibri" w:cs="Calibri"/>
          <w:b/>
          <w:bCs/>
          <w:sz w:val="24"/>
          <w:szCs w:val="24"/>
        </w:rPr>
        <w:lastRenderedPageBreak/>
        <w:t>COMPANHIA DOCAS DO RIO DE JANEIRO - CDRJ</w:t>
      </w:r>
      <w:r w:rsidRPr="00AF538B">
        <w:rPr>
          <w:rFonts w:ascii="Calibri" w:hAnsi="Calibri" w:cs="Calibri"/>
          <w:sz w:val="24"/>
          <w:szCs w:val="24"/>
        </w:rPr>
        <w:t xml:space="preserve"> </w:t>
      </w:r>
    </w:p>
    <w:p w:rsidR="00184338" w:rsidRPr="00AF538B" w:rsidRDefault="00184338" w:rsidP="00184338">
      <w:pPr>
        <w:jc w:val="center"/>
        <w:rPr>
          <w:rFonts w:ascii="Calibri" w:hAnsi="Calibri" w:cs="Calibri"/>
          <w:b/>
          <w:sz w:val="24"/>
          <w:szCs w:val="24"/>
        </w:rPr>
      </w:pPr>
      <w:r w:rsidRPr="00AF538B">
        <w:rPr>
          <w:rFonts w:ascii="Calibri" w:hAnsi="Calibri" w:cs="Calibri"/>
          <w:b/>
          <w:bCs/>
          <w:sz w:val="24"/>
          <w:szCs w:val="24"/>
        </w:rPr>
        <w:t>DEMONSTRAÇÃO</w:t>
      </w:r>
      <w:r w:rsidRPr="00AF538B">
        <w:rPr>
          <w:rFonts w:ascii="Calibri" w:hAnsi="Calibri" w:cs="Calibri"/>
          <w:b/>
          <w:sz w:val="24"/>
          <w:szCs w:val="24"/>
        </w:rPr>
        <w:t xml:space="preserve"> DAS MUTAÇÕES DO PATRIMÔNIO LÍQUIDO</w:t>
      </w:r>
    </w:p>
    <w:p w:rsidR="00184338" w:rsidRDefault="00184338" w:rsidP="00184338">
      <w:pPr>
        <w:jc w:val="center"/>
        <w:rPr>
          <w:rFonts w:ascii="Calibri" w:hAnsi="Calibri" w:cs="Calibri"/>
          <w:sz w:val="22"/>
          <w:szCs w:val="22"/>
        </w:rPr>
      </w:pPr>
      <w:r w:rsidRPr="00A10DC2">
        <w:rPr>
          <w:rFonts w:ascii="Calibri" w:hAnsi="Calibri" w:cs="Calibri"/>
          <w:sz w:val="22"/>
          <w:szCs w:val="22"/>
        </w:rPr>
        <w:t xml:space="preserve">(Em </w:t>
      </w:r>
      <w:r>
        <w:rPr>
          <w:rFonts w:ascii="Calibri" w:hAnsi="Calibri" w:cs="Calibri"/>
          <w:sz w:val="22"/>
          <w:szCs w:val="22"/>
        </w:rPr>
        <w:t xml:space="preserve">milhares de </w:t>
      </w:r>
      <w:r w:rsidRPr="00A10DC2">
        <w:rPr>
          <w:rFonts w:ascii="Calibri" w:hAnsi="Calibri" w:cs="Calibri"/>
          <w:sz w:val="22"/>
          <w:szCs w:val="22"/>
        </w:rPr>
        <w:t>Reais)</w:t>
      </w:r>
    </w:p>
    <w:p w:rsidR="00184338" w:rsidRDefault="00184338" w:rsidP="00184338">
      <w:pPr>
        <w:jc w:val="center"/>
        <w:rPr>
          <w:rFonts w:ascii="Calibri" w:hAnsi="Calibri" w:cs="Calibri"/>
          <w:sz w:val="22"/>
          <w:szCs w:val="22"/>
        </w:rPr>
      </w:pPr>
    </w:p>
    <w:p w:rsidR="00E875D1" w:rsidRDefault="00E875D1" w:rsidP="00184338">
      <w:pPr>
        <w:jc w:val="center"/>
        <w:rPr>
          <w:rFonts w:ascii="Calibri" w:hAnsi="Calibri" w:cs="Calibri"/>
          <w:sz w:val="22"/>
          <w:szCs w:val="22"/>
        </w:rPr>
      </w:pPr>
    </w:p>
    <w:p w:rsidR="00E875D1" w:rsidRDefault="008F27B4" w:rsidP="00184338">
      <w:pPr>
        <w:jc w:val="center"/>
        <w:rPr>
          <w:rFonts w:ascii="Calibri" w:hAnsi="Calibri" w:cs="Calibri"/>
          <w:sz w:val="22"/>
          <w:szCs w:val="22"/>
        </w:rPr>
      </w:pPr>
      <w:r w:rsidRPr="008F27B4">
        <w:rPr>
          <w:noProof/>
        </w:rPr>
        <w:drawing>
          <wp:inline distT="0" distB="0" distL="0" distR="0">
            <wp:extent cx="6336665" cy="2630809"/>
            <wp:effectExtent l="0" t="0" r="698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665" cy="2630809"/>
                    </a:xfrm>
                    <a:prstGeom prst="rect">
                      <a:avLst/>
                    </a:prstGeom>
                    <a:noFill/>
                    <a:ln>
                      <a:noFill/>
                    </a:ln>
                  </pic:spPr>
                </pic:pic>
              </a:graphicData>
            </a:graphic>
          </wp:inline>
        </w:drawing>
      </w:r>
    </w:p>
    <w:p w:rsidR="00184338" w:rsidRDefault="00184338" w:rsidP="00184338">
      <w:pPr>
        <w:jc w:val="center"/>
        <w:rPr>
          <w:rFonts w:ascii="Calibri" w:hAnsi="Calibri" w:cs="Calibri"/>
          <w:sz w:val="22"/>
          <w:szCs w:val="22"/>
        </w:rPr>
      </w:pPr>
    </w:p>
    <w:p w:rsidR="00184338" w:rsidRDefault="00184338" w:rsidP="000A0483">
      <w:pPr>
        <w:pStyle w:val="Ttulo3"/>
        <w:rPr>
          <w:rFonts w:ascii="Calibri" w:hAnsi="Calibri" w:cs="Calibri"/>
          <w:b/>
          <w:bCs/>
          <w:sz w:val="24"/>
          <w:szCs w:val="24"/>
        </w:rPr>
      </w:pPr>
    </w:p>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184338" w:rsidRDefault="00184338" w:rsidP="00184338"/>
    <w:p w:rsidR="00707B6E" w:rsidRDefault="00707B6E" w:rsidP="00184338"/>
    <w:p w:rsidR="00707B6E" w:rsidRDefault="00707B6E" w:rsidP="00184338"/>
    <w:p w:rsidR="00707B6E" w:rsidRDefault="00707B6E" w:rsidP="00184338"/>
    <w:p w:rsidR="00707B6E" w:rsidRDefault="00707B6E" w:rsidP="00184338"/>
    <w:p w:rsidR="00707B6E" w:rsidRDefault="00707B6E" w:rsidP="00184338"/>
    <w:p w:rsidR="00707B6E" w:rsidRDefault="00707B6E" w:rsidP="00184338"/>
    <w:p w:rsidR="00707B6E" w:rsidRDefault="00707B6E" w:rsidP="00184338"/>
    <w:p w:rsidR="000E32C9" w:rsidRDefault="000E32C9" w:rsidP="00184338"/>
    <w:p w:rsidR="00707B6E" w:rsidRDefault="00707B6E" w:rsidP="00184338"/>
    <w:p w:rsidR="00707B6E" w:rsidRDefault="00707B6E" w:rsidP="00184338"/>
    <w:p w:rsidR="00707B6E" w:rsidRDefault="00707B6E" w:rsidP="00184338"/>
    <w:p w:rsidR="00707B6E" w:rsidRDefault="00707B6E" w:rsidP="00184338"/>
    <w:p w:rsidR="00707B6E" w:rsidRDefault="00707B6E" w:rsidP="00184338"/>
    <w:p w:rsidR="00184338" w:rsidRPr="00184338" w:rsidRDefault="000A0483" w:rsidP="00184338">
      <w:pPr>
        <w:pStyle w:val="Ttulo3"/>
        <w:rPr>
          <w:rFonts w:ascii="Calibri" w:hAnsi="Calibri" w:cs="Calibri"/>
          <w:b/>
          <w:bCs/>
          <w:sz w:val="24"/>
          <w:szCs w:val="24"/>
        </w:rPr>
      </w:pPr>
      <w:r w:rsidRPr="00472724">
        <w:rPr>
          <w:rFonts w:ascii="Calibri" w:hAnsi="Calibri" w:cs="Calibri"/>
          <w:b/>
          <w:bCs/>
          <w:sz w:val="24"/>
          <w:szCs w:val="24"/>
        </w:rPr>
        <w:lastRenderedPageBreak/>
        <w:t xml:space="preserve">COMPANHIA DOCAS DO RIO DE JANEIRO </w:t>
      </w:r>
      <w:r w:rsidR="00184338">
        <w:rPr>
          <w:rFonts w:ascii="Calibri" w:hAnsi="Calibri" w:cs="Calibri"/>
          <w:b/>
          <w:bCs/>
          <w:sz w:val="24"/>
          <w:szCs w:val="24"/>
        </w:rPr>
        <w:t>–</w:t>
      </w:r>
      <w:r w:rsidRPr="00472724">
        <w:rPr>
          <w:rFonts w:ascii="Calibri" w:hAnsi="Calibri" w:cs="Calibri"/>
          <w:b/>
          <w:bCs/>
          <w:sz w:val="24"/>
          <w:szCs w:val="24"/>
        </w:rPr>
        <w:t xml:space="preserve"> CDRJ</w:t>
      </w:r>
    </w:p>
    <w:p w:rsidR="000A0483" w:rsidRPr="00472724" w:rsidRDefault="000A0483" w:rsidP="000A0483">
      <w:pPr>
        <w:jc w:val="center"/>
        <w:rPr>
          <w:rFonts w:ascii="Calibri" w:hAnsi="Calibri" w:cs="Calibri"/>
          <w:b/>
          <w:sz w:val="24"/>
          <w:szCs w:val="24"/>
        </w:rPr>
      </w:pPr>
      <w:r w:rsidRPr="00472724">
        <w:rPr>
          <w:rFonts w:ascii="Calibri" w:hAnsi="Calibri" w:cs="Calibri"/>
          <w:b/>
          <w:bCs/>
          <w:sz w:val="24"/>
          <w:szCs w:val="24"/>
        </w:rPr>
        <w:t>DEMONSTRAÇÃO</w:t>
      </w:r>
      <w:r w:rsidRPr="00472724">
        <w:rPr>
          <w:rFonts w:ascii="Calibri" w:hAnsi="Calibri" w:cs="Calibri"/>
          <w:b/>
          <w:sz w:val="24"/>
          <w:szCs w:val="24"/>
        </w:rPr>
        <w:t xml:space="preserve"> DO </w:t>
      </w:r>
      <w:r w:rsidR="009C5118" w:rsidRPr="00472724">
        <w:rPr>
          <w:rFonts w:ascii="Calibri" w:hAnsi="Calibri" w:cs="Calibri"/>
          <w:b/>
          <w:sz w:val="24"/>
          <w:szCs w:val="24"/>
        </w:rPr>
        <w:t>FLUXO DE CAIXA</w:t>
      </w:r>
    </w:p>
    <w:p w:rsidR="000A0483" w:rsidRDefault="000A0483" w:rsidP="00472724">
      <w:pPr>
        <w:jc w:val="center"/>
        <w:rPr>
          <w:rFonts w:ascii="Calibri" w:hAnsi="Calibri" w:cs="Calibri"/>
          <w:sz w:val="22"/>
          <w:szCs w:val="22"/>
        </w:rPr>
      </w:pPr>
      <w:r w:rsidRPr="00A10DC2">
        <w:rPr>
          <w:rFonts w:ascii="Calibri" w:hAnsi="Calibri" w:cs="Calibri"/>
          <w:sz w:val="22"/>
          <w:szCs w:val="22"/>
        </w:rPr>
        <w:t xml:space="preserve">(Em </w:t>
      </w:r>
      <w:r w:rsidR="00C24648">
        <w:rPr>
          <w:rFonts w:ascii="Calibri" w:hAnsi="Calibri" w:cs="Calibri"/>
          <w:sz w:val="22"/>
          <w:szCs w:val="22"/>
        </w:rPr>
        <w:t xml:space="preserve">milhares de </w:t>
      </w:r>
      <w:r w:rsidR="00F951DD">
        <w:rPr>
          <w:rFonts w:ascii="Calibri" w:hAnsi="Calibri" w:cs="Calibri"/>
          <w:sz w:val="22"/>
          <w:szCs w:val="22"/>
        </w:rPr>
        <w:t>Reais)</w:t>
      </w:r>
    </w:p>
    <w:p w:rsidR="00FD3C01" w:rsidRDefault="00FD3C01" w:rsidP="00472724">
      <w:pPr>
        <w:jc w:val="center"/>
        <w:rPr>
          <w:rFonts w:ascii="Calibri" w:hAnsi="Calibri" w:cs="Calibri"/>
          <w:sz w:val="22"/>
          <w:szCs w:val="22"/>
        </w:rPr>
      </w:pPr>
    </w:p>
    <w:p w:rsidR="001D4F78" w:rsidRDefault="00D4531E" w:rsidP="00472724">
      <w:pPr>
        <w:jc w:val="center"/>
        <w:rPr>
          <w:rFonts w:ascii="Calibri" w:hAnsi="Calibri" w:cs="Calibri"/>
          <w:sz w:val="22"/>
          <w:szCs w:val="22"/>
        </w:rPr>
      </w:pPr>
      <w:r>
        <w:rPr>
          <w:noProof/>
        </w:rPr>
        <w:tab/>
      </w:r>
      <w:r w:rsidR="008F27B4" w:rsidRPr="008F27B4">
        <w:rPr>
          <w:noProof/>
        </w:rPr>
        <w:drawing>
          <wp:inline distT="0" distB="0" distL="0" distR="0">
            <wp:extent cx="6067425" cy="762952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7629525"/>
                    </a:xfrm>
                    <a:prstGeom prst="rect">
                      <a:avLst/>
                    </a:prstGeom>
                    <a:noFill/>
                    <a:ln>
                      <a:noFill/>
                    </a:ln>
                  </pic:spPr>
                </pic:pic>
              </a:graphicData>
            </a:graphic>
          </wp:inline>
        </w:drawing>
      </w:r>
    </w:p>
    <w:p w:rsidR="00215501" w:rsidRPr="00D61B21" w:rsidRDefault="00215501" w:rsidP="00215501">
      <w:pPr>
        <w:pStyle w:val="Ttulo3"/>
        <w:rPr>
          <w:rFonts w:ascii="Calibri" w:hAnsi="Calibri" w:cs="Calibri"/>
          <w:b/>
          <w:bCs/>
          <w:sz w:val="24"/>
          <w:szCs w:val="24"/>
        </w:rPr>
      </w:pPr>
      <w:r w:rsidRPr="00D61B21">
        <w:rPr>
          <w:rFonts w:ascii="Calibri" w:hAnsi="Calibri" w:cs="Calibri"/>
          <w:b/>
          <w:bCs/>
          <w:sz w:val="24"/>
          <w:szCs w:val="24"/>
        </w:rPr>
        <w:lastRenderedPageBreak/>
        <w:t>COMPANHIA DOCAS DO RIO DE JANEIRO - CDRJ</w:t>
      </w:r>
    </w:p>
    <w:p w:rsidR="00215501" w:rsidRPr="00D61B21" w:rsidRDefault="00215501" w:rsidP="00215501">
      <w:pPr>
        <w:jc w:val="center"/>
        <w:rPr>
          <w:rFonts w:ascii="Calibri" w:hAnsi="Calibri" w:cs="Calibri"/>
          <w:b/>
          <w:sz w:val="24"/>
          <w:szCs w:val="24"/>
        </w:rPr>
      </w:pPr>
      <w:r w:rsidRPr="00D61B21">
        <w:rPr>
          <w:rFonts w:ascii="Calibri" w:hAnsi="Calibri" w:cs="Calibri"/>
          <w:b/>
          <w:bCs/>
          <w:sz w:val="24"/>
          <w:szCs w:val="24"/>
        </w:rPr>
        <w:t>DEMONSTRAÇÃO</w:t>
      </w:r>
      <w:r w:rsidRPr="00D61B21">
        <w:rPr>
          <w:rFonts w:ascii="Calibri" w:hAnsi="Calibri" w:cs="Calibri"/>
          <w:b/>
          <w:sz w:val="24"/>
          <w:szCs w:val="24"/>
        </w:rPr>
        <w:t xml:space="preserve"> DO VALOR ADICIONADO</w:t>
      </w:r>
    </w:p>
    <w:p w:rsidR="00151481" w:rsidRDefault="00215501" w:rsidP="00215501">
      <w:pPr>
        <w:jc w:val="center"/>
        <w:rPr>
          <w:rFonts w:ascii="Calibri" w:hAnsi="Calibri" w:cs="Calibri"/>
          <w:sz w:val="22"/>
          <w:szCs w:val="22"/>
        </w:rPr>
      </w:pPr>
      <w:r w:rsidRPr="00A10DC2">
        <w:rPr>
          <w:rFonts w:ascii="Calibri" w:hAnsi="Calibri" w:cs="Calibri"/>
          <w:sz w:val="22"/>
          <w:szCs w:val="22"/>
        </w:rPr>
        <w:t xml:space="preserve">(Em </w:t>
      </w:r>
      <w:r w:rsidR="00151481">
        <w:rPr>
          <w:rFonts w:ascii="Calibri" w:hAnsi="Calibri" w:cs="Calibri"/>
          <w:sz w:val="22"/>
          <w:szCs w:val="22"/>
        </w:rPr>
        <w:t xml:space="preserve">milhares de </w:t>
      </w:r>
      <w:r w:rsidRPr="00A10DC2">
        <w:rPr>
          <w:rFonts w:ascii="Calibri" w:hAnsi="Calibri" w:cs="Calibri"/>
          <w:sz w:val="22"/>
          <w:szCs w:val="22"/>
        </w:rPr>
        <w:t>Reais)</w:t>
      </w:r>
    </w:p>
    <w:p w:rsidR="00171E69" w:rsidRDefault="00171E69" w:rsidP="00215501">
      <w:pPr>
        <w:jc w:val="center"/>
        <w:rPr>
          <w:rFonts w:ascii="Calibri" w:hAnsi="Calibri" w:cs="Calibri"/>
          <w:sz w:val="22"/>
          <w:szCs w:val="22"/>
        </w:rPr>
      </w:pPr>
    </w:p>
    <w:p w:rsidR="00171E69" w:rsidRDefault="008F27B4" w:rsidP="00215501">
      <w:pPr>
        <w:jc w:val="center"/>
        <w:rPr>
          <w:rFonts w:ascii="Calibri" w:hAnsi="Calibri" w:cs="Calibri"/>
          <w:sz w:val="22"/>
          <w:szCs w:val="22"/>
        </w:rPr>
      </w:pPr>
      <w:r w:rsidRPr="008F27B4">
        <w:rPr>
          <w:noProof/>
        </w:rPr>
        <w:drawing>
          <wp:inline distT="0" distB="0" distL="0" distR="0">
            <wp:extent cx="6067425" cy="772477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7425" cy="7724775"/>
                    </a:xfrm>
                    <a:prstGeom prst="rect">
                      <a:avLst/>
                    </a:prstGeom>
                    <a:noFill/>
                    <a:ln>
                      <a:noFill/>
                    </a:ln>
                  </pic:spPr>
                </pic:pic>
              </a:graphicData>
            </a:graphic>
          </wp:inline>
        </w:drawing>
      </w:r>
    </w:p>
    <w:p w:rsidR="008F27B4" w:rsidRDefault="008F27B4" w:rsidP="00215501">
      <w:pPr>
        <w:jc w:val="center"/>
        <w:rPr>
          <w:rFonts w:ascii="Calibri" w:hAnsi="Calibri" w:cs="Calibri"/>
          <w:sz w:val="22"/>
          <w:szCs w:val="22"/>
        </w:rPr>
      </w:pPr>
    </w:p>
    <w:p w:rsidR="00C16DDB" w:rsidRPr="00312424" w:rsidRDefault="00C16DDB" w:rsidP="00C16DDB">
      <w:pPr>
        <w:jc w:val="center"/>
        <w:rPr>
          <w:rFonts w:ascii="Calibri" w:hAnsi="Calibri" w:cs="Calibri"/>
          <w:b/>
          <w:bCs/>
          <w:sz w:val="24"/>
          <w:szCs w:val="24"/>
        </w:rPr>
      </w:pPr>
      <w:r w:rsidRPr="00312424">
        <w:rPr>
          <w:rFonts w:ascii="Calibri" w:hAnsi="Calibri" w:cs="Calibri"/>
          <w:b/>
          <w:bCs/>
          <w:sz w:val="24"/>
          <w:szCs w:val="24"/>
        </w:rPr>
        <w:lastRenderedPageBreak/>
        <w:t>COMPANHIA DOCAS DO RIO DE JANEIRO - CDRJ</w:t>
      </w:r>
    </w:p>
    <w:p w:rsidR="00C16DDB" w:rsidRPr="00312424" w:rsidRDefault="00C16DDB" w:rsidP="00C16DDB">
      <w:pPr>
        <w:pStyle w:val="Ttulo9"/>
        <w:jc w:val="center"/>
        <w:rPr>
          <w:rFonts w:ascii="Calibri" w:hAnsi="Calibri" w:cs="Calibri"/>
          <w:sz w:val="24"/>
          <w:szCs w:val="24"/>
        </w:rPr>
      </w:pPr>
      <w:r w:rsidRPr="00312424">
        <w:rPr>
          <w:rFonts w:ascii="Calibri" w:hAnsi="Calibri" w:cs="Calibri"/>
          <w:sz w:val="24"/>
          <w:szCs w:val="24"/>
        </w:rPr>
        <w:t>Notas Explicativas às Demonstrações Financeiras</w:t>
      </w:r>
    </w:p>
    <w:p w:rsidR="002076AA" w:rsidRDefault="008F27B4" w:rsidP="00C16DDB">
      <w:pPr>
        <w:pStyle w:val="Ttulo9"/>
        <w:jc w:val="center"/>
        <w:rPr>
          <w:rFonts w:ascii="Calibri" w:hAnsi="Calibri" w:cs="Calibri"/>
          <w:b w:val="0"/>
          <w:sz w:val="24"/>
          <w:szCs w:val="24"/>
        </w:rPr>
      </w:pPr>
      <w:r>
        <w:rPr>
          <w:rFonts w:ascii="Calibri" w:hAnsi="Calibri" w:cs="Calibri"/>
          <w:b w:val="0"/>
          <w:sz w:val="24"/>
          <w:szCs w:val="24"/>
        </w:rPr>
        <w:t>As informações financeiras trimestrais devem ser lidas em conjunto com as demonstrações financeiras anuais</w:t>
      </w:r>
    </w:p>
    <w:p w:rsidR="00C16DDB" w:rsidRPr="00312424" w:rsidRDefault="00C16DDB" w:rsidP="00C16DDB">
      <w:pPr>
        <w:tabs>
          <w:tab w:val="left" w:pos="2552"/>
        </w:tabs>
        <w:jc w:val="both"/>
        <w:rPr>
          <w:rFonts w:ascii="Calibri" w:hAnsi="Calibri" w:cs="Calibri"/>
          <w:b/>
          <w:sz w:val="24"/>
          <w:szCs w:val="24"/>
        </w:rPr>
      </w:pPr>
    </w:p>
    <w:p w:rsidR="00C16DDB" w:rsidRPr="00312424" w:rsidRDefault="00C16DDB" w:rsidP="00C16DDB">
      <w:pPr>
        <w:tabs>
          <w:tab w:val="left" w:pos="2552"/>
        </w:tabs>
        <w:jc w:val="both"/>
        <w:rPr>
          <w:rFonts w:ascii="Calibri" w:hAnsi="Calibri" w:cs="Calibri"/>
          <w:b/>
          <w:sz w:val="24"/>
          <w:szCs w:val="24"/>
        </w:rPr>
      </w:pPr>
    </w:p>
    <w:p w:rsidR="00C16DDB" w:rsidRPr="00312424" w:rsidRDefault="00C16DDB" w:rsidP="00C16DDB">
      <w:pPr>
        <w:tabs>
          <w:tab w:val="left" w:pos="2552"/>
        </w:tabs>
        <w:jc w:val="both"/>
        <w:rPr>
          <w:rFonts w:ascii="Calibri" w:hAnsi="Calibri" w:cs="Calibri"/>
          <w:b/>
          <w:sz w:val="24"/>
          <w:szCs w:val="24"/>
          <w:u w:val="single"/>
        </w:rPr>
      </w:pPr>
      <w:r w:rsidRPr="00312424">
        <w:rPr>
          <w:rFonts w:ascii="Calibri" w:hAnsi="Calibri" w:cs="Calibri"/>
          <w:b/>
          <w:sz w:val="24"/>
          <w:szCs w:val="24"/>
        </w:rPr>
        <w:t xml:space="preserve">1 – </w:t>
      </w:r>
      <w:r w:rsidRPr="00312424">
        <w:rPr>
          <w:rFonts w:ascii="Calibri" w:hAnsi="Calibri" w:cs="Calibri"/>
          <w:b/>
          <w:sz w:val="24"/>
          <w:szCs w:val="24"/>
          <w:u w:val="single"/>
        </w:rPr>
        <w:t>CONTEXTO OPERACIONAL</w:t>
      </w:r>
    </w:p>
    <w:p w:rsidR="002076AA" w:rsidRPr="00312424" w:rsidRDefault="002076AA" w:rsidP="00C16DDB">
      <w:pPr>
        <w:pStyle w:val="Default"/>
        <w:rPr>
          <w:rFonts w:ascii="Calibri" w:hAnsi="Calibri" w:cs="Calibri"/>
          <w:color w:val="auto"/>
        </w:rPr>
      </w:pPr>
    </w:p>
    <w:p w:rsidR="00C16DDB" w:rsidRDefault="00C16DDB" w:rsidP="00C16DDB">
      <w:pPr>
        <w:pStyle w:val="Default"/>
        <w:jc w:val="both"/>
        <w:rPr>
          <w:rFonts w:ascii="Calibri" w:hAnsi="Calibri" w:cs="Calibri"/>
          <w:color w:val="auto"/>
        </w:rPr>
      </w:pPr>
      <w:r w:rsidRPr="00312424">
        <w:rPr>
          <w:rFonts w:ascii="Calibri" w:hAnsi="Calibri" w:cs="Calibri"/>
          <w:color w:val="auto"/>
        </w:rPr>
        <w:t xml:space="preserve">A COMPANHIA DOCAS DO RIO DE JANEIRO – CDRJ, </w:t>
      </w:r>
      <w:r w:rsidR="008A71CD">
        <w:rPr>
          <w:rFonts w:ascii="Calibri" w:hAnsi="Calibri" w:cs="Calibri"/>
          <w:color w:val="auto"/>
        </w:rPr>
        <w:t>doravante denominada “CDRJ” ou “Companhia”</w:t>
      </w:r>
      <w:r w:rsidR="003924AB">
        <w:rPr>
          <w:rFonts w:ascii="Calibri" w:hAnsi="Calibri" w:cs="Calibri"/>
          <w:color w:val="auto"/>
        </w:rPr>
        <w:t>,</w:t>
      </w:r>
      <w:r w:rsidR="008A71CD">
        <w:rPr>
          <w:rFonts w:ascii="Calibri" w:hAnsi="Calibri" w:cs="Calibri"/>
          <w:color w:val="auto"/>
        </w:rPr>
        <w:t xml:space="preserve"> </w:t>
      </w:r>
      <w:r w:rsidRPr="00312424">
        <w:rPr>
          <w:rFonts w:ascii="Calibri" w:hAnsi="Calibri" w:cs="Calibri"/>
          <w:color w:val="auto"/>
        </w:rPr>
        <w:t xml:space="preserve">com sede na Rua Acre, 21 Centro – Rio de Janeiro – RJ, é uma </w:t>
      </w:r>
      <w:r w:rsidR="00027744">
        <w:rPr>
          <w:rFonts w:ascii="Calibri" w:hAnsi="Calibri" w:cs="Calibri"/>
          <w:color w:val="auto"/>
        </w:rPr>
        <w:t>empresa pública</w:t>
      </w:r>
      <w:r w:rsidRPr="00312424">
        <w:rPr>
          <w:rFonts w:ascii="Calibri" w:hAnsi="Calibri" w:cs="Calibri"/>
          <w:color w:val="auto"/>
        </w:rPr>
        <w:t>, cuja criação foi autorizada pelo Decreto-Lei nº 794 de 27 de agosto de 1969, constituída sob a forma de sociedade anônima, vinculada ao Ministério d</w:t>
      </w:r>
      <w:r w:rsidR="00351A64">
        <w:rPr>
          <w:rFonts w:ascii="Calibri" w:hAnsi="Calibri" w:cs="Calibri"/>
          <w:color w:val="auto"/>
        </w:rPr>
        <w:t>a Infraestrutura</w:t>
      </w:r>
      <w:r w:rsidRPr="00312424">
        <w:rPr>
          <w:rFonts w:ascii="Calibri" w:hAnsi="Calibri" w:cs="Calibri"/>
          <w:color w:val="auto"/>
        </w:rPr>
        <w:t xml:space="preserve">, regendo-se pela legislação relativa às sociedades por ações, Lei 6.404, de 15 de dezembro de 1976, </w:t>
      </w:r>
      <w:r w:rsidR="00027744">
        <w:rPr>
          <w:rFonts w:ascii="Calibri" w:hAnsi="Calibri" w:cs="Calibri"/>
          <w:color w:val="auto"/>
        </w:rPr>
        <w:t xml:space="preserve">pela Lei das Estatais, Lei nº 13.303, de 30 de junho de 2016, </w:t>
      </w:r>
      <w:r w:rsidRPr="00312424">
        <w:rPr>
          <w:rFonts w:ascii="Calibri" w:hAnsi="Calibri" w:cs="Calibri"/>
          <w:color w:val="auto"/>
        </w:rPr>
        <w:t>e</w:t>
      </w:r>
      <w:r w:rsidR="00027744">
        <w:rPr>
          <w:rFonts w:ascii="Calibri" w:hAnsi="Calibri" w:cs="Calibri"/>
          <w:color w:val="auto"/>
        </w:rPr>
        <w:t>,</w:t>
      </w:r>
      <w:r w:rsidRPr="00312424">
        <w:rPr>
          <w:rFonts w:ascii="Calibri" w:hAnsi="Calibri" w:cs="Calibri"/>
          <w:color w:val="auto"/>
        </w:rPr>
        <w:t xml:space="preserve"> no que lhe for aplicável, pela Lei 12.815, de 5 de junho de 2013, que dispõe sobre a exploração direta e indireta pela União de portos e instalações portuárias e sobre as atividades desempenhadas pelos operadores portuários</w:t>
      </w:r>
      <w:r w:rsidR="00027744">
        <w:rPr>
          <w:rFonts w:ascii="Calibri" w:hAnsi="Calibri" w:cs="Calibri"/>
          <w:color w:val="auto"/>
        </w:rPr>
        <w:t>. A CDRJ tem</w:t>
      </w:r>
      <w:r w:rsidRPr="00312424">
        <w:rPr>
          <w:rFonts w:ascii="Calibri" w:hAnsi="Calibri" w:cs="Calibri"/>
          <w:color w:val="auto"/>
        </w:rPr>
        <w:t xml:space="preserve"> por objeto social realizar, direta ou indiretamente, em harmonia com os planos e programas do Ministério d</w:t>
      </w:r>
      <w:r w:rsidR="005D7DDB">
        <w:rPr>
          <w:rFonts w:ascii="Calibri" w:hAnsi="Calibri" w:cs="Calibri"/>
          <w:color w:val="auto"/>
        </w:rPr>
        <w:t>a Infraestrutura</w:t>
      </w:r>
      <w:r w:rsidRPr="00312424">
        <w:rPr>
          <w:rFonts w:ascii="Calibri" w:hAnsi="Calibri" w:cs="Calibri"/>
          <w:color w:val="auto"/>
        </w:rPr>
        <w:t xml:space="preserve">, a administração e exploração comercial dos portos organizados e demais instalações portuárias do Estado </w:t>
      </w:r>
      <w:r w:rsidR="00E37661">
        <w:rPr>
          <w:rFonts w:ascii="Calibri" w:hAnsi="Calibri" w:cs="Calibri"/>
          <w:color w:val="auto"/>
        </w:rPr>
        <w:t>do Rio de Janeiro</w:t>
      </w:r>
      <w:r w:rsidRPr="00312424">
        <w:rPr>
          <w:rFonts w:ascii="Calibri" w:hAnsi="Calibri" w:cs="Calibri"/>
          <w:color w:val="auto"/>
        </w:rPr>
        <w:t>.</w:t>
      </w:r>
    </w:p>
    <w:p w:rsidR="00184338" w:rsidRDefault="00184338" w:rsidP="00C16DDB">
      <w:pPr>
        <w:pStyle w:val="Default"/>
        <w:jc w:val="both"/>
        <w:rPr>
          <w:rFonts w:ascii="Calibri" w:hAnsi="Calibri" w:cs="Calibri"/>
          <w:color w:val="auto"/>
        </w:rPr>
      </w:pPr>
    </w:p>
    <w:p w:rsidR="00023B1F" w:rsidRPr="00312424" w:rsidRDefault="00023B1F" w:rsidP="00023B1F">
      <w:pPr>
        <w:tabs>
          <w:tab w:val="left" w:pos="2552"/>
        </w:tabs>
        <w:jc w:val="both"/>
        <w:rPr>
          <w:rFonts w:ascii="Calibri" w:hAnsi="Calibri" w:cs="Calibri"/>
          <w:b/>
          <w:sz w:val="24"/>
          <w:szCs w:val="24"/>
          <w:u w:val="single"/>
        </w:rPr>
      </w:pPr>
      <w:r w:rsidRPr="00312424">
        <w:rPr>
          <w:rFonts w:ascii="Calibri" w:hAnsi="Calibri" w:cs="Calibri"/>
          <w:b/>
          <w:sz w:val="24"/>
          <w:szCs w:val="24"/>
        </w:rPr>
        <w:t xml:space="preserve">2 – </w:t>
      </w:r>
      <w:r>
        <w:rPr>
          <w:rFonts w:ascii="Calibri" w:hAnsi="Calibri" w:cs="Calibri"/>
          <w:b/>
          <w:sz w:val="24"/>
          <w:szCs w:val="24"/>
          <w:u w:val="single"/>
        </w:rPr>
        <w:t>CONTINUIDADE OPERACIONAL</w:t>
      </w:r>
    </w:p>
    <w:p w:rsidR="00023B1F" w:rsidRPr="00312424" w:rsidRDefault="00023B1F" w:rsidP="00023B1F">
      <w:pPr>
        <w:pStyle w:val="Recuodecorpodetexto"/>
        <w:ind w:left="1021"/>
        <w:rPr>
          <w:rFonts w:ascii="Calibri" w:hAnsi="Calibri" w:cs="Calibri"/>
          <w:szCs w:val="24"/>
        </w:rPr>
      </w:pPr>
    </w:p>
    <w:p w:rsidR="00023B1F" w:rsidRPr="00023B1F" w:rsidRDefault="00023B1F" w:rsidP="00023B1F">
      <w:pPr>
        <w:tabs>
          <w:tab w:val="left" w:pos="2552"/>
        </w:tabs>
        <w:jc w:val="both"/>
        <w:rPr>
          <w:rFonts w:ascii="Calibri" w:hAnsi="Calibri" w:cs="Calibri"/>
          <w:sz w:val="24"/>
          <w:szCs w:val="24"/>
        </w:rPr>
      </w:pPr>
      <w:r w:rsidRPr="00023B1F">
        <w:rPr>
          <w:rFonts w:ascii="Calibri" w:hAnsi="Calibri" w:cs="Calibri"/>
          <w:sz w:val="24"/>
          <w:szCs w:val="24"/>
        </w:rPr>
        <w:t xml:space="preserve">As demonstrações financeiras da CDRJ foram preparadas no pressuposto da continuidade normal de suas operações. </w:t>
      </w:r>
    </w:p>
    <w:p w:rsidR="00023B1F" w:rsidRPr="00023B1F" w:rsidRDefault="00023B1F" w:rsidP="00023B1F">
      <w:pPr>
        <w:tabs>
          <w:tab w:val="left" w:pos="2552"/>
        </w:tabs>
        <w:jc w:val="both"/>
        <w:rPr>
          <w:rFonts w:ascii="Calibri" w:hAnsi="Calibri" w:cs="Calibri"/>
          <w:sz w:val="24"/>
          <w:szCs w:val="24"/>
        </w:rPr>
      </w:pPr>
    </w:p>
    <w:p w:rsidR="00023B1F" w:rsidRPr="00023B1F" w:rsidRDefault="00023B1F" w:rsidP="00023B1F">
      <w:pPr>
        <w:tabs>
          <w:tab w:val="left" w:pos="2552"/>
        </w:tabs>
        <w:jc w:val="both"/>
        <w:rPr>
          <w:rFonts w:ascii="Calibri" w:hAnsi="Calibri" w:cs="Calibri"/>
          <w:sz w:val="24"/>
          <w:szCs w:val="24"/>
        </w:rPr>
      </w:pPr>
      <w:r w:rsidRPr="00023B1F">
        <w:rPr>
          <w:rFonts w:ascii="Calibri" w:hAnsi="Calibri" w:cs="Calibri"/>
          <w:sz w:val="24"/>
          <w:szCs w:val="24"/>
        </w:rPr>
        <w:t>Conforme apresentado nos relatórios, a CDRJ incorreu, no exercício findo em 31 de março de 2020, em prejuízo no montante de R$ 86.421 mil (lucro de R$ 947.892 mil em 31 de dezembro de 2019), em especial pelo impacto das provisões para contingências.</w:t>
      </w:r>
    </w:p>
    <w:p w:rsidR="00023B1F" w:rsidRPr="00023B1F" w:rsidRDefault="00023B1F" w:rsidP="00023B1F">
      <w:pPr>
        <w:tabs>
          <w:tab w:val="left" w:pos="2552"/>
        </w:tabs>
        <w:jc w:val="both"/>
        <w:rPr>
          <w:rFonts w:ascii="Calibri" w:hAnsi="Calibri" w:cs="Calibri"/>
          <w:sz w:val="24"/>
          <w:szCs w:val="24"/>
        </w:rPr>
      </w:pPr>
    </w:p>
    <w:p w:rsidR="004A7DBF" w:rsidRDefault="00023B1F" w:rsidP="00023B1F">
      <w:pPr>
        <w:tabs>
          <w:tab w:val="left" w:pos="2552"/>
        </w:tabs>
        <w:jc w:val="both"/>
        <w:rPr>
          <w:rFonts w:ascii="Calibri" w:hAnsi="Calibri" w:cs="Calibri"/>
          <w:sz w:val="24"/>
          <w:szCs w:val="24"/>
        </w:rPr>
      </w:pPr>
      <w:r w:rsidRPr="00023B1F">
        <w:rPr>
          <w:rFonts w:ascii="Calibri" w:hAnsi="Calibri" w:cs="Calibri"/>
          <w:sz w:val="24"/>
          <w:szCs w:val="24"/>
        </w:rPr>
        <w:t>Embora a CDRJ possua natureza jurídica de empresa pública não sujeita às regras de falência e recuperação de empresas, as suas atividades passaram por um processo de reestruturação operacional e financeira, por meio do qual a Administração tomou medidas que visam o equacionamento dos resultados, otimizar custos e despesas com o objetivo de alcançar o equilíbrio do capital circulante líquido e recuperar a lucratividade das operações</w:t>
      </w:r>
      <w:r w:rsidRPr="004A7DBF">
        <w:rPr>
          <w:rFonts w:ascii="Calibri" w:hAnsi="Calibri" w:cs="Calibri"/>
          <w:sz w:val="24"/>
          <w:szCs w:val="24"/>
        </w:rPr>
        <w:t xml:space="preserve">. </w:t>
      </w:r>
    </w:p>
    <w:p w:rsidR="004A7DBF" w:rsidRDefault="004A7DBF" w:rsidP="00023B1F">
      <w:pPr>
        <w:tabs>
          <w:tab w:val="left" w:pos="2552"/>
        </w:tabs>
        <w:jc w:val="both"/>
        <w:rPr>
          <w:rFonts w:ascii="Calibri" w:hAnsi="Calibri" w:cs="Calibri"/>
          <w:sz w:val="24"/>
          <w:szCs w:val="24"/>
        </w:rPr>
      </w:pPr>
    </w:p>
    <w:p w:rsidR="00023B1F" w:rsidRPr="00023B1F" w:rsidRDefault="00023B1F" w:rsidP="00023B1F">
      <w:pPr>
        <w:tabs>
          <w:tab w:val="left" w:pos="2552"/>
        </w:tabs>
        <w:jc w:val="both"/>
        <w:rPr>
          <w:rFonts w:ascii="Calibri" w:hAnsi="Calibri" w:cs="Calibri"/>
          <w:sz w:val="24"/>
          <w:szCs w:val="24"/>
        </w:rPr>
      </w:pPr>
      <w:r w:rsidRPr="004A7DBF">
        <w:rPr>
          <w:rFonts w:ascii="Calibri" w:hAnsi="Calibri" w:cs="Calibri"/>
          <w:sz w:val="24"/>
          <w:szCs w:val="24"/>
        </w:rPr>
        <w:t xml:space="preserve">O Conselho de Administração, em sua 741ª reunião, de 8 de junho de 2020, </w:t>
      </w:r>
      <w:r w:rsidR="004A7DBF" w:rsidRPr="004A7DBF">
        <w:rPr>
          <w:rFonts w:ascii="Calibri" w:hAnsi="Calibri" w:cs="Calibri"/>
          <w:sz w:val="24"/>
          <w:szCs w:val="24"/>
        </w:rPr>
        <w:t>deliberou pela “Aprovação do Plano de Redução de Despesas, com a ressalva de que o</w:t>
      </w:r>
      <w:r w:rsidRPr="004A7DBF">
        <w:rPr>
          <w:rFonts w:ascii="Calibri" w:hAnsi="Calibri" w:cs="Calibri"/>
          <w:sz w:val="24"/>
          <w:szCs w:val="24"/>
        </w:rPr>
        <w:t xml:space="preserve"> plano </w:t>
      </w:r>
      <w:r w:rsidR="004A7DBF" w:rsidRPr="004A7DBF">
        <w:rPr>
          <w:rFonts w:ascii="Calibri" w:hAnsi="Calibri" w:cs="Calibri"/>
          <w:sz w:val="24"/>
          <w:szCs w:val="24"/>
        </w:rPr>
        <w:t>apresentado pela DIREXE</w:t>
      </w:r>
      <w:r w:rsidR="004A7DBF">
        <w:rPr>
          <w:rFonts w:ascii="Calibri" w:hAnsi="Calibri" w:cs="Calibri"/>
          <w:sz w:val="24"/>
          <w:szCs w:val="24"/>
        </w:rPr>
        <w:t xml:space="preserve"> não demonstrou abordar de maneira exaustiva as possibilidades de redução de gastos da empresa...”</w:t>
      </w:r>
    </w:p>
    <w:p w:rsidR="00C16DDB" w:rsidRDefault="00C16DDB" w:rsidP="00C16DDB">
      <w:pPr>
        <w:tabs>
          <w:tab w:val="left" w:pos="2552"/>
        </w:tabs>
        <w:jc w:val="both"/>
        <w:rPr>
          <w:rFonts w:ascii="Calibri" w:hAnsi="Calibri" w:cs="Calibri"/>
          <w:sz w:val="24"/>
          <w:szCs w:val="24"/>
        </w:rPr>
      </w:pPr>
    </w:p>
    <w:p w:rsidR="00023B1F" w:rsidRPr="00921985" w:rsidRDefault="00023B1F" w:rsidP="00C16DDB">
      <w:pPr>
        <w:tabs>
          <w:tab w:val="left" w:pos="2552"/>
        </w:tabs>
        <w:jc w:val="both"/>
        <w:rPr>
          <w:rFonts w:ascii="Calibri" w:hAnsi="Calibri" w:cs="Calibri"/>
          <w:sz w:val="24"/>
          <w:szCs w:val="24"/>
        </w:rPr>
      </w:pPr>
    </w:p>
    <w:p w:rsidR="00C16DDB" w:rsidRPr="00312424" w:rsidRDefault="00023B1F" w:rsidP="00C16DDB">
      <w:pPr>
        <w:tabs>
          <w:tab w:val="left" w:pos="2552"/>
        </w:tabs>
        <w:jc w:val="both"/>
        <w:rPr>
          <w:rFonts w:ascii="Calibri" w:hAnsi="Calibri" w:cs="Calibri"/>
          <w:b/>
          <w:sz w:val="24"/>
          <w:szCs w:val="24"/>
          <w:u w:val="single"/>
        </w:rPr>
      </w:pPr>
      <w:r>
        <w:rPr>
          <w:rFonts w:ascii="Calibri" w:hAnsi="Calibri" w:cs="Calibri"/>
          <w:b/>
          <w:sz w:val="24"/>
          <w:szCs w:val="24"/>
        </w:rPr>
        <w:t>3</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APRESENTAÇÃO DAS DEMONSTRAÇÕES FINANCEIRAS</w:t>
      </w:r>
    </w:p>
    <w:p w:rsidR="00C16DDB" w:rsidRPr="00312424" w:rsidRDefault="00C16DDB" w:rsidP="00C16DDB">
      <w:pPr>
        <w:pStyle w:val="Recuodecorpodetexto"/>
        <w:ind w:left="1021"/>
        <w:rPr>
          <w:rFonts w:ascii="Calibri" w:hAnsi="Calibri" w:cs="Calibri"/>
          <w:szCs w:val="24"/>
        </w:rPr>
      </w:pPr>
    </w:p>
    <w:p w:rsidR="00B9551E" w:rsidRDefault="00C16DDB" w:rsidP="00C16DDB">
      <w:pPr>
        <w:tabs>
          <w:tab w:val="left" w:pos="2552"/>
        </w:tabs>
        <w:jc w:val="both"/>
        <w:rPr>
          <w:rFonts w:ascii="Calibri" w:hAnsi="Calibri" w:cs="Calibri"/>
          <w:sz w:val="24"/>
          <w:szCs w:val="24"/>
        </w:rPr>
      </w:pPr>
      <w:r w:rsidRPr="00312424">
        <w:rPr>
          <w:rFonts w:ascii="Calibri" w:hAnsi="Calibri" w:cs="Calibri"/>
          <w:sz w:val="24"/>
          <w:szCs w:val="24"/>
        </w:rPr>
        <w:t xml:space="preserve">As demonstrações financeiras da Companhia Docas do Rio de Janeiro, inclusive as notas explicativas, estão apresentadas em </w:t>
      </w:r>
      <w:r w:rsidR="00351A64">
        <w:rPr>
          <w:rFonts w:ascii="Calibri" w:hAnsi="Calibri" w:cs="Calibri"/>
          <w:sz w:val="24"/>
          <w:szCs w:val="24"/>
        </w:rPr>
        <w:t xml:space="preserve">milhares de </w:t>
      </w:r>
      <w:r w:rsidRPr="00312424">
        <w:rPr>
          <w:rFonts w:ascii="Calibri" w:hAnsi="Calibri" w:cs="Calibri"/>
          <w:sz w:val="24"/>
          <w:szCs w:val="24"/>
        </w:rPr>
        <w:t>reais</w:t>
      </w:r>
      <w:r w:rsidR="00351A64">
        <w:rPr>
          <w:rFonts w:ascii="Calibri" w:hAnsi="Calibri" w:cs="Calibri"/>
          <w:sz w:val="24"/>
          <w:szCs w:val="24"/>
        </w:rPr>
        <w:t>, exceto quando indicadas de outra forma,</w:t>
      </w:r>
      <w:r w:rsidR="00027744">
        <w:rPr>
          <w:rFonts w:ascii="Calibri" w:hAnsi="Calibri" w:cs="Calibri"/>
          <w:sz w:val="24"/>
          <w:szCs w:val="24"/>
        </w:rPr>
        <w:t xml:space="preserve"> e</w:t>
      </w:r>
      <w:r w:rsidRPr="00312424">
        <w:rPr>
          <w:rFonts w:ascii="Calibri" w:hAnsi="Calibri" w:cs="Calibri"/>
          <w:sz w:val="24"/>
          <w:szCs w:val="24"/>
        </w:rPr>
        <w:t xml:space="preserve"> estão sendo apresentadas de acordo com as práticas contábeis adotadas no Brasil</w:t>
      </w:r>
      <w:r w:rsidR="00B9551E">
        <w:rPr>
          <w:rFonts w:ascii="Calibri" w:hAnsi="Calibri" w:cs="Calibri"/>
          <w:sz w:val="24"/>
          <w:szCs w:val="24"/>
        </w:rPr>
        <w:t>.</w:t>
      </w:r>
    </w:p>
    <w:p w:rsidR="00B9551E" w:rsidRDefault="00B9551E" w:rsidP="00C16DDB">
      <w:pPr>
        <w:tabs>
          <w:tab w:val="left" w:pos="2552"/>
        </w:tabs>
        <w:jc w:val="both"/>
        <w:rPr>
          <w:rFonts w:ascii="Calibri" w:hAnsi="Calibri" w:cs="Calibri"/>
          <w:sz w:val="24"/>
          <w:szCs w:val="24"/>
        </w:rPr>
      </w:pPr>
    </w:p>
    <w:p w:rsidR="00B9551E" w:rsidRDefault="00B9551E" w:rsidP="00C16DDB">
      <w:pPr>
        <w:tabs>
          <w:tab w:val="left" w:pos="2552"/>
        </w:tabs>
        <w:jc w:val="both"/>
        <w:rPr>
          <w:rFonts w:ascii="Calibri" w:hAnsi="Calibri" w:cs="Calibri"/>
          <w:sz w:val="24"/>
          <w:szCs w:val="24"/>
        </w:rPr>
      </w:pPr>
      <w:r>
        <w:rPr>
          <w:rFonts w:ascii="Calibri" w:hAnsi="Calibri" w:cs="Calibri"/>
          <w:sz w:val="24"/>
          <w:szCs w:val="24"/>
        </w:rPr>
        <w:lastRenderedPageBreak/>
        <w:t xml:space="preserve">A autorização, pela Diretoria Executiva, para conclusão da preparação destas demonstrações, ocorreu </w:t>
      </w:r>
      <w:r w:rsidRPr="000979AF">
        <w:rPr>
          <w:rFonts w:ascii="Calibri" w:hAnsi="Calibri" w:cs="Calibri"/>
          <w:sz w:val="24"/>
          <w:szCs w:val="24"/>
        </w:rPr>
        <w:t xml:space="preserve">em </w:t>
      </w:r>
      <w:r w:rsidR="000979AF">
        <w:rPr>
          <w:rFonts w:ascii="Calibri" w:hAnsi="Calibri" w:cs="Calibri"/>
          <w:sz w:val="24"/>
          <w:szCs w:val="24"/>
        </w:rPr>
        <w:t>8 de outubro</w:t>
      </w:r>
      <w:r w:rsidRPr="000979AF">
        <w:rPr>
          <w:rFonts w:ascii="Calibri" w:hAnsi="Calibri" w:cs="Calibri"/>
          <w:sz w:val="24"/>
          <w:szCs w:val="24"/>
        </w:rPr>
        <w:t xml:space="preserve"> de 2020.</w:t>
      </w:r>
    </w:p>
    <w:p w:rsidR="00023B1F" w:rsidRDefault="00023B1F" w:rsidP="00C16DDB">
      <w:pPr>
        <w:tabs>
          <w:tab w:val="left" w:pos="2552"/>
        </w:tabs>
        <w:jc w:val="both"/>
        <w:rPr>
          <w:rFonts w:ascii="Calibri" w:hAnsi="Calibri" w:cs="Calibri"/>
          <w:sz w:val="24"/>
          <w:szCs w:val="24"/>
        </w:rPr>
      </w:pPr>
    </w:p>
    <w:p w:rsidR="00C16DDB" w:rsidRPr="00312424" w:rsidRDefault="008738AC" w:rsidP="00C16DDB">
      <w:pPr>
        <w:tabs>
          <w:tab w:val="left" w:pos="2552"/>
        </w:tabs>
        <w:jc w:val="both"/>
        <w:rPr>
          <w:rFonts w:ascii="Calibri" w:hAnsi="Calibri" w:cs="Calibri"/>
          <w:b/>
          <w:sz w:val="24"/>
          <w:szCs w:val="24"/>
          <w:u w:val="single"/>
        </w:rPr>
      </w:pPr>
      <w:r>
        <w:rPr>
          <w:rFonts w:ascii="Calibri" w:hAnsi="Calibri" w:cs="Calibri"/>
          <w:b/>
          <w:sz w:val="24"/>
          <w:szCs w:val="24"/>
        </w:rPr>
        <w:t>4</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PRINCIPAIS P</w:t>
      </w:r>
      <w:r w:rsidR="000E32C9">
        <w:rPr>
          <w:rFonts w:ascii="Calibri" w:hAnsi="Calibri" w:cs="Calibri"/>
          <w:b/>
          <w:sz w:val="24"/>
          <w:szCs w:val="24"/>
          <w:u w:val="single"/>
        </w:rPr>
        <w:t>OLÍTICAS</w:t>
      </w:r>
      <w:r w:rsidR="00C16DDB" w:rsidRPr="00312424">
        <w:rPr>
          <w:rFonts w:ascii="Calibri" w:hAnsi="Calibri" w:cs="Calibri"/>
          <w:b/>
          <w:sz w:val="24"/>
          <w:szCs w:val="24"/>
          <w:u w:val="single"/>
        </w:rPr>
        <w:t xml:space="preserve"> CONTÁBEIS</w:t>
      </w:r>
    </w:p>
    <w:p w:rsidR="00C16DDB" w:rsidRPr="00312424" w:rsidRDefault="00C16DDB" w:rsidP="00C16DDB">
      <w:pPr>
        <w:tabs>
          <w:tab w:val="left" w:pos="2552"/>
        </w:tabs>
        <w:jc w:val="both"/>
        <w:rPr>
          <w:rFonts w:ascii="Calibri" w:hAnsi="Calibri" w:cs="Calibri"/>
          <w:b/>
          <w:sz w:val="24"/>
          <w:szCs w:val="24"/>
        </w:rPr>
      </w:pPr>
    </w:p>
    <w:p w:rsidR="00C16DDB" w:rsidRPr="00312424" w:rsidRDefault="000E32C9" w:rsidP="00905F4A">
      <w:pPr>
        <w:tabs>
          <w:tab w:val="left" w:pos="2552"/>
        </w:tabs>
        <w:jc w:val="both"/>
        <w:rPr>
          <w:rFonts w:ascii="Calibri" w:hAnsi="Calibri" w:cs="Calibri"/>
          <w:sz w:val="24"/>
          <w:szCs w:val="24"/>
        </w:rPr>
      </w:pPr>
      <w:r>
        <w:rPr>
          <w:rFonts w:ascii="Calibri" w:hAnsi="Calibri" w:cs="Calibri"/>
          <w:sz w:val="24"/>
          <w:szCs w:val="24"/>
        </w:rPr>
        <w:t>As principais políticas contábeis aplicadas na preparação destas informações contábeis estão definidas abaixo.</w:t>
      </w:r>
    </w:p>
    <w:p w:rsidR="00C16DDB" w:rsidRPr="00312424" w:rsidRDefault="00C16DDB" w:rsidP="00905F4A">
      <w:pPr>
        <w:tabs>
          <w:tab w:val="left" w:pos="2552"/>
        </w:tabs>
        <w:jc w:val="both"/>
        <w:rPr>
          <w:rFonts w:ascii="Calibri" w:hAnsi="Calibri" w:cs="Calibri"/>
          <w:b/>
          <w:sz w:val="24"/>
          <w:szCs w:val="24"/>
        </w:rPr>
      </w:pPr>
    </w:p>
    <w:p w:rsidR="008738AC" w:rsidRPr="008738AC" w:rsidRDefault="008738AC" w:rsidP="00905F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rsidR="008738AC" w:rsidRPr="008738AC" w:rsidRDefault="008738AC" w:rsidP="00905F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rPr>
        <w:t xml:space="preserve">Apuração do </w:t>
      </w:r>
      <w:r w:rsidR="00947D01">
        <w:rPr>
          <w:rFonts w:ascii="Calibri" w:hAnsi="Calibri" w:cs="Calibri"/>
          <w:b/>
          <w:szCs w:val="24"/>
          <w:lang w:val="pt-BR"/>
        </w:rPr>
        <w:t>Resultado</w:t>
      </w:r>
    </w:p>
    <w:p w:rsidR="00C16DDB" w:rsidRPr="00312424" w:rsidRDefault="00C16DDB" w:rsidP="00905F4A">
      <w:pPr>
        <w:pStyle w:val="Recuodecorpodetexto"/>
        <w:widowControl/>
        <w:autoSpaceDE w:val="0"/>
        <w:autoSpaceDN w:val="0"/>
        <w:ind w:left="851"/>
        <w:rPr>
          <w:rFonts w:ascii="Calibri" w:hAnsi="Calibri" w:cs="Calibri"/>
          <w:b/>
          <w:szCs w:val="24"/>
          <w:lang w:val="pt-BR"/>
        </w:rPr>
      </w:pPr>
    </w:p>
    <w:p w:rsidR="00C16DDB" w:rsidRPr="00312424" w:rsidRDefault="00C16DDB" w:rsidP="00905F4A">
      <w:pPr>
        <w:pStyle w:val="Recuodecorpodetexto"/>
        <w:widowControl/>
        <w:autoSpaceDE w:val="0"/>
        <w:autoSpaceDN w:val="0"/>
        <w:ind w:left="851"/>
        <w:rPr>
          <w:rFonts w:ascii="Calibri" w:hAnsi="Calibri" w:cs="Calibri"/>
          <w:b/>
          <w:szCs w:val="24"/>
          <w:lang w:val="pt-BR"/>
        </w:rPr>
      </w:pPr>
      <w:r w:rsidRPr="00312424">
        <w:rPr>
          <w:rFonts w:ascii="Calibri" w:hAnsi="Calibri" w:cs="Calibri"/>
          <w:szCs w:val="24"/>
        </w:rPr>
        <w:t>O resultado é apurado em conformidade com o regime contábil de competência entre exercícios</w:t>
      </w:r>
      <w:r w:rsidRPr="00312424">
        <w:rPr>
          <w:rFonts w:ascii="Calibri" w:hAnsi="Calibri" w:cs="Calibri"/>
          <w:szCs w:val="24"/>
          <w:lang w:val="pt-BR"/>
        </w:rPr>
        <w:t>, sendo que a</w:t>
      </w:r>
      <w:r w:rsidRPr="00312424">
        <w:rPr>
          <w:rFonts w:ascii="Calibri" w:hAnsi="Calibri" w:cs="Calibri"/>
          <w:szCs w:val="24"/>
        </w:rPr>
        <w:t xml:space="preserve"> receita compreende o valor justo da contraprestação recebida ou a receber pela </w:t>
      </w:r>
      <w:r w:rsidRPr="00312424">
        <w:rPr>
          <w:rFonts w:ascii="Calibri" w:hAnsi="Calibri" w:cs="Calibri"/>
          <w:szCs w:val="24"/>
          <w:lang w:val="pt-BR"/>
        </w:rPr>
        <w:t>prestação dos serviços</w:t>
      </w:r>
      <w:r w:rsidR="000E32C9">
        <w:rPr>
          <w:rFonts w:ascii="Calibri" w:hAnsi="Calibri" w:cs="Calibri"/>
          <w:szCs w:val="24"/>
          <w:lang w:val="pt-BR"/>
        </w:rPr>
        <w:t xml:space="preserve"> (tarifas portuárias)</w:t>
      </w:r>
      <w:r w:rsidRPr="00312424">
        <w:rPr>
          <w:rFonts w:ascii="Calibri" w:hAnsi="Calibri" w:cs="Calibri"/>
          <w:szCs w:val="24"/>
          <w:lang w:val="pt-BR"/>
        </w:rPr>
        <w:t xml:space="preserve">  e arrendamento de áreas portuárias, </w:t>
      </w:r>
      <w:r w:rsidRPr="00312424">
        <w:rPr>
          <w:rFonts w:ascii="Calibri" w:hAnsi="Calibri" w:cs="Calibri"/>
          <w:szCs w:val="24"/>
        </w:rPr>
        <w:t>apresentada líquida dos impostos.</w:t>
      </w:r>
      <w:r w:rsidRPr="00312424">
        <w:rPr>
          <w:rFonts w:ascii="Calibri" w:hAnsi="Calibri" w:cs="Calibri"/>
          <w:szCs w:val="24"/>
          <w:lang w:val="pt-BR"/>
        </w:rPr>
        <w:t xml:space="preserve"> </w:t>
      </w:r>
      <w:r w:rsidRPr="00312424">
        <w:rPr>
          <w:rFonts w:ascii="Calibri" w:hAnsi="Calibri" w:cs="Calibri"/>
          <w:szCs w:val="24"/>
        </w:rPr>
        <w:t>A C</w:t>
      </w:r>
      <w:r w:rsidRPr="00312424">
        <w:rPr>
          <w:rFonts w:ascii="Calibri" w:hAnsi="Calibri" w:cs="Calibri"/>
          <w:szCs w:val="24"/>
          <w:lang w:val="pt-BR"/>
        </w:rPr>
        <w:t xml:space="preserve">DRJ </w:t>
      </w:r>
      <w:r w:rsidRPr="00312424">
        <w:rPr>
          <w:rFonts w:ascii="Calibri" w:hAnsi="Calibri" w:cs="Calibri"/>
          <w:szCs w:val="24"/>
        </w:rPr>
        <w:t>reconhece a receita quando o valor pode ser mensurado com segurança</w:t>
      </w:r>
      <w:r w:rsidRPr="00312424">
        <w:rPr>
          <w:rFonts w:ascii="Calibri" w:hAnsi="Calibri" w:cs="Calibri"/>
          <w:szCs w:val="24"/>
          <w:lang w:val="pt-BR"/>
        </w:rPr>
        <w:t xml:space="preserve"> e quando seja</w:t>
      </w:r>
      <w:r w:rsidRPr="00312424">
        <w:rPr>
          <w:rFonts w:ascii="Calibri" w:hAnsi="Calibri" w:cs="Calibri"/>
          <w:szCs w:val="24"/>
        </w:rPr>
        <w:t xml:space="preserve"> provável que benefícios econômicos</w:t>
      </w:r>
      <w:r w:rsidRPr="00312424">
        <w:rPr>
          <w:rFonts w:ascii="Calibri" w:hAnsi="Calibri" w:cs="Calibri"/>
          <w:szCs w:val="24"/>
          <w:lang w:val="pt-BR"/>
        </w:rPr>
        <w:t xml:space="preserve"> </w:t>
      </w:r>
      <w:r w:rsidRPr="00312424">
        <w:rPr>
          <w:rFonts w:ascii="Calibri" w:hAnsi="Calibri" w:cs="Calibri"/>
          <w:szCs w:val="24"/>
        </w:rPr>
        <w:t>futuros fluam para a entidade</w:t>
      </w:r>
      <w:r w:rsidRPr="00312424">
        <w:rPr>
          <w:rFonts w:ascii="Calibri" w:hAnsi="Calibri" w:cs="Calibri"/>
          <w:szCs w:val="24"/>
          <w:lang w:val="pt-BR"/>
        </w:rPr>
        <w:t xml:space="preserve"> e</w:t>
      </w:r>
      <w:r w:rsidR="00CF6655">
        <w:rPr>
          <w:rFonts w:ascii="Calibri" w:hAnsi="Calibri" w:cs="Calibri"/>
          <w:szCs w:val="24"/>
          <w:lang w:val="pt-BR"/>
        </w:rPr>
        <w:t>,</w:t>
      </w:r>
      <w:r w:rsidRPr="00312424">
        <w:rPr>
          <w:rFonts w:ascii="Calibri" w:hAnsi="Calibri" w:cs="Calibri"/>
          <w:szCs w:val="24"/>
          <w:lang w:val="pt-BR"/>
        </w:rPr>
        <w:t xml:space="preserve"> ainda,</w:t>
      </w:r>
      <w:r w:rsidRPr="00312424">
        <w:rPr>
          <w:rFonts w:ascii="Calibri" w:hAnsi="Calibri" w:cs="Calibri"/>
          <w:szCs w:val="24"/>
        </w:rPr>
        <w:t xml:space="preserve"> quando critérios específicos tiverem sido atendidos para cada uma das atividades da</w:t>
      </w:r>
      <w:r w:rsidRPr="00312424">
        <w:rPr>
          <w:rFonts w:ascii="Calibri" w:hAnsi="Calibri" w:cs="Calibri"/>
          <w:szCs w:val="24"/>
          <w:lang w:val="pt-BR"/>
        </w:rPr>
        <w:t xml:space="preserve"> </w:t>
      </w:r>
      <w:r w:rsidRPr="00312424">
        <w:rPr>
          <w:rFonts w:ascii="Calibri" w:hAnsi="Calibri" w:cs="Calibri"/>
          <w:szCs w:val="24"/>
        </w:rPr>
        <w:t>Companhia.</w:t>
      </w:r>
    </w:p>
    <w:p w:rsidR="00C16DDB" w:rsidRPr="00312424" w:rsidRDefault="00C16DDB" w:rsidP="00905F4A">
      <w:pPr>
        <w:pStyle w:val="Recuodecorpodetexto"/>
        <w:ind w:left="1361"/>
        <w:rPr>
          <w:rFonts w:ascii="Calibri" w:hAnsi="Calibri" w:cs="Calibri"/>
          <w:szCs w:val="24"/>
        </w:rPr>
      </w:pPr>
    </w:p>
    <w:p w:rsidR="00C16DDB" w:rsidRPr="00312424" w:rsidRDefault="00947D01" w:rsidP="00905F4A">
      <w:pPr>
        <w:pStyle w:val="Recuodecorpodetexto"/>
        <w:widowControl/>
        <w:numPr>
          <w:ilvl w:val="1"/>
          <w:numId w:val="5"/>
        </w:numPr>
        <w:autoSpaceDE w:val="0"/>
        <w:autoSpaceDN w:val="0"/>
        <w:ind w:left="993" w:hanging="567"/>
        <w:rPr>
          <w:rFonts w:ascii="Calibri" w:hAnsi="Calibri" w:cs="Calibri"/>
          <w:b/>
          <w:i/>
          <w:szCs w:val="24"/>
        </w:rPr>
      </w:pPr>
      <w:r>
        <w:rPr>
          <w:rFonts w:ascii="Calibri" w:hAnsi="Calibri" w:cs="Calibri"/>
          <w:b/>
          <w:szCs w:val="24"/>
          <w:lang w:val="pt-BR"/>
        </w:rPr>
        <w:t>Caixa e Equivalentes de Caixa</w:t>
      </w:r>
    </w:p>
    <w:p w:rsidR="00C16DDB" w:rsidRPr="00312424" w:rsidRDefault="00C16DDB" w:rsidP="00905F4A">
      <w:pPr>
        <w:pStyle w:val="Recuodecorpodetexto"/>
        <w:ind w:left="1389"/>
        <w:rPr>
          <w:rFonts w:ascii="Calibri" w:hAnsi="Calibri" w:cs="Calibri"/>
          <w:szCs w:val="24"/>
        </w:rPr>
      </w:pPr>
    </w:p>
    <w:p w:rsidR="00C16DDB" w:rsidRPr="00312424" w:rsidRDefault="00C16DDB" w:rsidP="00905F4A">
      <w:pPr>
        <w:pStyle w:val="Recuodecorpodetexto"/>
        <w:ind w:left="851"/>
        <w:rPr>
          <w:rFonts w:ascii="Calibri" w:hAnsi="Calibri" w:cs="Calibri"/>
          <w:szCs w:val="24"/>
        </w:rPr>
      </w:pPr>
      <w:r w:rsidRPr="00312424">
        <w:rPr>
          <w:rFonts w:ascii="Calibri" w:hAnsi="Calibri" w:cs="Calibri"/>
          <w:szCs w:val="24"/>
          <w:lang w:val="pt-BR"/>
        </w:rPr>
        <w:t xml:space="preserve">Caixa e </w:t>
      </w:r>
      <w:r w:rsidR="00947D01">
        <w:rPr>
          <w:rFonts w:ascii="Calibri" w:hAnsi="Calibri" w:cs="Calibri"/>
          <w:szCs w:val="24"/>
          <w:lang w:val="pt-BR"/>
        </w:rPr>
        <w:t>e</w:t>
      </w:r>
      <w:r w:rsidRPr="00312424">
        <w:rPr>
          <w:rFonts w:ascii="Calibri" w:hAnsi="Calibri" w:cs="Calibri"/>
          <w:szCs w:val="24"/>
          <w:lang w:val="pt-BR"/>
        </w:rPr>
        <w:t>quivalentes incluem dinheiro em caixa, saldos bancários e aplicações financeiras de curto prazo</w:t>
      </w:r>
      <w:r w:rsidR="00CF6655">
        <w:rPr>
          <w:rFonts w:ascii="Calibri" w:hAnsi="Calibri" w:cs="Calibri"/>
          <w:szCs w:val="24"/>
          <w:lang w:val="pt-BR"/>
        </w:rPr>
        <w:t>,</w:t>
      </w:r>
      <w:r w:rsidRPr="00312424">
        <w:rPr>
          <w:rFonts w:ascii="Calibri" w:hAnsi="Calibri" w:cs="Calibri"/>
          <w:szCs w:val="24"/>
          <w:lang w:val="pt-BR"/>
        </w:rPr>
        <w:t xml:space="preserve"> de risco insignificante de mudança de valor e de alta liquidez</w:t>
      </w:r>
      <w:r w:rsidRPr="00312424">
        <w:rPr>
          <w:rFonts w:ascii="Calibri" w:hAnsi="Calibri" w:cs="Calibri"/>
          <w:szCs w:val="24"/>
        </w:rPr>
        <w:t>.</w:t>
      </w:r>
    </w:p>
    <w:p w:rsidR="00C16DDB" w:rsidRPr="00312424" w:rsidRDefault="00C16DDB" w:rsidP="00905F4A">
      <w:pPr>
        <w:pStyle w:val="Recuodecorpodetexto"/>
        <w:ind w:left="1361"/>
        <w:rPr>
          <w:rFonts w:ascii="Calibri" w:hAnsi="Calibri" w:cs="Calibri"/>
          <w:szCs w:val="24"/>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rPr>
        <w:t>C</w:t>
      </w:r>
      <w:r w:rsidRPr="00312424">
        <w:rPr>
          <w:rFonts w:ascii="Calibri" w:hAnsi="Calibri" w:cs="Calibri"/>
          <w:b/>
          <w:szCs w:val="24"/>
          <w:lang w:val="pt-BR"/>
        </w:rPr>
        <w:t>aixa Restrito</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947D01" w:rsidP="00905F4A">
      <w:pPr>
        <w:pStyle w:val="Recuodecorpodetexto"/>
        <w:widowControl/>
        <w:autoSpaceDE w:val="0"/>
        <w:autoSpaceDN w:val="0"/>
        <w:ind w:left="851"/>
        <w:rPr>
          <w:rFonts w:ascii="Calibri" w:hAnsi="Calibri" w:cs="Calibri"/>
          <w:szCs w:val="24"/>
        </w:rPr>
      </w:pPr>
      <w:r>
        <w:rPr>
          <w:rFonts w:ascii="Calibri" w:hAnsi="Calibri" w:cs="Calibri"/>
          <w:szCs w:val="24"/>
          <w:lang w:val="pt-BR"/>
        </w:rPr>
        <w:t>R</w:t>
      </w:r>
      <w:r w:rsidR="00C16DDB" w:rsidRPr="00312424">
        <w:rPr>
          <w:rFonts w:ascii="Calibri" w:hAnsi="Calibri" w:cs="Calibri"/>
          <w:szCs w:val="24"/>
          <w:lang w:val="pt-BR"/>
        </w:rPr>
        <w:t>epresenta os depósitos em Conta Única do Tesouro Nacional efetuados pela União, disponíveis para compromissos específicos em Investimentos</w:t>
      </w:r>
      <w:r w:rsidR="000E32C9">
        <w:rPr>
          <w:rFonts w:ascii="Calibri" w:hAnsi="Calibri" w:cs="Calibri"/>
          <w:szCs w:val="24"/>
          <w:lang w:val="pt-BR"/>
        </w:rPr>
        <w:t xml:space="preserve"> e outros</w:t>
      </w:r>
      <w:r w:rsidR="00C16DDB" w:rsidRPr="00312424">
        <w:rPr>
          <w:rFonts w:ascii="Calibri" w:hAnsi="Calibri" w:cs="Calibri"/>
          <w:szCs w:val="24"/>
          <w:lang w:val="pt-BR"/>
        </w:rPr>
        <w:t>. Os valores são remetidos por meio do Sistema Integrado de Administração Financeira – SIAFI.</w:t>
      </w:r>
    </w:p>
    <w:p w:rsidR="00C16DDB" w:rsidRPr="00312424" w:rsidRDefault="00C16DDB" w:rsidP="00905F4A">
      <w:pPr>
        <w:pStyle w:val="Recuodecorpodetexto"/>
        <w:widowControl/>
        <w:autoSpaceDE w:val="0"/>
        <w:autoSpaceDN w:val="0"/>
        <w:ind w:left="360" w:firstLine="1058"/>
        <w:rPr>
          <w:rFonts w:ascii="Calibri" w:hAnsi="Calibri" w:cs="Calibri"/>
          <w:szCs w:val="24"/>
          <w:lang w:val="pt-BR"/>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Instrumentos financeiros</w:t>
      </w:r>
    </w:p>
    <w:p w:rsidR="00C16DDB" w:rsidRPr="00312424" w:rsidRDefault="00C16DDB" w:rsidP="00905F4A">
      <w:pPr>
        <w:pStyle w:val="Recuodecorpodetexto"/>
        <w:widowControl/>
        <w:autoSpaceDE w:val="0"/>
        <w:autoSpaceDN w:val="0"/>
        <w:rPr>
          <w:rFonts w:ascii="Calibri" w:hAnsi="Calibri" w:cs="Calibri"/>
          <w:szCs w:val="24"/>
          <w:lang w:val="pt-BR"/>
        </w:rPr>
      </w:pPr>
    </w:p>
    <w:p w:rsidR="00C16DDB" w:rsidRPr="00312424" w:rsidRDefault="00C16DDB" w:rsidP="00905F4A">
      <w:pPr>
        <w:pStyle w:val="Recuodecorpodetexto"/>
        <w:widowControl/>
        <w:numPr>
          <w:ilvl w:val="0"/>
          <w:numId w:val="7"/>
        </w:numPr>
        <w:autoSpaceDE w:val="0"/>
        <w:autoSpaceDN w:val="0"/>
        <w:rPr>
          <w:rFonts w:ascii="Calibri" w:hAnsi="Calibri" w:cs="Calibri"/>
          <w:b/>
          <w:szCs w:val="24"/>
        </w:rPr>
      </w:pPr>
      <w:r w:rsidRPr="00312424">
        <w:rPr>
          <w:rFonts w:ascii="Calibri" w:hAnsi="Calibri" w:cs="Calibri"/>
          <w:b/>
          <w:szCs w:val="24"/>
          <w:lang w:val="pt-BR"/>
        </w:rPr>
        <w:t xml:space="preserve">Ativos </w:t>
      </w:r>
      <w:r w:rsidR="007B713C">
        <w:rPr>
          <w:rFonts w:ascii="Calibri" w:hAnsi="Calibri" w:cs="Calibri"/>
          <w:b/>
          <w:szCs w:val="24"/>
          <w:lang w:val="pt-BR"/>
        </w:rPr>
        <w:t>F</w:t>
      </w:r>
      <w:r w:rsidRPr="00312424">
        <w:rPr>
          <w:rFonts w:ascii="Calibri" w:hAnsi="Calibri" w:cs="Calibri"/>
          <w:b/>
          <w:szCs w:val="24"/>
          <w:lang w:val="pt-BR"/>
        </w:rPr>
        <w:t>inanceiros</w:t>
      </w:r>
    </w:p>
    <w:p w:rsidR="00AF1EA7" w:rsidRDefault="00AF1EA7" w:rsidP="00905F4A">
      <w:pPr>
        <w:pStyle w:val="Recuodecorpodetexto"/>
        <w:widowControl/>
        <w:autoSpaceDE w:val="0"/>
        <w:autoSpaceDN w:val="0"/>
        <w:rPr>
          <w:rFonts w:ascii="Calibri" w:hAnsi="Calibri" w:cs="Calibri"/>
          <w:szCs w:val="24"/>
          <w:lang w:val="pt-BR"/>
        </w:rPr>
      </w:pPr>
    </w:p>
    <w:p w:rsidR="00AF1EA7" w:rsidRPr="007B713C" w:rsidRDefault="007B713C" w:rsidP="00905F4A">
      <w:pPr>
        <w:pStyle w:val="Recuodecorpodetexto"/>
        <w:widowControl/>
        <w:autoSpaceDE w:val="0"/>
        <w:autoSpaceDN w:val="0"/>
        <w:ind w:left="1701"/>
        <w:rPr>
          <w:rFonts w:ascii="Calibri" w:hAnsi="Calibri" w:cs="Calibri"/>
          <w:b/>
          <w:szCs w:val="24"/>
          <w:lang w:val="pt-BR"/>
        </w:rPr>
      </w:pPr>
      <w:r w:rsidRPr="007B713C">
        <w:rPr>
          <w:rFonts w:ascii="Calibri" w:hAnsi="Calibri" w:cs="Calibri"/>
          <w:b/>
          <w:szCs w:val="24"/>
          <w:lang w:val="pt-BR"/>
        </w:rPr>
        <w:t>a)</w:t>
      </w:r>
      <w:r w:rsidR="00AF1EA7" w:rsidRPr="007B713C">
        <w:rPr>
          <w:rFonts w:ascii="Calibri" w:hAnsi="Calibri" w:cs="Calibri"/>
          <w:b/>
          <w:szCs w:val="24"/>
          <w:lang w:val="pt-BR"/>
        </w:rPr>
        <w:t xml:space="preserve"> Reconhecimento </w:t>
      </w:r>
      <w:r w:rsidR="00153B3C">
        <w:rPr>
          <w:rFonts w:ascii="Calibri" w:hAnsi="Calibri" w:cs="Calibri"/>
          <w:b/>
          <w:szCs w:val="24"/>
          <w:lang w:val="pt-BR"/>
        </w:rPr>
        <w:t>I</w:t>
      </w:r>
      <w:r w:rsidR="00AF1EA7" w:rsidRPr="007B713C">
        <w:rPr>
          <w:rFonts w:ascii="Calibri" w:hAnsi="Calibri" w:cs="Calibri"/>
          <w:b/>
          <w:szCs w:val="24"/>
          <w:lang w:val="pt-BR"/>
        </w:rPr>
        <w:t xml:space="preserve">nicial e </w:t>
      </w:r>
      <w:r w:rsidR="00153B3C">
        <w:rPr>
          <w:rFonts w:ascii="Calibri" w:hAnsi="Calibri" w:cs="Calibri"/>
          <w:b/>
          <w:szCs w:val="24"/>
          <w:lang w:val="pt-BR"/>
        </w:rPr>
        <w:t>M</w:t>
      </w:r>
      <w:r w:rsidR="00AF1EA7" w:rsidRPr="007B713C">
        <w:rPr>
          <w:rFonts w:ascii="Calibri" w:hAnsi="Calibri" w:cs="Calibri"/>
          <w:b/>
          <w:szCs w:val="24"/>
          <w:lang w:val="pt-BR"/>
        </w:rPr>
        <w:t>ensuração</w:t>
      </w:r>
    </w:p>
    <w:p w:rsidR="00AF1EA7" w:rsidRDefault="00C16DDB" w:rsidP="00905F4A">
      <w:pPr>
        <w:pStyle w:val="Recuodecorpodetexto"/>
        <w:widowControl/>
        <w:autoSpaceDE w:val="0"/>
        <w:autoSpaceDN w:val="0"/>
        <w:ind w:left="1701"/>
        <w:rPr>
          <w:rFonts w:ascii="Calibri" w:hAnsi="Calibri" w:cs="Calibri"/>
          <w:szCs w:val="24"/>
          <w:lang w:val="pt-BR"/>
        </w:rPr>
      </w:pPr>
      <w:r w:rsidRPr="00312424">
        <w:rPr>
          <w:rFonts w:ascii="Calibri" w:hAnsi="Calibri" w:cs="Calibri"/>
          <w:szCs w:val="24"/>
          <w:lang w:val="pt-BR"/>
        </w:rPr>
        <w:t xml:space="preserve">Os </w:t>
      </w:r>
      <w:r w:rsidR="00947D01">
        <w:rPr>
          <w:rFonts w:ascii="Calibri" w:hAnsi="Calibri" w:cs="Calibri"/>
          <w:szCs w:val="24"/>
          <w:lang w:val="pt-BR"/>
        </w:rPr>
        <w:t>a</w:t>
      </w:r>
      <w:r w:rsidRPr="00312424">
        <w:rPr>
          <w:rFonts w:ascii="Calibri" w:hAnsi="Calibri" w:cs="Calibri"/>
          <w:szCs w:val="24"/>
          <w:lang w:val="pt-BR"/>
        </w:rPr>
        <w:t xml:space="preserve">tivos </w:t>
      </w:r>
      <w:r w:rsidR="00947D01">
        <w:rPr>
          <w:rFonts w:ascii="Calibri" w:hAnsi="Calibri" w:cs="Calibri"/>
          <w:szCs w:val="24"/>
          <w:lang w:val="pt-BR"/>
        </w:rPr>
        <w:t>f</w:t>
      </w:r>
      <w:r w:rsidRPr="00312424">
        <w:rPr>
          <w:rFonts w:ascii="Calibri" w:hAnsi="Calibri" w:cs="Calibri"/>
          <w:szCs w:val="24"/>
          <w:lang w:val="pt-BR"/>
        </w:rPr>
        <w:t xml:space="preserve">inanceiros </w:t>
      </w:r>
      <w:r w:rsidR="00AF1EA7">
        <w:rPr>
          <w:rFonts w:ascii="Calibri" w:hAnsi="Calibri" w:cs="Calibri"/>
          <w:szCs w:val="24"/>
          <w:lang w:val="pt-BR"/>
        </w:rPr>
        <w:t xml:space="preserve">são classificados como ativos financeiros a valor justo por meio do resultado ou empréstimos e recebíveis. A </w:t>
      </w:r>
      <w:r w:rsidR="003924AB">
        <w:rPr>
          <w:rFonts w:ascii="Calibri" w:hAnsi="Calibri" w:cs="Calibri"/>
          <w:szCs w:val="24"/>
          <w:lang w:val="pt-BR"/>
        </w:rPr>
        <w:t>Companhia</w:t>
      </w:r>
      <w:r w:rsidR="00AF1EA7">
        <w:rPr>
          <w:rFonts w:ascii="Calibri" w:hAnsi="Calibri" w:cs="Calibri"/>
          <w:szCs w:val="24"/>
          <w:lang w:val="pt-BR"/>
        </w:rPr>
        <w:t xml:space="preserve"> determina a classificação dos seus ativos financeiros no momento do seu reconhecimento inicial, quando ele se torna parte das disposições contratuais do instrumento.</w:t>
      </w:r>
    </w:p>
    <w:p w:rsidR="00AF1EA7" w:rsidRDefault="00AF1EA7" w:rsidP="00905F4A">
      <w:pPr>
        <w:pStyle w:val="Recuodecorpodetexto"/>
        <w:widowControl/>
        <w:autoSpaceDE w:val="0"/>
        <w:autoSpaceDN w:val="0"/>
        <w:ind w:left="1701"/>
        <w:rPr>
          <w:rFonts w:ascii="Calibri" w:hAnsi="Calibri" w:cs="Calibri"/>
          <w:szCs w:val="24"/>
          <w:lang w:val="pt-BR"/>
        </w:rPr>
      </w:pPr>
    </w:p>
    <w:p w:rsidR="00AF1EA7" w:rsidRDefault="00AF1EA7"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Ativos financeiros são reconhecidos </w:t>
      </w:r>
      <w:r w:rsidRPr="00AF1EA7">
        <w:rPr>
          <w:rFonts w:ascii="Calibri" w:hAnsi="Calibri" w:cs="Calibri"/>
          <w:szCs w:val="24"/>
          <w:lang w:val="pt-BR"/>
        </w:rPr>
        <w:t xml:space="preserve">inicialmente ao valor justo, acrescidos, no caso de investimentos não designados a valor justo por meio do resultado, dos custos de transação que sejam diretamente atribuíveis à aquisição do ativo financeiro. Os ativos financeiros da </w:t>
      </w:r>
      <w:r w:rsidR="003924AB">
        <w:rPr>
          <w:rFonts w:ascii="Calibri" w:hAnsi="Calibri" w:cs="Calibri"/>
          <w:szCs w:val="24"/>
          <w:lang w:val="pt-BR"/>
        </w:rPr>
        <w:t>Companhia</w:t>
      </w:r>
      <w:r w:rsidRPr="00AF1EA7">
        <w:rPr>
          <w:rFonts w:ascii="Calibri" w:hAnsi="Calibri" w:cs="Calibri"/>
          <w:szCs w:val="24"/>
          <w:lang w:val="pt-BR"/>
        </w:rPr>
        <w:t xml:space="preserve"> incluem caixa e equivalentes de caixa, contas a receber de clientes e outras contas a receber.</w:t>
      </w:r>
    </w:p>
    <w:p w:rsidR="00AF1EA7" w:rsidRDefault="00AF1EA7" w:rsidP="00905F4A">
      <w:pPr>
        <w:pStyle w:val="Recuodecorpodetexto"/>
        <w:widowControl/>
        <w:autoSpaceDE w:val="0"/>
        <w:autoSpaceDN w:val="0"/>
        <w:ind w:left="1701"/>
        <w:rPr>
          <w:rFonts w:ascii="Calibri" w:hAnsi="Calibri" w:cs="Calibri"/>
          <w:szCs w:val="24"/>
          <w:lang w:val="pt-BR"/>
        </w:rPr>
      </w:pPr>
    </w:p>
    <w:p w:rsidR="00BA6DDB" w:rsidRDefault="00BA6DDB" w:rsidP="00905F4A">
      <w:pPr>
        <w:pStyle w:val="Recuodecorpodetexto"/>
        <w:widowControl/>
        <w:autoSpaceDE w:val="0"/>
        <w:autoSpaceDN w:val="0"/>
        <w:ind w:left="1701"/>
        <w:rPr>
          <w:rFonts w:ascii="Calibri" w:hAnsi="Calibri" w:cs="Calibri"/>
          <w:szCs w:val="24"/>
          <w:lang w:val="pt-BR"/>
        </w:rPr>
      </w:pPr>
    </w:p>
    <w:p w:rsidR="00AF1EA7" w:rsidRPr="007B713C" w:rsidRDefault="007B713C" w:rsidP="00905F4A">
      <w:pPr>
        <w:pStyle w:val="Recuodecorpodetexto"/>
        <w:widowControl/>
        <w:autoSpaceDE w:val="0"/>
        <w:autoSpaceDN w:val="0"/>
        <w:ind w:left="1701"/>
        <w:rPr>
          <w:rFonts w:ascii="Calibri" w:hAnsi="Calibri" w:cs="Calibri"/>
          <w:b/>
          <w:szCs w:val="24"/>
          <w:lang w:val="pt-BR"/>
        </w:rPr>
      </w:pPr>
      <w:r w:rsidRPr="007B713C">
        <w:rPr>
          <w:rFonts w:ascii="Calibri" w:hAnsi="Calibri" w:cs="Calibri"/>
          <w:b/>
          <w:szCs w:val="24"/>
          <w:lang w:val="pt-BR"/>
        </w:rPr>
        <w:lastRenderedPageBreak/>
        <w:t>b)</w:t>
      </w:r>
      <w:r w:rsidR="00AF1EA7" w:rsidRPr="007B713C">
        <w:rPr>
          <w:rFonts w:ascii="Calibri" w:hAnsi="Calibri" w:cs="Calibri"/>
          <w:b/>
          <w:szCs w:val="24"/>
          <w:lang w:val="pt-BR"/>
        </w:rPr>
        <w:t xml:space="preserve"> Mensuração </w:t>
      </w:r>
      <w:r w:rsidR="00153B3C">
        <w:rPr>
          <w:rFonts w:ascii="Calibri" w:hAnsi="Calibri" w:cs="Calibri"/>
          <w:b/>
          <w:szCs w:val="24"/>
          <w:lang w:val="pt-BR"/>
        </w:rPr>
        <w:t>S</w:t>
      </w:r>
      <w:r w:rsidR="00AF1EA7" w:rsidRPr="007B713C">
        <w:rPr>
          <w:rFonts w:ascii="Calibri" w:hAnsi="Calibri" w:cs="Calibri"/>
          <w:b/>
          <w:szCs w:val="24"/>
          <w:lang w:val="pt-BR"/>
        </w:rPr>
        <w:t>ubsequente</w:t>
      </w:r>
    </w:p>
    <w:p w:rsidR="00AF1EA7" w:rsidRDefault="00AF1EA7"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A mensuração subsequente</w:t>
      </w:r>
      <w:r w:rsidRPr="00AF1EA7">
        <w:rPr>
          <w:rFonts w:ascii="Calibri" w:hAnsi="Calibri" w:cs="Calibri"/>
          <w:szCs w:val="24"/>
          <w:lang w:val="pt-BR"/>
        </w:rPr>
        <w:t xml:space="preserve"> de ativos financeiros depende da sua classificação, que pode ser da seguinte forma:</w:t>
      </w:r>
    </w:p>
    <w:p w:rsidR="00AF1EA7" w:rsidRDefault="00AF1EA7" w:rsidP="00905F4A">
      <w:pPr>
        <w:pStyle w:val="Recuodecorpodetexto"/>
        <w:widowControl/>
        <w:autoSpaceDE w:val="0"/>
        <w:autoSpaceDN w:val="0"/>
        <w:ind w:left="1701"/>
        <w:rPr>
          <w:rFonts w:ascii="Calibri" w:hAnsi="Calibri" w:cs="Calibri"/>
          <w:szCs w:val="24"/>
          <w:lang w:val="pt-BR"/>
        </w:rPr>
      </w:pPr>
    </w:p>
    <w:p w:rsidR="00AF1EA7" w:rsidRPr="00AF1EA7" w:rsidRDefault="00AF1EA7" w:rsidP="00905F4A">
      <w:pPr>
        <w:pStyle w:val="Recuodecorpodetexto"/>
        <w:widowControl/>
        <w:autoSpaceDE w:val="0"/>
        <w:autoSpaceDN w:val="0"/>
        <w:ind w:left="1701"/>
        <w:rPr>
          <w:rFonts w:ascii="Calibri" w:hAnsi="Calibri" w:cs="Calibri"/>
          <w:b/>
          <w:szCs w:val="24"/>
          <w:lang w:val="pt-BR"/>
        </w:rPr>
      </w:pPr>
      <w:r w:rsidRPr="00AF1EA7">
        <w:rPr>
          <w:rFonts w:ascii="Calibri" w:hAnsi="Calibri" w:cs="Calibri"/>
          <w:b/>
          <w:szCs w:val="24"/>
          <w:lang w:val="pt-BR"/>
        </w:rPr>
        <w:t xml:space="preserve">Ativos </w:t>
      </w:r>
      <w:r>
        <w:rPr>
          <w:rFonts w:ascii="Calibri" w:hAnsi="Calibri" w:cs="Calibri"/>
          <w:b/>
          <w:szCs w:val="24"/>
          <w:lang w:val="pt-BR"/>
        </w:rPr>
        <w:t>F</w:t>
      </w:r>
      <w:r w:rsidRPr="00AF1EA7">
        <w:rPr>
          <w:rFonts w:ascii="Calibri" w:hAnsi="Calibri" w:cs="Calibri"/>
          <w:b/>
          <w:szCs w:val="24"/>
          <w:lang w:val="pt-BR"/>
        </w:rPr>
        <w:t xml:space="preserve">inanceiros a </w:t>
      </w:r>
      <w:r>
        <w:rPr>
          <w:rFonts w:ascii="Calibri" w:hAnsi="Calibri" w:cs="Calibri"/>
          <w:b/>
          <w:szCs w:val="24"/>
          <w:lang w:val="pt-BR"/>
        </w:rPr>
        <w:t>V</w:t>
      </w:r>
      <w:r w:rsidRPr="00AF1EA7">
        <w:rPr>
          <w:rFonts w:ascii="Calibri" w:hAnsi="Calibri" w:cs="Calibri"/>
          <w:b/>
          <w:szCs w:val="24"/>
          <w:lang w:val="pt-BR"/>
        </w:rPr>
        <w:t xml:space="preserve">alor </w:t>
      </w:r>
      <w:r>
        <w:rPr>
          <w:rFonts w:ascii="Calibri" w:hAnsi="Calibri" w:cs="Calibri"/>
          <w:b/>
          <w:szCs w:val="24"/>
          <w:lang w:val="pt-BR"/>
        </w:rPr>
        <w:t>J</w:t>
      </w:r>
      <w:r w:rsidRPr="00AF1EA7">
        <w:rPr>
          <w:rFonts w:ascii="Calibri" w:hAnsi="Calibri" w:cs="Calibri"/>
          <w:b/>
          <w:szCs w:val="24"/>
          <w:lang w:val="pt-BR"/>
        </w:rPr>
        <w:t xml:space="preserve">usto por </w:t>
      </w:r>
      <w:r>
        <w:rPr>
          <w:rFonts w:ascii="Calibri" w:hAnsi="Calibri" w:cs="Calibri"/>
          <w:b/>
          <w:szCs w:val="24"/>
          <w:lang w:val="pt-BR"/>
        </w:rPr>
        <w:t>M</w:t>
      </w:r>
      <w:r w:rsidRPr="00AF1EA7">
        <w:rPr>
          <w:rFonts w:ascii="Calibri" w:hAnsi="Calibri" w:cs="Calibri"/>
          <w:b/>
          <w:szCs w:val="24"/>
          <w:lang w:val="pt-BR"/>
        </w:rPr>
        <w:t xml:space="preserve">eio do </w:t>
      </w:r>
      <w:r>
        <w:rPr>
          <w:rFonts w:ascii="Calibri" w:hAnsi="Calibri" w:cs="Calibri"/>
          <w:b/>
          <w:szCs w:val="24"/>
          <w:lang w:val="pt-BR"/>
        </w:rPr>
        <w:t>R</w:t>
      </w:r>
      <w:r w:rsidRPr="00AF1EA7">
        <w:rPr>
          <w:rFonts w:ascii="Calibri" w:hAnsi="Calibri" w:cs="Calibri"/>
          <w:b/>
          <w:szCs w:val="24"/>
          <w:lang w:val="pt-BR"/>
        </w:rPr>
        <w:t>esultado</w:t>
      </w:r>
    </w:p>
    <w:p w:rsidR="00AF1EA7" w:rsidRDefault="00AF1EA7"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Ativos </w:t>
      </w:r>
      <w:r w:rsidRPr="00AF1EA7">
        <w:rPr>
          <w:rFonts w:ascii="Calibri" w:hAnsi="Calibri" w:cs="Calibri"/>
          <w:szCs w:val="24"/>
          <w:lang w:val="pt-BR"/>
        </w:rPr>
        <w:t>financeiros a valor justo por meio do resultado incluem ativos financeiros mantidos para negociação e ativos financeiros designados no reconhecimento inicial a valor justo por meio do resultado. Ativos financeiros são classificados como mantidos para negociação se forem adquiridos com o objetivo de venda no curto prazo. Ativos financeiros a valor justo por meio do resultado são apresentados no balanço patrimonial a valor justo, com os correspondentes ganhos ou perdas reconhecidas na demonstração do resultado.</w:t>
      </w:r>
    </w:p>
    <w:p w:rsidR="00AF1EA7" w:rsidRDefault="00AF1EA7" w:rsidP="00905F4A">
      <w:pPr>
        <w:pStyle w:val="Recuodecorpodetexto"/>
        <w:widowControl/>
        <w:autoSpaceDE w:val="0"/>
        <w:autoSpaceDN w:val="0"/>
        <w:ind w:left="1701"/>
        <w:rPr>
          <w:rFonts w:ascii="Calibri" w:hAnsi="Calibri" w:cs="Calibri"/>
          <w:szCs w:val="24"/>
          <w:lang w:val="pt-BR"/>
        </w:rPr>
      </w:pPr>
    </w:p>
    <w:p w:rsidR="00AF1EA7" w:rsidRPr="00AF1EA7" w:rsidRDefault="00AF1EA7" w:rsidP="00905F4A">
      <w:pPr>
        <w:pStyle w:val="Recuodecorpodetexto"/>
        <w:widowControl/>
        <w:autoSpaceDE w:val="0"/>
        <w:autoSpaceDN w:val="0"/>
        <w:ind w:left="1701"/>
        <w:rPr>
          <w:rFonts w:ascii="Calibri" w:hAnsi="Calibri" w:cs="Calibri"/>
          <w:b/>
          <w:szCs w:val="24"/>
          <w:lang w:val="pt-BR"/>
        </w:rPr>
      </w:pPr>
      <w:r w:rsidRPr="00AF1EA7">
        <w:rPr>
          <w:rFonts w:ascii="Calibri" w:hAnsi="Calibri" w:cs="Calibri"/>
          <w:b/>
          <w:szCs w:val="24"/>
          <w:lang w:val="pt-BR"/>
        </w:rPr>
        <w:t>Empréstimos e Recebíveis</w:t>
      </w:r>
    </w:p>
    <w:p w:rsidR="00AF1EA7" w:rsidRDefault="00AF1EA7"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Empréstimos e R</w:t>
      </w:r>
      <w:r w:rsidRPr="00AF1EA7">
        <w:rPr>
          <w:rFonts w:ascii="Calibri" w:hAnsi="Calibri" w:cs="Calibri"/>
          <w:szCs w:val="24"/>
          <w:lang w:val="pt-BR"/>
        </w:rPr>
        <w:t>ecebíveis são ativos financeiros não derivativos, com pagamentos fixos ou determináveis, não cotados em um mercado ativo. Após a mensuração inicial, esses ativos financeiros são contabilizados ao custo amortizado, utilizando o método de juros efetivos (taxa de juros efetiva), menos perda por redução ao valor recuperável. O custo amortizado é calculado levando em consideração qualquer desconto ou “prêmio” na aquisição e taxas ou custos incorridos. A amortização do método de juros efetivos é incluída na linha de receita financeira na demonstração de resultado. As perdas por redução ao valor recuperável são reconhecidas como despesa financeira no resultado.</w:t>
      </w:r>
    </w:p>
    <w:p w:rsidR="00AF1EA7" w:rsidRDefault="00AF1EA7" w:rsidP="00905F4A">
      <w:pPr>
        <w:pStyle w:val="Recuodecorpodetexto"/>
        <w:widowControl/>
        <w:autoSpaceDE w:val="0"/>
        <w:autoSpaceDN w:val="0"/>
        <w:ind w:left="1701"/>
        <w:rPr>
          <w:rFonts w:ascii="Calibri" w:hAnsi="Calibri" w:cs="Calibri"/>
          <w:szCs w:val="24"/>
          <w:lang w:val="pt-BR"/>
        </w:rPr>
      </w:pPr>
    </w:p>
    <w:p w:rsidR="00AF1EA7" w:rsidRPr="007B713C" w:rsidRDefault="007B713C" w:rsidP="00905F4A">
      <w:pPr>
        <w:pStyle w:val="Recuodecorpodetexto"/>
        <w:widowControl/>
        <w:autoSpaceDE w:val="0"/>
        <w:autoSpaceDN w:val="0"/>
        <w:ind w:left="1701"/>
        <w:rPr>
          <w:rFonts w:ascii="Calibri" w:hAnsi="Calibri" w:cs="Calibri"/>
          <w:b/>
          <w:szCs w:val="24"/>
          <w:lang w:val="pt-BR"/>
        </w:rPr>
      </w:pPr>
      <w:r w:rsidRPr="007B713C">
        <w:rPr>
          <w:rFonts w:ascii="Calibri" w:hAnsi="Calibri" w:cs="Calibri"/>
          <w:b/>
          <w:szCs w:val="24"/>
          <w:lang w:val="pt-BR"/>
        </w:rPr>
        <w:t>c)</w:t>
      </w:r>
      <w:r w:rsidR="00AF1EA7" w:rsidRPr="007B713C">
        <w:rPr>
          <w:rFonts w:ascii="Calibri" w:hAnsi="Calibri" w:cs="Calibri"/>
          <w:b/>
          <w:szCs w:val="24"/>
          <w:lang w:val="pt-BR"/>
        </w:rPr>
        <w:t xml:space="preserve"> Baixa</w:t>
      </w:r>
    </w:p>
    <w:p w:rsidR="007B713C" w:rsidRDefault="007B713C"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Um ativo financeiro </w:t>
      </w:r>
      <w:r w:rsidRPr="007B713C">
        <w:rPr>
          <w:rFonts w:ascii="Calibri" w:hAnsi="Calibri" w:cs="Calibri"/>
          <w:szCs w:val="24"/>
          <w:lang w:val="pt-BR"/>
        </w:rPr>
        <w:t>(ou, quando for o caso, uma parte de um ativo financeiro ou parte de um grupo de ativos financeiros semelhantes) é baixado quando:</w:t>
      </w:r>
    </w:p>
    <w:p w:rsidR="007B713C" w:rsidRDefault="007B713C"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Os direitos de receber fluxos de caixa do ativo expirarem;</w:t>
      </w:r>
    </w:p>
    <w:p w:rsidR="007B713C" w:rsidRDefault="007B713C"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 A empresa transfere </w:t>
      </w:r>
      <w:r w:rsidRPr="007B713C">
        <w:rPr>
          <w:rFonts w:ascii="Calibri" w:hAnsi="Calibri" w:cs="Calibri"/>
          <w:szCs w:val="24"/>
          <w:lang w:val="pt-BR"/>
        </w:rPr>
        <w:t>os seus direitos de receber fluxos de caixa do ativo ou assum</w:t>
      </w:r>
      <w:r>
        <w:rPr>
          <w:rFonts w:ascii="Calibri" w:hAnsi="Calibri" w:cs="Calibri"/>
          <w:szCs w:val="24"/>
          <w:lang w:val="pt-BR"/>
        </w:rPr>
        <w:t>e</w:t>
      </w:r>
      <w:r w:rsidRPr="007B713C">
        <w:rPr>
          <w:rFonts w:ascii="Calibri" w:hAnsi="Calibri" w:cs="Calibri"/>
          <w:szCs w:val="24"/>
          <w:lang w:val="pt-BR"/>
        </w:rPr>
        <w:t xml:space="preserve"> uma obrigação de pagar integralmente os fluxos de caixa recebidos, sem demora significativa, a um terceiro</w:t>
      </w:r>
      <w:r>
        <w:rPr>
          <w:rFonts w:ascii="Calibri" w:hAnsi="Calibri" w:cs="Calibri"/>
          <w:szCs w:val="24"/>
          <w:lang w:val="pt-BR"/>
        </w:rPr>
        <w:t>,</w:t>
      </w:r>
      <w:r w:rsidRPr="007B713C">
        <w:rPr>
          <w:rFonts w:ascii="Calibri" w:hAnsi="Calibri" w:cs="Calibri"/>
          <w:szCs w:val="24"/>
          <w:lang w:val="pt-BR"/>
        </w:rPr>
        <w:t xml:space="preserve"> por força de um acordo de “repasse”;</w:t>
      </w:r>
    </w:p>
    <w:p w:rsidR="007B713C" w:rsidRDefault="007B713C"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A e</w:t>
      </w:r>
      <w:r w:rsidRPr="007B713C">
        <w:rPr>
          <w:rFonts w:ascii="Calibri" w:hAnsi="Calibri" w:cs="Calibri"/>
          <w:szCs w:val="24"/>
          <w:lang w:val="pt-BR"/>
        </w:rPr>
        <w:t>mpresa transfe</w:t>
      </w:r>
      <w:r>
        <w:rPr>
          <w:rFonts w:ascii="Calibri" w:hAnsi="Calibri" w:cs="Calibri"/>
          <w:szCs w:val="24"/>
          <w:lang w:val="pt-BR"/>
        </w:rPr>
        <w:t>re,</w:t>
      </w:r>
      <w:r w:rsidRPr="007B713C">
        <w:rPr>
          <w:rFonts w:ascii="Calibri" w:hAnsi="Calibri" w:cs="Calibri"/>
          <w:szCs w:val="24"/>
          <w:lang w:val="pt-BR"/>
        </w:rPr>
        <w:t xml:space="preserve"> substancialmente</w:t>
      </w:r>
      <w:r>
        <w:rPr>
          <w:rFonts w:ascii="Calibri" w:hAnsi="Calibri" w:cs="Calibri"/>
          <w:szCs w:val="24"/>
          <w:lang w:val="pt-BR"/>
        </w:rPr>
        <w:t>,</w:t>
      </w:r>
      <w:r w:rsidRPr="007B713C">
        <w:rPr>
          <w:rFonts w:ascii="Calibri" w:hAnsi="Calibri" w:cs="Calibri"/>
          <w:szCs w:val="24"/>
          <w:lang w:val="pt-BR"/>
        </w:rPr>
        <w:t xml:space="preserve"> todos os riscos e benefícios do ativo</w:t>
      </w:r>
      <w:r>
        <w:rPr>
          <w:rFonts w:ascii="Calibri" w:hAnsi="Calibri" w:cs="Calibri"/>
          <w:szCs w:val="24"/>
          <w:lang w:val="pt-BR"/>
        </w:rPr>
        <w:t>;</w:t>
      </w:r>
    </w:p>
    <w:p w:rsidR="007B713C" w:rsidRPr="007B713C" w:rsidRDefault="007B713C"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A e</w:t>
      </w:r>
      <w:r w:rsidRPr="007B713C">
        <w:rPr>
          <w:rFonts w:ascii="Calibri" w:hAnsi="Calibri" w:cs="Calibri"/>
          <w:szCs w:val="24"/>
          <w:lang w:val="pt-BR"/>
        </w:rPr>
        <w:t>mpresa não transfer</w:t>
      </w:r>
      <w:r>
        <w:rPr>
          <w:rFonts w:ascii="Calibri" w:hAnsi="Calibri" w:cs="Calibri"/>
          <w:szCs w:val="24"/>
          <w:lang w:val="pt-BR"/>
        </w:rPr>
        <w:t>e</w:t>
      </w:r>
      <w:r w:rsidRPr="007B713C">
        <w:rPr>
          <w:rFonts w:ascii="Calibri" w:hAnsi="Calibri" w:cs="Calibri"/>
          <w:szCs w:val="24"/>
          <w:lang w:val="pt-BR"/>
        </w:rPr>
        <w:t xml:space="preserve"> nem ret</w:t>
      </w:r>
      <w:r>
        <w:rPr>
          <w:rFonts w:ascii="Calibri" w:hAnsi="Calibri" w:cs="Calibri"/>
          <w:szCs w:val="24"/>
          <w:lang w:val="pt-BR"/>
        </w:rPr>
        <w:t>ém</w:t>
      </w:r>
      <w:r w:rsidRPr="007B713C">
        <w:rPr>
          <w:rFonts w:ascii="Calibri" w:hAnsi="Calibri" w:cs="Calibri"/>
          <w:szCs w:val="24"/>
          <w:lang w:val="pt-BR"/>
        </w:rPr>
        <w:t xml:space="preserve"> substancialmente todos os riscos e benefícios relativos ao ativo, mas transfer</w:t>
      </w:r>
      <w:r>
        <w:rPr>
          <w:rFonts w:ascii="Calibri" w:hAnsi="Calibri" w:cs="Calibri"/>
          <w:szCs w:val="24"/>
          <w:lang w:val="pt-BR"/>
        </w:rPr>
        <w:t>e</w:t>
      </w:r>
      <w:r w:rsidRPr="007B713C">
        <w:rPr>
          <w:rFonts w:ascii="Calibri" w:hAnsi="Calibri" w:cs="Calibri"/>
          <w:szCs w:val="24"/>
          <w:lang w:val="pt-BR"/>
        </w:rPr>
        <w:t xml:space="preserve"> o controle sobre o ativo.</w:t>
      </w:r>
    </w:p>
    <w:p w:rsidR="00C16DDB" w:rsidRPr="00312424" w:rsidRDefault="00C16DDB" w:rsidP="00905F4A">
      <w:pPr>
        <w:pStyle w:val="Recuodecorpodetexto"/>
        <w:widowControl/>
        <w:autoSpaceDE w:val="0"/>
        <w:autoSpaceDN w:val="0"/>
        <w:ind w:left="0"/>
        <w:rPr>
          <w:rFonts w:ascii="Calibri" w:hAnsi="Calibri" w:cs="Calibri"/>
          <w:szCs w:val="24"/>
          <w:lang w:val="pt-BR"/>
        </w:rPr>
      </w:pPr>
    </w:p>
    <w:p w:rsidR="00C16DDB" w:rsidRPr="00153B3C" w:rsidRDefault="00153B3C" w:rsidP="00905F4A">
      <w:pPr>
        <w:pStyle w:val="Recuodecorpodetexto"/>
        <w:widowControl/>
        <w:numPr>
          <w:ilvl w:val="0"/>
          <w:numId w:val="7"/>
        </w:numPr>
        <w:autoSpaceDE w:val="0"/>
        <w:autoSpaceDN w:val="0"/>
        <w:rPr>
          <w:rFonts w:ascii="Calibri" w:hAnsi="Calibri" w:cs="Calibri"/>
          <w:b/>
          <w:szCs w:val="24"/>
        </w:rPr>
      </w:pPr>
      <w:r>
        <w:rPr>
          <w:rFonts w:ascii="Calibri" w:hAnsi="Calibri" w:cs="Calibri"/>
          <w:b/>
          <w:szCs w:val="24"/>
          <w:lang w:val="pt-BR"/>
        </w:rPr>
        <w:t xml:space="preserve">Redução ao Valor Recuperável de Ativos </w:t>
      </w:r>
      <w:r w:rsidR="007964CD">
        <w:rPr>
          <w:rFonts w:ascii="Calibri" w:hAnsi="Calibri" w:cs="Calibri"/>
          <w:b/>
          <w:szCs w:val="24"/>
          <w:lang w:val="pt-BR"/>
        </w:rPr>
        <w:t>Financeiros</w:t>
      </w:r>
    </w:p>
    <w:p w:rsidR="00153B3C" w:rsidRDefault="00153B3C" w:rsidP="00905F4A">
      <w:pPr>
        <w:pStyle w:val="Recuodecorpodetexto"/>
        <w:widowControl/>
        <w:autoSpaceDE w:val="0"/>
        <w:autoSpaceDN w:val="0"/>
        <w:rPr>
          <w:rFonts w:ascii="Calibri" w:hAnsi="Calibri" w:cs="Calibri"/>
          <w:b/>
          <w:szCs w:val="24"/>
          <w:lang w:val="pt-BR"/>
        </w:rPr>
      </w:pPr>
    </w:p>
    <w:p w:rsidR="00153B3C" w:rsidRDefault="00153B3C" w:rsidP="00905F4A">
      <w:pPr>
        <w:pStyle w:val="Recuodecorpodetexto"/>
        <w:widowControl/>
        <w:autoSpaceDE w:val="0"/>
        <w:autoSpaceDN w:val="0"/>
        <w:ind w:left="851"/>
        <w:rPr>
          <w:rFonts w:ascii="Calibri" w:hAnsi="Calibri" w:cs="Calibri"/>
          <w:szCs w:val="24"/>
        </w:rPr>
      </w:pPr>
      <w:r w:rsidRPr="00153B3C">
        <w:rPr>
          <w:rFonts w:ascii="Calibri" w:hAnsi="Calibri" w:cs="Calibri"/>
          <w:szCs w:val="24"/>
        </w:rPr>
        <w:t xml:space="preserve">A </w:t>
      </w:r>
      <w:r w:rsidR="003924AB">
        <w:rPr>
          <w:rFonts w:ascii="Calibri" w:hAnsi="Calibri" w:cs="Calibri"/>
          <w:szCs w:val="24"/>
          <w:lang w:val="pt-BR"/>
        </w:rPr>
        <w:t>Companhia</w:t>
      </w:r>
      <w:r w:rsidRPr="00153B3C">
        <w:rPr>
          <w:rFonts w:ascii="Calibri" w:hAnsi="Calibri" w:cs="Calibri"/>
          <w:szCs w:val="24"/>
        </w:rPr>
        <w:t xml:space="preserve"> avalia</w:t>
      </w:r>
      <w:r>
        <w:rPr>
          <w:rFonts w:ascii="Calibri" w:hAnsi="Calibri" w:cs="Calibri"/>
          <w:szCs w:val="24"/>
          <w:lang w:val="pt-BR"/>
        </w:rPr>
        <w:t>,</w:t>
      </w:r>
      <w:r w:rsidRPr="00153B3C">
        <w:rPr>
          <w:rFonts w:ascii="Calibri" w:hAnsi="Calibri" w:cs="Calibri"/>
          <w:szCs w:val="24"/>
        </w:rPr>
        <w:t xml:space="preserve"> nas datas do balanço</w:t>
      </w:r>
      <w:r>
        <w:rPr>
          <w:rFonts w:ascii="Calibri" w:hAnsi="Calibri" w:cs="Calibri"/>
          <w:szCs w:val="24"/>
          <w:lang w:val="pt-BR"/>
        </w:rPr>
        <w:t>,</w:t>
      </w:r>
      <w:r w:rsidRPr="00153B3C">
        <w:rPr>
          <w:rFonts w:ascii="Calibri" w:hAnsi="Calibri" w:cs="Calibri"/>
          <w:szCs w:val="24"/>
        </w:rPr>
        <w:t xml:space="preserve"> se há alguma evidência objetiva que determine se o ativo financeiro ou grupo de ativos financeiros não é recuperável. </w:t>
      </w:r>
    </w:p>
    <w:p w:rsidR="00153B3C" w:rsidRDefault="00153B3C" w:rsidP="00905F4A">
      <w:pPr>
        <w:pStyle w:val="Recuodecorpodetexto"/>
        <w:widowControl/>
        <w:autoSpaceDE w:val="0"/>
        <w:autoSpaceDN w:val="0"/>
        <w:ind w:left="851"/>
        <w:rPr>
          <w:rFonts w:ascii="Calibri" w:hAnsi="Calibri" w:cs="Calibri"/>
          <w:szCs w:val="24"/>
        </w:rPr>
      </w:pPr>
    </w:p>
    <w:p w:rsidR="00153B3C" w:rsidRDefault="00153B3C" w:rsidP="00905F4A">
      <w:pPr>
        <w:pStyle w:val="Recuodecorpodetexto"/>
        <w:widowControl/>
        <w:autoSpaceDE w:val="0"/>
        <w:autoSpaceDN w:val="0"/>
        <w:ind w:left="851"/>
        <w:rPr>
          <w:rFonts w:ascii="Calibri" w:hAnsi="Calibri" w:cs="Calibri"/>
          <w:szCs w:val="24"/>
        </w:rPr>
      </w:pPr>
      <w:r w:rsidRPr="00153B3C">
        <w:rPr>
          <w:rFonts w:ascii="Calibri" w:hAnsi="Calibri" w:cs="Calibri"/>
          <w:szCs w:val="24"/>
        </w:rPr>
        <w:t xml:space="preserve">Um ativo financeiro ou grupo de ativos financeiros é considerado como não recuperável se, e somente se, houver evidência objetiva de ausência de </w:t>
      </w:r>
      <w:proofErr w:type="spellStart"/>
      <w:r w:rsidRPr="00153B3C">
        <w:rPr>
          <w:rFonts w:ascii="Calibri" w:hAnsi="Calibri" w:cs="Calibri"/>
          <w:szCs w:val="24"/>
        </w:rPr>
        <w:t>recuperabilidade</w:t>
      </w:r>
      <w:proofErr w:type="spellEnd"/>
      <w:r w:rsidRPr="00153B3C">
        <w:rPr>
          <w:rFonts w:ascii="Calibri" w:hAnsi="Calibri" w:cs="Calibri"/>
          <w:szCs w:val="24"/>
        </w:rPr>
        <w:t xml:space="preserve"> como resultado de um ou mais eventos que tenham acontecido depois do reconhecimento inicial do ativo (“um evento de perda” incorrid</w:t>
      </w:r>
      <w:r w:rsidR="00295F15">
        <w:rPr>
          <w:rFonts w:ascii="Calibri" w:hAnsi="Calibri" w:cs="Calibri"/>
          <w:szCs w:val="24"/>
          <w:lang w:val="pt-BR"/>
        </w:rPr>
        <w:t>a</w:t>
      </w:r>
      <w:r w:rsidRPr="00153B3C">
        <w:rPr>
          <w:rFonts w:ascii="Calibri" w:hAnsi="Calibri" w:cs="Calibri"/>
          <w:szCs w:val="24"/>
        </w:rPr>
        <w:t xml:space="preserve">) e este evento de perda tenha impacto no fluxo de caixa futuro estimado do ativo financeiro ou da </w:t>
      </w:r>
      <w:r>
        <w:rPr>
          <w:rFonts w:ascii="Calibri" w:hAnsi="Calibri" w:cs="Calibri"/>
          <w:szCs w:val="24"/>
          <w:lang w:val="pt-BR"/>
        </w:rPr>
        <w:t>empresa</w:t>
      </w:r>
      <w:r w:rsidRPr="00153B3C">
        <w:rPr>
          <w:rFonts w:ascii="Calibri" w:hAnsi="Calibri" w:cs="Calibri"/>
          <w:szCs w:val="24"/>
        </w:rPr>
        <w:t xml:space="preserve">. </w:t>
      </w:r>
    </w:p>
    <w:p w:rsidR="00153B3C" w:rsidRPr="00153B3C" w:rsidRDefault="00153B3C" w:rsidP="00905F4A">
      <w:pPr>
        <w:pStyle w:val="Recuodecorpodetexto"/>
        <w:widowControl/>
        <w:autoSpaceDE w:val="0"/>
        <w:autoSpaceDN w:val="0"/>
        <w:rPr>
          <w:rFonts w:ascii="Calibri" w:hAnsi="Calibri" w:cs="Calibri"/>
          <w:b/>
          <w:szCs w:val="24"/>
        </w:rPr>
      </w:pPr>
    </w:p>
    <w:p w:rsidR="00153B3C" w:rsidRPr="00153B3C" w:rsidRDefault="00153B3C" w:rsidP="00905F4A">
      <w:pPr>
        <w:pStyle w:val="Recuodecorpodetexto"/>
        <w:widowControl/>
        <w:numPr>
          <w:ilvl w:val="0"/>
          <w:numId w:val="7"/>
        </w:numPr>
        <w:autoSpaceDE w:val="0"/>
        <w:autoSpaceDN w:val="0"/>
        <w:rPr>
          <w:rFonts w:ascii="Calibri" w:hAnsi="Calibri" w:cs="Calibri"/>
          <w:b/>
          <w:szCs w:val="24"/>
        </w:rPr>
      </w:pPr>
      <w:r>
        <w:rPr>
          <w:rFonts w:ascii="Calibri" w:hAnsi="Calibri" w:cs="Calibri"/>
          <w:b/>
          <w:szCs w:val="24"/>
          <w:lang w:val="pt-BR"/>
        </w:rPr>
        <w:lastRenderedPageBreak/>
        <w:t>Passivos Financeiros</w:t>
      </w:r>
    </w:p>
    <w:p w:rsidR="00153B3C" w:rsidRDefault="00153B3C" w:rsidP="00905F4A">
      <w:pPr>
        <w:pStyle w:val="Recuodecorpodetexto"/>
        <w:widowControl/>
        <w:autoSpaceDE w:val="0"/>
        <w:autoSpaceDN w:val="0"/>
        <w:rPr>
          <w:rFonts w:ascii="Calibri" w:hAnsi="Calibri" w:cs="Calibri"/>
          <w:b/>
          <w:szCs w:val="24"/>
          <w:lang w:val="pt-BR"/>
        </w:rPr>
      </w:pPr>
    </w:p>
    <w:p w:rsidR="00153B3C" w:rsidRPr="007B713C" w:rsidRDefault="00153B3C" w:rsidP="00905F4A">
      <w:pPr>
        <w:pStyle w:val="Recuodecorpodetexto"/>
        <w:widowControl/>
        <w:autoSpaceDE w:val="0"/>
        <w:autoSpaceDN w:val="0"/>
        <w:ind w:left="1701"/>
        <w:rPr>
          <w:rFonts w:ascii="Calibri" w:hAnsi="Calibri" w:cs="Calibri"/>
          <w:b/>
          <w:szCs w:val="24"/>
          <w:lang w:val="pt-BR"/>
        </w:rPr>
      </w:pPr>
      <w:r w:rsidRPr="007B713C">
        <w:rPr>
          <w:rFonts w:ascii="Calibri" w:hAnsi="Calibri" w:cs="Calibri"/>
          <w:b/>
          <w:szCs w:val="24"/>
          <w:lang w:val="pt-BR"/>
        </w:rPr>
        <w:t xml:space="preserve">a) Reconhecimento </w:t>
      </w:r>
      <w:r>
        <w:rPr>
          <w:rFonts w:ascii="Calibri" w:hAnsi="Calibri" w:cs="Calibri"/>
          <w:b/>
          <w:szCs w:val="24"/>
          <w:lang w:val="pt-BR"/>
        </w:rPr>
        <w:t>I</w:t>
      </w:r>
      <w:r w:rsidRPr="007B713C">
        <w:rPr>
          <w:rFonts w:ascii="Calibri" w:hAnsi="Calibri" w:cs="Calibri"/>
          <w:b/>
          <w:szCs w:val="24"/>
          <w:lang w:val="pt-BR"/>
        </w:rPr>
        <w:t xml:space="preserve">nicial e </w:t>
      </w:r>
      <w:r>
        <w:rPr>
          <w:rFonts w:ascii="Calibri" w:hAnsi="Calibri" w:cs="Calibri"/>
          <w:b/>
          <w:szCs w:val="24"/>
          <w:lang w:val="pt-BR"/>
        </w:rPr>
        <w:t>M</w:t>
      </w:r>
      <w:r w:rsidRPr="007B713C">
        <w:rPr>
          <w:rFonts w:ascii="Calibri" w:hAnsi="Calibri" w:cs="Calibri"/>
          <w:b/>
          <w:szCs w:val="24"/>
          <w:lang w:val="pt-BR"/>
        </w:rPr>
        <w:t>ensuração</w:t>
      </w:r>
    </w:p>
    <w:p w:rsidR="00BF684A" w:rsidRDefault="00153B3C" w:rsidP="00905F4A">
      <w:pPr>
        <w:pStyle w:val="Recuodecorpodetexto"/>
        <w:widowControl/>
        <w:autoSpaceDE w:val="0"/>
        <w:autoSpaceDN w:val="0"/>
        <w:ind w:left="1701"/>
        <w:rPr>
          <w:rFonts w:ascii="Calibri" w:hAnsi="Calibri" w:cs="Calibri"/>
          <w:szCs w:val="24"/>
          <w:lang w:val="pt-BR"/>
        </w:rPr>
      </w:pPr>
      <w:r w:rsidRPr="00312424">
        <w:rPr>
          <w:rFonts w:ascii="Calibri" w:hAnsi="Calibri" w:cs="Calibri"/>
          <w:szCs w:val="24"/>
          <w:lang w:val="pt-BR"/>
        </w:rPr>
        <w:t xml:space="preserve">Os </w:t>
      </w:r>
      <w:r w:rsidR="00BF684A">
        <w:rPr>
          <w:rFonts w:ascii="Calibri" w:hAnsi="Calibri" w:cs="Calibri"/>
          <w:szCs w:val="24"/>
          <w:lang w:val="pt-BR"/>
        </w:rPr>
        <w:t xml:space="preserve">passivos </w:t>
      </w:r>
      <w:r>
        <w:rPr>
          <w:rFonts w:ascii="Calibri" w:hAnsi="Calibri" w:cs="Calibri"/>
          <w:szCs w:val="24"/>
          <w:lang w:val="pt-BR"/>
        </w:rPr>
        <w:t>f</w:t>
      </w:r>
      <w:r w:rsidRPr="00312424">
        <w:rPr>
          <w:rFonts w:ascii="Calibri" w:hAnsi="Calibri" w:cs="Calibri"/>
          <w:szCs w:val="24"/>
          <w:lang w:val="pt-BR"/>
        </w:rPr>
        <w:t xml:space="preserve">inanceiros </w:t>
      </w:r>
      <w:r>
        <w:rPr>
          <w:rFonts w:ascii="Calibri" w:hAnsi="Calibri" w:cs="Calibri"/>
          <w:szCs w:val="24"/>
          <w:lang w:val="pt-BR"/>
        </w:rPr>
        <w:t xml:space="preserve">são </w:t>
      </w:r>
      <w:r w:rsidR="00BF684A" w:rsidRPr="00BF684A">
        <w:rPr>
          <w:rFonts w:ascii="Calibri" w:hAnsi="Calibri" w:cs="Calibri"/>
          <w:szCs w:val="24"/>
          <w:lang w:val="pt-BR"/>
        </w:rPr>
        <w:t xml:space="preserve">classificados na categoria de empréstimos e financiamentos. A </w:t>
      </w:r>
      <w:r w:rsidR="003924AB">
        <w:rPr>
          <w:rFonts w:ascii="Calibri" w:hAnsi="Calibri" w:cs="Calibri"/>
          <w:szCs w:val="24"/>
          <w:lang w:val="pt-BR"/>
        </w:rPr>
        <w:t>Companhia</w:t>
      </w:r>
      <w:r w:rsidR="00BF684A" w:rsidRPr="00BF684A">
        <w:rPr>
          <w:rFonts w:ascii="Calibri" w:hAnsi="Calibri" w:cs="Calibri"/>
          <w:szCs w:val="24"/>
          <w:lang w:val="pt-BR"/>
        </w:rPr>
        <w:t xml:space="preserve"> determina a classificação dos seus passivos financeiros no momento do seu reconhecimento inicial. </w:t>
      </w:r>
    </w:p>
    <w:p w:rsidR="00BF684A" w:rsidRDefault="00BF684A" w:rsidP="00905F4A">
      <w:pPr>
        <w:pStyle w:val="Recuodecorpodetexto"/>
        <w:widowControl/>
        <w:autoSpaceDE w:val="0"/>
        <w:autoSpaceDN w:val="0"/>
        <w:ind w:left="1701"/>
        <w:rPr>
          <w:rFonts w:ascii="Calibri" w:hAnsi="Calibri" w:cs="Calibri"/>
          <w:szCs w:val="24"/>
          <w:lang w:val="pt-BR"/>
        </w:rPr>
      </w:pPr>
    </w:p>
    <w:p w:rsidR="00153B3C" w:rsidRDefault="00BF684A" w:rsidP="00905F4A">
      <w:pPr>
        <w:pStyle w:val="Recuodecorpodetexto"/>
        <w:widowControl/>
        <w:autoSpaceDE w:val="0"/>
        <w:autoSpaceDN w:val="0"/>
        <w:ind w:left="1701"/>
        <w:rPr>
          <w:rFonts w:ascii="Calibri" w:hAnsi="Calibri" w:cs="Calibri"/>
          <w:szCs w:val="24"/>
          <w:lang w:val="pt-BR"/>
        </w:rPr>
      </w:pPr>
      <w:r w:rsidRPr="00BF684A">
        <w:rPr>
          <w:rFonts w:ascii="Calibri" w:hAnsi="Calibri" w:cs="Calibri"/>
          <w:szCs w:val="24"/>
          <w:lang w:val="pt-BR"/>
        </w:rPr>
        <w:t>Passivos financeiros são inicialmente reconhecidos a valor justo e, no caso de empréstimos e financiamentos, são acrescidos do custo da transação diretamente relacionado.</w:t>
      </w:r>
    </w:p>
    <w:p w:rsidR="00BF684A" w:rsidRDefault="00BF684A" w:rsidP="00905F4A">
      <w:pPr>
        <w:pStyle w:val="Recuodecorpodetexto"/>
        <w:widowControl/>
        <w:autoSpaceDE w:val="0"/>
        <w:autoSpaceDN w:val="0"/>
        <w:ind w:left="1701"/>
        <w:rPr>
          <w:rFonts w:ascii="Calibri" w:hAnsi="Calibri" w:cs="Calibri"/>
          <w:szCs w:val="24"/>
          <w:lang w:val="pt-BR"/>
        </w:rPr>
      </w:pP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Os passivos financeiros incluem contas a pagar a fornecedores, outras contas a pagar e empréstimos e financiamentos.</w:t>
      </w:r>
    </w:p>
    <w:p w:rsidR="00153B3C" w:rsidRDefault="00153B3C" w:rsidP="00905F4A">
      <w:pPr>
        <w:pStyle w:val="Recuodecorpodetexto"/>
        <w:widowControl/>
        <w:autoSpaceDE w:val="0"/>
        <w:autoSpaceDN w:val="0"/>
        <w:rPr>
          <w:rFonts w:ascii="Calibri" w:hAnsi="Calibri" w:cs="Calibri"/>
          <w:b/>
          <w:szCs w:val="24"/>
          <w:lang w:val="pt-BR"/>
        </w:rPr>
      </w:pPr>
    </w:p>
    <w:p w:rsidR="00153B3C" w:rsidRPr="007B713C" w:rsidRDefault="00153B3C" w:rsidP="00905F4A">
      <w:pPr>
        <w:pStyle w:val="Recuodecorpodetexto"/>
        <w:widowControl/>
        <w:autoSpaceDE w:val="0"/>
        <w:autoSpaceDN w:val="0"/>
        <w:ind w:left="1701"/>
        <w:rPr>
          <w:rFonts w:ascii="Calibri" w:hAnsi="Calibri" w:cs="Calibri"/>
          <w:b/>
          <w:szCs w:val="24"/>
          <w:lang w:val="pt-BR"/>
        </w:rPr>
      </w:pPr>
      <w:r>
        <w:rPr>
          <w:rFonts w:ascii="Calibri" w:hAnsi="Calibri" w:cs="Calibri"/>
          <w:b/>
          <w:szCs w:val="24"/>
          <w:lang w:val="pt-BR"/>
        </w:rPr>
        <w:t>b</w:t>
      </w:r>
      <w:r w:rsidRPr="007B713C">
        <w:rPr>
          <w:rFonts w:ascii="Calibri" w:hAnsi="Calibri" w:cs="Calibri"/>
          <w:b/>
          <w:szCs w:val="24"/>
          <w:lang w:val="pt-BR"/>
        </w:rPr>
        <w:t xml:space="preserve">) </w:t>
      </w:r>
      <w:r>
        <w:rPr>
          <w:rFonts w:ascii="Calibri" w:hAnsi="Calibri" w:cs="Calibri"/>
          <w:b/>
          <w:szCs w:val="24"/>
          <w:lang w:val="pt-BR"/>
        </w:rPr>
        <w:t>Mensuração Subsequente</w:t>
      </w: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A mensuração subsequente dos passivos financeiros depende da sua classificação, que pode ser da seguinte forma:</w:t>
      </w:r>
    </w:p>
    <w:p w:rsidR="00BF684A" w:rsidRDefault="00BF684A" w:rsidP="00905F4A">
      <w:pPr>
        <w:pStyle w:val="Recuodecorpodetexto"/>
        <w:widowControl/>
        <w:autoSpaceDE w:val="0"/>
        <w:autoSpaceDN w:val="0"/>
        <w:ind w:left="1701"/>
        <w:rPr>
          <w:rFonts w:ascii="Calibri" w:hAnsi="Calibri" w:cs="Calibri"/>
          <w:szCs w:val="24"/>
          <w:lang w:val="pt-BR"/>
        </w:rPr>
      </w:pPr>
    </w:p>
    <w:p w:rsidR="00BF684A" w:rsidRPr="00AF1EA7" w:rsidRDefault="00BF684A" w:rsidP="00905F4A">
      <w:pPr>
        <w:pStyle w:val="Recuodecorpodetexto"/>
        <w:widowControl/>
        <w:autoSpaceDE w:val="0"/>
        <w:autoSpaceDN w:val="0"/>
        <w:ind w:left="1701"/>
        <w:rPr>
          <w:rFonts w:ascii="Calibri" w:hAnsi="Calibri" w:cs="Calibri"/>
          <w:b/>
          <w:szCs w:val="24"/>
          <w:lang w:val="pt-BR"/>
        </w:rPr>
      </w:pPr>
      <w:r w:rsidRPr="00AF1EA7">
        <w:rPr>
          <w:rFonts w:ascii="Calibri" w:hAnsi="Calibri" w:cs="Calibri"/>
          <w:b/>
          <w:szCs w:val="24"/>
          <w:lang w:val="pt-BR"/>
        </w:rPr>
        <w:t xml:space="preserve">Empréstimos e </w:t>
      </w:r>
      <w:r>
        <w:rPr>
          <w:rFonts w:ascii="Calibri" w:hAnsi="Calibri" w:cs="Calibri"/>
          <w:b/>
          <w:szCs w:val="24"/>
          <w:lang w:val="pt-BR"/>
        </w:rPr>
        <w:t>Financiamentos</w:t>
      </w: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Após </w:t>
      </w:r>
      <w:r w:rsidRPr="00BF684A">
        <w:rPr>
          <w:rFonts w:ascii="Calibri" w:hAnsi="Calibri" w:cs="Calibri"/>
          <w:szCs w:val="24"/>
          <w:lang w:val="pt-BR"/>
        </w:rPr>
        <w:t>reconhecimento inicial, empréstimos e financiamentos sujeitos a juros são mensurados subsequentemente pelo custo amortizado, utilizando o método da taxa de juros efetivos. Ganhos e perdas são reconhecidos na demonstração do resultado no momento da baixa dos passivos, bem como durante o processo de amortização pelo método da taxa de juros efetivos.</w:t>
      </w:r>
    </w:p>
    <w:p w:rsidR="00153B3C" w:rsidRDefault="00153B3C" w:rsidP="00905F4A">
      <w:pPr>
        <w:pStyle w:val="Recuodecorpodetexto"/>
        <w:widowControl/>
        <w:autoSpaceDE w:val="0"/>
        <w:autoSpaceDN w:val="0"/>
        <w:ind w:left="1701"/>
        <w:rPr>
          <w:rFonts w:ascii="Calibri" w:hAnsi="Calibri" w:cs="Calibri"/>
          <w:szCs w:val="24"/>
          <w:lang w:val="pt-BR"/>
        </w:rPr>
      </w:pPr>
    </w:p>
    <w:p w:rsidR="00153B3C" w:rsidRPr="007B713C" w:rsidRDefault="00BF684A" w:rsidP="00905F4A">
      <w:pPr>
        <w:pStyle w:val="Recuodecorpodetexto"/>
        <w:widowControl/>
        <w:autoSpaceDE w:val="0"/>
        <w:autoSpaceDN w:val="0"/>
        <w:ind w:left="1701"/>
        <w:rPr>
          <w:rFonts w:ascii="Calibri" w:hAnsi="Calibri" w:cs="Calibri"/>
          <w:b/>
          <w:szCs w:val="24"/>
          <w:lang w:val="pt-BR"/>
        </w:rPr>
      </w:pPr>
      <w:r>
        <w:rPr>
          <w:rFonts w:ascii="Calibri" w:hAnsi="Calibri" w:cs="Calibri"/>
          <w:b/>
          <w:szCs w:val="24"/>
          <w:lang w:val="pt-BR"/>
        </w:rPr>
        <w:t>c</w:t>
      </w:r>
      <w:r w:rsidR="00153B3C" w:rsidRPr="007B713C">
        <w:rPr>
          <w:rFonts w:ascii="Calibri" w:hAnsi="Calibri" w:cs="Calibri"/>
          <w:b/>
          <w:szCs w:val="24"/>
          <w:lang w:val="pt-BR"/>
        </w:rPr>
        <w:t xml:space="preserve">) </w:t>
      </w:r>
      <w:r w:rsidR="00153B3C">
        <w:rPr>
          <w:rFonts w:ascii="Calibri" w:hAnsi="Calibri" w:cs="Calibri"/>
          <w:b/>
          <w:szCs w:val="24"/>
          <w:lang w:val="pt-BR"/>
        </w:rPr>
        <w:t>Baixa</w:t>
      </w: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Um passivo financeiro é baixado quando:</w:t>
      </w: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A obrigação é revogada, cancelada ou quando expirar;</w:t>
      </w:r>
    </w:p>
    <w:p w:rsidR="00BF684A"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xml:space="preserve">- Quando </w:t>
      </w:r>
      <w:r w:rsidRPr="00BF684A">
        <w:rPr>
          <w:rFonts w:ascii="Calibri" w:hAnsi="Calibri" w:cs="Calibri"/>
          <w:szCs w:val="24"/>
          <w:lang w:val="pt-BR"/>
        </w:rPr>
        <w:t>for substituído por outro do mesmo mutuante com termos substancialmente diferentes</w:t>
      </w:r>
      <w:r>
        <w:rPr>
          <w:rFonts w:ascii="Calibri" w:hAnsi="Calibri" w:cs="Calibri"/>
          <w:szCs w:val="24"/>
          <w:lang w:val="pt-BR"/>
        </w:rPr>
        <w:t>;</w:t>
      </w:r>
    </w:p>
    <w:p w:rsidR="00153B3C" w:rsidRDefault="00BF684A" w:rsidP="00905F4A">
      <w:pPr>
        <w:pStyle w:val="Recuodecorpodetexto"/>
        <w:widowControl/>
        <w:autoSpaceDE w:val="0"/>
        <w:autoSpaceDN w:val="0"/>
        <w:ind w:left="1701"/>
        <w:rPr>
          <w:rFonts w:ascii="Calibri" w:hAnsi="Calibri" w:cs="Calibri"/>
          <w:szCs w:val="24"/>
          <w:lang w:val="pt-BR"/>
        </w:rPr>
      </w:pPr>
      <w:r>
        <w:rPr>
          <w:rFonts w:ascii="Calibri" w:hAnsi="Calibri" w:cs="Calibri"/>
          <w:szCs w:val="24"/>
          <w:lang w:val="pt-BR"/>
        </w:rPr>
        <w:t>- Quando</w:t>
      </w:r>
      <w:r w:rsidRPr="00BF684A">
        <w:rPr>
          <w:rFonts w:ascii="Calibri" w:hAnsi="Calibri" w:cs="Calibri"/>
          <w:szCs w:val="24"/>
          <w:lang w:val="pt-BR"/>
        </w:rPr>
        <w:t xml:space="preserve"> os termos de um passivo existente forem significativamente de um novo passivo, sendo a diferença nos correspondentes valores contábeis reconhecida na demonstração do resultado.</w:t>
      </w:r>
    </w:p>
    <w:p w:rsidR="00462F47" w:rsidRPr="00312424" w:rsidRDefault="00462F47" w:rsidP="00905F4A">
      <w:pPr>
        <w:pStyle w:val="Recuodecorpodetexto"/>
        <w:widowControl/>
        <w:autoSpaceDE w:val="0"/>
        <w:autoSpaceDN w:val="0"/>
        <w:rPr>
          <w:rFonts w:ascii="Calibri" w:hAnsi="Calibri" w:cs="Calibri"/>
          <w:szCs w:val="24"/>
          <w:lang w:val="pt-BR"/>
        </w:rPr>
      </w:pPr>
    </w:p>
    <w:p w:rsidR="00C16DDB" w:rsidRPr="00312424" w:rsidRDefault="00C16DDB" w:rsidP="00905F4A">
      <w:pPr>
        <w:pStyle w:val="Recuodecorpodetexto"/>
        <w:widowControl/>
        <w:numPr>
          <w:ilvl w:val="1"/>
          <w:numId w:val="5"/>
        </w:numPr>
        <w:autoSpaceDE w:val="0"/>
        <w:autoSpaceDN w:val="0"/>
        <w:ind w:left="567" w:hanging="141"/>
        <w:rPr>
          <w:rFonts w:ascii="Calibri" w:hAnsi="Calibri" w:cs="Calibri"/>
          <w:b/>
          <w:szCs w:val="24"/>
        </w:rPr>
      </w:pPr>
      <w:r w:rsidRPr="00312424">
        <w:rPr>
          <w:rFonts w:ascii="Calibri" w:hAnsi="Calibri" w:cs="Calibri"/>
          <w:b/>
          <w:szCs w:val="24"/>
        </w:rPr>
        <w:t xml:space="preserve"> C</w:t>
      </w:r>
      <w:r w:rsidRPr="00312424">
        <w:rPr>
          <w:rFonts w:ascii="Calibri" w:hAnsi="Calibri" w:cs="Calibri"/>
          <w:b/>
          <w:szCs w:val="24"/>
          <w:lang w:val="pt-BR"/>
        </w:rPr>
        <w:t>ontas a receber</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C16DDB" w:rsidP="00905F4A">
      <w:pPr>
        <w:pStyle w:val="Recuodecorpodetexto"/>
        <w:widowControl/>
        <w:autoSpaceDE w:val="0"/>
        <w:autoSpaceDN w:val="0"/>
        <w:ind w:left="851"/>
        <w:rPr>
          <w:rFonts w:ascii="Calibri" w:hAnsi="Calibri" w:cs="Calibri"/>
          <w:szCs w:val="24"/>
        </w:rPr>
      </w:pPr>
      <w:r w:rsidRPr="00312424">
        <w:rPr>
          <w:rFonts w:ascii="Calibri" w:hAnsi="Calibri" w:cs="Calibri"/>
          <w:szCs w:val="24"/>
          <w:lang w:val="pt-BR"/>
        </w:rPr>
        <w:t xml:space="preserve">As </w:t>
      </w:r>
      <w:r w:rsidR="00CF6655">
        <w:rPr>
          <w:rFonts w:ascii="Calibri" w:hAnsi="Calibri" w:cs="Calibri"/>
          <w:szCs w:val="24"/>
          <w:lang w:val="pt-BR"/>
        </w:rPr>
        <w:t>C</w:t>
      </w:r>
      <w:r w:rsidRPr="00312424">
        <w:rPr>
          <w:rFonts w:ascii="Calibri" w:hAnsi="Calibri" w:cs="Calibri"/>
          <w:szCs w:val="24"/>
          <w:lang w:val="pt-BR"/>
        </w:rPr>
        <w:t xml:space="preserve">ontas a </w:t>
      </w:r>
      <w:r w:rsidR="00CF6655">
        <w:rPr>
          <w:rFonts w:ascii="Calibri" w:hAnsi="Calibri" w:cs="Calibri"/>
          <w:szCs w:val="24"/>
          <w:lang w:val="pt-BR"/>
        </w:rPr>
        <w:t>R</w:t>
      </w:r>
      <w:r w:rsidRPr="00312424">
        <w:rPr>
          <w:rFonts w:ascii="Calibri" w:hAnsi="Calibri" w:cs="Calibri"/>
          <w:szCs w:val="24"/>
          <w:lang w:val="pt-BR"/>
        </w:rPr>
        <w:t>eceber de clientes referem-se aos recebíveis do ativo circulante, sendo os valores faturados correspondentes ao preço da tarifa vigente na data da prestação dos serviços e, no caso de arrendamento de áreas, pelos valores contratados. No saldo de contas a receber estão incluídos todos os serviços prestados e todas as receitas com arrendamentos até a data do encerramento do exercício. Do total do</w:t>
      </w:r>
      <w:r w:rsidR="00CF6655">
        <w:rPr>
          <w:rFonts w:ascii="Calibri" w:hAnsi="Calibri" w:cs="Calibri"/>
          <w:szCs w:val="24"/>
          <w:lang w:val="pt-BR"/>
        </w:rPr>
        <w:t xml:space="preserve"> C</w:t>
      </w:r>
      <w:r w:rsidRPr="00312424">
        <w:rPr>
          <w:rFonts w:ascii="Calibri" w:hAnsi="Calibri" w:cs="Calibri"/>
          <w:szCs w:val="24"/>
          <w:lang w:val="pt-BR"/>
        </w:rPr>
        <w:t xml:space="preserve">ontas a </w:t>
      </w:r>
      <w:r w:rsidR="00CF6655">
        <w:rPr>
          <w:rFonts w:ascii="Calibri" w:hAnsi="Calibri" w:cs="Calibri"/>
          <w:szCs w:val="24"/>
          <w:lang w:val="pt-BR"/>
        </w:rPr>
        <w:t>R</w:t>
      </w:r>
      <w:r w:rsidRPr="00312424">
        <w:rPr>
          <w:rFonts w:ascii="Calibri" w:hAnsi="Calibri" w:cs="Calibri"/>
          <w:szCs w:val="24"/>
          <w:lang w:val="pt-BR"/>
        </w:rPr>
        <w:t>eceber, a Companhia deduz as perdas estimadas com crédito de liquidação duvidosa (PECLD) correspondendo à diferença entre o valor contábil e o valor recuperável. O prazo médio de recebimento das contas a receber é de 30 dias, prazo considerado como parte das condições comerciais normais e inerentes às operações da Companhia. As PECLD são constituídas em montantes considerados suficientes pela Administração para cobrir as possíveis perda</w:t>
      </w:r>
      <w:r w:rsidR="007B3EDF">
        <w:rPr>
          <w:rFonts w:ascii="Calibri" w:hAnsi="Calibri" w:cs="Calibri"/>
          <w:szCs w:val="24"/>
          <w:lang w:val="pt-BR"/>
        </w:rPr>
        <w:t>s na realização destes créditos</w:t>
      </w:r>
      <w:r w:rsidR="00F366E4">
        <w:rPr>
          <w:rFonts w:ascii="Calibri" w:hAnsi="Calibri" w:cs="Calibri"/>
          <w:szCs w:val="24"/>
          <w:lang w:val="pt-BR"/>
        </w:rPr>
        <w:t>.</w:t>
      </w: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lastRenderedPageBreak/>
        <w:t>Estoques</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C16DDB" w:rsidP="00905F4A">
      <w:pPr>
        <w:pStyle w:val="Recuodecorpodetexto"/>
        <w:ind w:left="851"/>
        <w:rPr>
          <w:rFonts w:ascii="Calibri" w:hAnsi="Calibri" w:cs="Calibri"/>
          <w:szCs w:val="24"/>
        </w:rPr>
      </w:pPr>
      <w:r w:rsidRPr="00312424">
        <w:rPr>
          <w:rFonts w:ascii="Calibri" w:hAnsi="Calibri" w:cs="Calibri"/>
          <w:szCs w:val="24"/>
        </w:rPr>
        <w:t xml:space="preserve">Os </w:t>
      </w:r>
      <w:r w:rsidR="00947D01">
        <w:rPr>
          <w:rFonts w:ascii="Calibri" w:hAnsi="Calibri" w:cs="Calibri"/>
          <w:szCs w:val="24"/>
          <w:lang w:val="pt-BR"/>
        </w:rPr>
        <w:t>e</w:t>
      </w:r>
      <w:r w:rsidR="00CF6655">
        <w:rPr>
          <w:rFonts w:ascii="Calibri" w:hAnsi="Calibri" w:cs="Calibri"/>
          <w:szCs w:val="24"/>
          <w:lang w:val="pt-BR"/>
        </w:rPr>
        <w:t xml:space="preserve">stoques </w:t>
      </w:r>
      <w:r w:rsidRPr="00312424">
        <w:rPr>
          <w:rFonts w:ascii="Calibri" w:hAnsi="Calibri" w:cs="Calibri"/>
          <w:szCs w:val="24"/>
        </w:rPr>
        <w:t xml:space="preserve">referem-se a </w:t>
      </w:r>
      <w:r w:rsidRPr="00312424">
        <w:rPr>
          <w:rFonts w:ascii="Calibri" w:hAnsi="Calibri" w:cs="Calibri"/>
          <w:szCs w:val="24"/>
          <w:lang w:val="pt-BR"/>
        </w:rPr>
        <w:t>itens de almoxarifado</w:t>
      </w:r>
      <w:r w:rsidRPr="00312424">
        <w:rPr>
          <w:rFonts w:ascii="Calibri" w:hAnsi="Calibri" w:cs="Calibri"/>
          <w:szCs w:val="24"/>
        </w:rPr>
        <w:t xml:space="preserve"> a serem utilizados nas atividades da </w:t>
      </w:r>
      <w:r w:rsidR="003924AB">
        <w:rPr>
          <w:rFonts w:ascii="Calibri" w:hAnsi="Calibri" w:cs="Calibri"/>
          <w:szCs w:val="24"/>
          <w:lang w:val="pt-BR"/>
        </w:rPr>
        <w:t>Companhia</w:t>
      </w:r>
      <w:r w:rsidRPr="00312424">
        <w:rPr>
          <w:rFonts w:ascii="Calibri" w:hAnsi="Calibri" w:cs="Calibri"/>
          <w:szCs w:val="24"/>
        </w:rPr>
        <w:t xml:space="preserve"> e estão avaliados ao custo médio de aquisição, não excedendo o valor de mercado.</w:t>
      </w:r>
    </w:p>
    <w:p w:rsidR="00C16DDB" w:rsidRPr="00312424" w:rsidRDefault="00C16DDB" w:rsidP="00905F4A">
      <w:pPr>
        <w:pStyle w:val="Recuodecorpodetexto"/>
        <w:widowControl/>
        <w:autoSpaceDE w:val="0"/>
        <w:autoSpaceDN w:val="0"/>
        <w:ind w:left="1353"/>
        <w:rPr>
          <w:rFonts w:ascii="Calibri" w:hAnsi="Calibri" w:cs="Calibri"/>
          <w:b/>
          <w:szCs w:val="24"/>
          <w:lang w:val="pt-BR"/>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Créditos </w:t>
      </w:r>
      <w:r w:rsidR="00CF6655">
        <w:rPr>
          <w:rFonts w:ascii="Calibri" w:hAnsi="Calibri" w:cs="Calibri"/>
          <w:b/>
          <w:szCs w:val="24"/>
          <w:lang w:val="pt-BR"/>
        </w:rPr>
        <w:t>F</w:t>
      </w:r>
      <w:r w:rsidRPr="00312424">
        <w:rPr>
          <w:rFonts w:ascii="Calibri" w:hAnsi="Calibri" w:cs="Calibri"/>
          <w:b/>
          <w:szCs w:val="24"/>
          <w:lang w:val="pt-BR"/>
        </w:rPr>
        <w:t xml:space="preserve">iscais a </w:t>
      </w:r>
      <w:r w:rsidR="00CF6655">
        <w:rPr>
          <w:rFonts w:ascii="Calibri" w:hAnsi="Calibri" w:cs="Calibri"/>
          <w:b/>
          <w:szCs w:val="24"/>
          <w:lang w:val="pt-BR"/>
        </w:rPr>
        <w:t>R</w:t>
      </w:r>
      <w:r w:rsidRPr="00312424">
        <w:rPr>
          <w:rFonts w:ascii="Calibri" w:hAnsi="Calibri" w:cs="Calibri"/>
          <w:b/>
          <w:szCs w:val="24"/>
          <w:lang w:val="pt-BR"/>
        </w:rPr>
        <w:t>ecuperar</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E606FD" w:rsidRDefault="00C16DDB" w:rsidP="00905F4A">
      <w:pPr>
        <w:pStyle w:val="Recuodecorpodetexto"/>
        <w:ind w:left="851"/>
        <w:rPr>
          <w:rFonts w:ascii="Calibri" w:hAnsi="Calibri" w:cs="Calibri"/>
          <w:szCs w:val="24"/>
          <w:lang w:val="pt-BR"/>
        </w:rPr>
      </w:pPr>
      <w:r w:rsidRPr="00312424">
        <w:rPr>
          <w:rFonts w:ascii="Calibri" w:hAnsi="Calibri" w:cs="Calibri"/>
          <w:szCs w:val="24"/>
          <w:lang w:val="pt-BR"/>
        </w:rPr>
        <w:t>Correspondem aos saldos credores de PIS e COFINS a serem utilizados para futuras compensações</w:t>
      </w:r>
      <w:r w:rsidR="00E606FD">
        <w:rPr>
          <w:rFonts w:ascii="Calibri" w:hAnsi="Calibri" w:cs="Calibri"/>
          <w:szCs w:val="24"/>
        </w:rPr>
        <w:t xml:space="preserve">, </w:t>
      </w:r>
      <w:r w:rsidR="00E606FD">
        <w:rPr>
          <w:rFonts w:ascii="Calibri" w:hAnsi="Calibri" w:cs="Calibri"/>
          <w:szCs w:val="24"/>
          <w:lang w:val="pt-BR"/>
        </w:rPr>
        <w:t>além do imposto de renda sobre aplicações financeiras e imposto de renda e contribuição social retid</w:t>
      </w:r>
      <w:r w:rsidR="006715E0">
        <w:rPr>
          <w:rFonts w:ascii="Calibri" w:hAnsi="Calibri" w:cs="Calibri"/>
          <w:szCs w:val="24"/>
          <w:lang w:val="pt-BR"/>
        </w:rPr>
        <w:t>o</w:t>
      </w:r>
      <w:r w:rsidR="00E606FD">
        <w:rPr>
          <w:rFonts w:ascii="Calibri" w:hAnsi="Calibri" w:cs="Calibri"/>
          <w:szCs w:val="24"/>
          <w:lang w:val="pt-BR"/>
        </w:rPr>
        <w:t xml:space="preserve">s por outros órgãos </w:t>
      </w:r>
      <w:r w:rsidR="00023B1F">
        <w:rPr>
          <w:rFonts w:ascii="Calibri" w:hAnsi="Calibri" w:cs="Calibri"/>
          <w:szCs w:val="24"/>
          <w:lang w:val="pt-BR"/>
        </w:rPr>
        <w:t xml:space="preserve">e entidades </w:t>
      </w:r>
      <w:r w:rsidR="00E606FD">
        <w:rPr>
          <w:rFonts w:ascii="Calibri" w:hAnsi="Calibri" w:cs="Calibri"/>
          <w:szCs w:val="24"/>
          <w:lang w:val="pt-BR"/>
        </w:rPr>
        <w:t>públicos.</w:t>
      </w:r>
    </w:p>
    <w:p w:rsidR="00C16DDB" w:rsidRPr="00312424" w:rsidRDefault="00C16DDB" w:rsidP="00905F4A">
      <w:pPr>
        <w:pStyle w:val="Recuodecorpodetexto"/>
        <w:widowControl/>
        <w:autoSpaceDE w:val="0"/>
        <w:autoSpaceDN w:val="0"/>
        <w:ind w:left="1353"/>
        <w:rPr>
          <w:rFonts w:ascii="Calibri" w:hAnsi="Calibri" w:cs="Calibri"/>
          <w:b/>
          <w:szCs w:val="24"/>
          <w:lang w:val="pt-BR"/>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Bens em </w:t>
      </w:r>
      <w:r w:rsidR="00E606FD">
        <w:rPr>
          <w:rFonts w:ascii="Calibri" w:hAnsi="Calibri" w:cs="Calibri"/>
          <w:b/>
          <w:szCs w:val="24"/>
          <w:lang w:val="pt-BR"/>
        </w:rPr>
        <w:t>P</w:t>
      </w:r>
      <w:r w:rsidRPr="00312424">
        <w:rPr>
          <w:rFonts w:ascii="Calibri" w:hAnsi="Calibri" w:cs="Calibri"/>
          <w:b/>
          <w:szCs w:val="24"/>
          <w:lang w:val="pt-BR"/>
        </w:rPr>
        <w:t xml:space="preserve">rocesso de </w:t>
      </w:r>
      <w:r w:rsidR="00E606FD">
        <w:rPr>
          <w:rFonts w:ascii="Calibri" w:hAnsi="Calibri" w:cs="Calibri"/>
          <w:b/>
          <w:szCs w:val="24"/>
          <w:lang w:val="pt-BR"/>
        </w:rPr>
        <w:t>C</w:t>
      </w:r>
      <w:r w:rsidRPr="00312424">
        <w:rPr>
          <w:rFonts w:ascii="Calibri" w:hAnsi="Calibri" w:cs="Calibri"/>
          <w:b/>
          <w:szCs w:val="24"/>
          <w:lang w:val="pt-BR"/>
        </w:rPr>
        <w:t>essão</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C16DDB" w:rsidP="00905F4A">
      <w:pPr>
        <w:pStyle w:val="Recuodecorpodetexto"/>
        <w:ind w:left="851"/>
        <w:rPr>
          <w:rFonts w:ascii="Calibri" w:hAnsi="Calibri" w:cs="Calibri"/>
          <w:szCs w:val="24"/>
        </w:rPr>
      </w:pPr>
      <w:r w:rsidRPr="00312424">
        <w:rPr>
          <w:rFonts w:ascii="Calibri" w:hAnsi="Calibri" w:cs="Calibri"/>
          <w:szCs w:val="24"/>
          <w:lang w:val="pt-BR"/>
        </w:rPr>
        <w:t>Uma vez classificados como bens disponibilizados para vendas e/ou cessão, os ativos não são depreciados e seu registro se dá pelo menor valor entre seu valor r</w:t>
      </w:r>
      <w:r w:rsidR="00E37661">
        <w:rPr>
          <w:rFonts w:ascii="Calibri" w:hAnsi="Calibri" w:cs="Calibri"/>
          <w:szCs w:val="24"/>
          <w:lang w:val="pt-BR"/>
        </w:rPr>
        <w:t>esidual e seu valor de mercado.</w:t>
      </w:r>
    </w:p>
    <w:p w:rsidR="00C16DDB" w:rsidRPr="00312424" w:rsidRDefault="00C16DDB" w:rsidP="00905F4A">
      <w:pPr>
        <w:pStyle w:val="Recuodecorpodetexto"/>
        <w:widowControl/>
        <w:autoSpaceDE w:val="0"/>
        <w:autoSpaceDN w:val="0"/>
        <w:ind w:left="1353"/>
        <w:rPr>
          <w:rFonts w:ascii="Calibri" w:hAnsi="Calibri" w:cs="Calibri"/>
          <w:b/>
          <w:szCs w:val="24"/>
          <w:lang w:val="pt-BR"/>
        </w:rPr>
      </w:pPr>
    </w:p>
    <w:p w:rsidR="00C16DDB" w:rsidRPr="00312424" w:rsidRDefault="00E606FD"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Cauções e </w:t>
      </w:r>
      <w:r>
        <w:rPr>
          <w:rFonts w:ascii="Calibri" w:hAnsi="Calibri" w:cs="Calibri"/>
          <w:b/>
          <w:szCs w:val="24"/>
          <w:lang w:val="pt-BR"/>
        </w:rPr>
        <w:t>D</w:t>
      </w:r>
      <w:r w:rsidRPr="00312424">
        <w:rPr>
          <w:rFonts w:ascii="Calibri" w:hAnsi="Calibri" w:cs="Calibri"/>
          <w:b/>
          <w:szCs w:val="24"/>
          <w:lang w:val="pt-BR"/>
        </w:rPr>
        <w:t xml:space="preserve">epósitos </w:t>
      </w:r>
      <w:r>
        <w:rPr>
          <w:rFonts w:ascii="Calibri" w:hAnsi="Calibri" w:cs="Calibri"/>
          <w:b/>
          <w:szCs w:val="24"/>
          <w:lang w:val="pt-BR"/>
        </w:rPr>
        <w:t>Vinculados</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C16DDB" w:rsidP="00905F4A">
      <w:pPr>
        <w:pStyle w:val="Recuodecorpodetexto"/>
        <w:ind w:left="851"/>
        <w:rPr>
          <w:rFonts w:ascii="Calibri" w:hAnsi="Calibri" w:cs="Calibri"/>
          <w:szCs w:val="24"/>
          <w:lang w:val="pt-BR"/>
        </w:rPr>
      </w:pPr>
      <w:r w:rsidRPr="00312424">
        <w:rPr>
          <w:rFonts w:ascii="Calibri" w:hAnsi="Calibri" w:cs="Calibri"/>
          <w:szCs w:val="24"/>
          <w:lang w:val="pt-BR"/>
        </w:rPr>
        <w:t>Correspondem a valores bloqueados e valores dados em garantia em processos de cobrança, os quais a Companhia mantém discussão</w:t>
      </w:r>
      <w:r w:rsidR="00BD3CB0">
        <w:rPr>
          <w:rFonts w:ascii="Calibri" w:hAnsi="Calibri" w:cs="Calibri"/>
          <w:szCs w:val="24"/>
          <w:lang w:val="pt-BR"/>
        </w:rPr>
        <w:t xml:space="preserve"> judicial</w:t>
      </w:r>
      <w:r w:rsidRPr="00312424">
        <w:rPr>
          <w:rFonts w:ascii="Calibri" w:hAnsi="Calibri" w:cs="Calibri"/>
          <w:szCs w:val="24"/>
          <w:lang w:val="pt-BR"/>
        </w:rPr>
        <w:t xml:space="preserve"> acerca dos valores envolvidos e sua exigibilidade.</w:t>
      </w:r>
    </w:p>
    <w:p w:rsidR="006715E0" w:rsidRPr="00312424" w:rsidRDefault="006715E0" w:rsidP="00905F4A">
      <w:pPr>
        <w:pStyle w:val="Recuodecorpodetexto"/>
        <w:widowControl/>
        <w:autoSpaceDE w:val="0"/>
        <w:autoSpaceDN w:val="0"/>
        <w:ind w:left="1353"/>
        <w:rPr>
          <w:rFonts w:ascii="Calibri" w:hAnsi="Calibri" w:cs="Calibri"/>
          <w:b/>
          <w:szCs w:val="24"/>
          <w:lang w:val="pt-BR"/>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Propriedade para </w:t>
      </w:r>
      <w:r w:rsidR="00E606FD">
        <w:rPr>
          <w:rFonts w:ascii="Calibri" w:hAnsi="Calibri" w:cs="Calibri"/>
          <w:b/>
          <w:szCs w:val="24"/>
          <w:lang w:val="pt-BR"/>
        </w:rPr>
        <w:t>I</w:t>
      </w:r>
      <w:r w:rsidRPr="00312424">
        <w:rPr>
          <w:rFonts w:ascii="Calibri" w:hAnsi="Calibri" w:cs="Calibri"/>
          <w:b/>
          <w:szCs w:val="24"/>
          <w:lang w:val="pt-BR"/>
        </w:rPr>
        <w:t>nvestimentos</w:t>
      </w:r>
    </w:p>
    <w:p w:rsidR="00C16DDB" w:rsidRPr="00312424" w:rsidRDefault="00C16DDB" w:rsidP="00905F4A">
      <w:pPr>
        <w:pStyle w:val="Recuodecorpodetexto"/>
        <w:widowControl/>
        <w:autoSpaceDE w:val="0"/>
        <w:autoSpaceDN w:val="0"/>
        <w:ind w:left="1418"/>
        <w:rPr>
          <w:rFonts w:ascii="Calibri" w:hAnsi="Calibri" w:cs="Calibri"/>
          <w:szCs w:val="24"/>
        </w:rPr>
      </w:pPr>
    </w:p>
    <w:p w:rsidR="00C16DDB" w:rsidRPr="00312424" w:rsidRDefault="00C16DDB" w:rsidP="00905F4A">
      <w:pPr>
        <w:pStyle w:val="Ttulo3"/>
        <w:ind w:left="851"/>
        <w:jc w:val="both"/>
        <w:rPr>
          <w:rFonts w:ascii="Calibri" w:hAnsi="Calibri" w:cs="Calibri"/>
          <w:sz w:val="24"/>
          <w:szCs w:val="24"/>
        </w:rPr>
      </w:pPr>
      <w:r w:rsidRPr="00312424">
        <w:rPr>
          <w:rFonts w:ascii="Calibri" w:hAnsi="Calibri" w:cs="Calibri"/>
          <w:sz w:val="24"/>
          <w:szCs w:val="24"/>
        </w:rPr>
        <w:t xml:space="preserve">Propriedade mantida para auferir receita de aluguel ou para valorização de capital e não para venda no curso normal dos negócios, utilização na produção ou fornecimento de produtos ou serviços ou para propósitos administrativos. A propriedade é mensurada pelo custo no reconhecimento inicial. </w:t>
      </w:r>
    </w:p>
    <w:p w:rsidR="00AE3EE6" w:rsidRPr="00312424" w:rsidRDefault="00AE3EE6" w:rsidP="00905F4A">
      <w:pPr>
        <w:rPr>
          <w:rFonts w:ascii="Calibri" w:hAnsi="Calibri" w:cs="Calibri"/>
          <w:sz w:val="24"/>
          <w:szCs w:val="24"/>
        </w:rPr>
      </w:pPr>
    </w:p>
    <w:p w:rsidR="00C16DDB" w:rsidRPr="00312424" w:rsidRDefault="00C16DDB" w:rsidP="00905F4A">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Imobilizado</w:t>
      </w:r>
    </w:p>
    <w:p w:rsidR="00C16DDB" w:rsidRPr="00312424" w:rsidRDefault="00C16DDB" w:rsidP="00905F4A">
      <w:pPr>
        <w:pStyle w:val="Recuodecorpodetexto"/>
        <w:widowControl/>
        <w:autoSpaceDE w:val="0"/>
        <w:autoSpaceDN w:val="0"/>
        <w:ind w:left="1418"/>
        <w:rPr>
          <w:rFonts w:ascii="Calibri" w:hAnsi="Calibri" w:cs="Calibri"/>
          <w:szCs w:val="24"/>
        </w:rPr>
      </w:pPr>
    </w:p>
    <w:p w:rsidR="00861708" w:rsidRDefault="00C16DDB" w:rsidP="00905F4A">
      <w:pPr>
        <w:pStyle w:val="Ttulo3"/>
        <w:ind w:left="851"/>
        <w:jc w:val="both"/>
        <w:rPr>
          <w:rFonts w:ascii="Calibri" w:hAnsi="Calibri" w:cs="Calibri"/>
          <w:sz w:val="24"/>
          <w:szCs w:val="24"/>
        </w:rPr>
      </w:pPr>
      <w:r w:rsidRPr="00312424">
        <w:rPr>
          <w:rFonts w:ascii="Calibri" w:hAnsi="Calibri" w:cs="Calibri"/>
          <w:sz w:val="24"/>
          <w:szCs w:val="24"/>
        </w:rPr>
        <w:t xml:space="preserve">O </w:t>
      </w:r>
      <w:r w:rsidR="00E606FD">
        <w:rPr>
          <w:rFonts w:ascii="Calibri" w:hAnsi="Calibri" w:cs="Calibri"/>
          <w:sz w:val="24"/>
          <w:szCs w:val="24"/>
        </w:rPr>
        <w:tab/>
      </w:r>
      <w:r w:rsidR="00947D01">
        <w:rPr>
          <w:rFonts w:ascii="Calibri" w:hAnsi="Calibri" w:cs="Calibri"/>
          <w:sz w:val="24"/>
          <w:szCs w:val="24"/>
        </w:rPr>
        <w:t>i</w:t>
      </w:r>
      <w:r w:rsidRPr="00312424">
        <w:rPr>
          <w:rFonts w:ascii="Calibri" w:hAnsi="Calibri" w:cs="Calibri"/>
          <w:sz w:val="24"/>
          <w:szCs w:val="24"/>
        </w:rPr>
        <w:t xml:space="preserve">mobilizado </w:t>
      </w:r>
      <w:r w:rsidR="00861708">
        <w:rPr>
          <w:rFonts w:ascii="Calibri" w:hAnsi="Calibri" w:cs="Calibri"/>
          <w:sz w:val="24"/>
          <w:szCs w:val="24"/>
        </w:rPr>
        <w:t xml:space="preserve">é registrado pelo valor de </w:t>
      </w:r>
      <w:r w:rsidRPr="00312424">
        <w:rPr>
          <w:rFonts w:ascii="Calibri" w:hAnsi="Calibri" w:cs="Calibri"/>
          <w:sz w:val="24"/>
          <w:szCs w:val="24"/>
        </w:rPr>
        <w:t>custo</w:t>
      </w:r>
      <w:r w:rsidR="00861708">
        <w:rPr>
          <w:rFonts w:ascii="Calibri" w:hAnsi="Calibri" w:cs="Calibri"/>
          <w:sz w:val="24"/>
          <w:szCs w:val="24"/>
        </w:rPr>
        <w:t>, o qual é formado pelo custo</w:t>
      </w:r>
      <w:r w:rsidRPr="00312424">
        <w:rPr>
          <w:rFonts w:ascii="Calibri" w:hAnsi="Calibri" w:cs="Calibri"/>
          <w:sz w:val="24"/>
          <w:szCs w:val="24"/>
        </w:rPr>
        <w:t xml:space="preserve"> de aquisição,</w:t>
      </w:r>
      <w:r w:rsidR="00861708">
        <w:rPr>
          <w:rFonts w:ascii="Calibri" w:hAnsi="Calibri" w:cs="Calibri"/>
          <w:sz w:val="24"/>
          <w:szCs w:val="24"/>
        </w:rPr>
        <w:t xml:space="preserve"> formação ou construção, adicionados os juros e demais encargos financeiros incorridos durante a construção ou desenvolvimento de projetos, líquido</w:t>
      </w:r>
      <w:r w:rsidRPr="00312424">
        <w:rPr>
          <w:rFonts w:ascii="Calibri" w:hAnsi="Calibri" w:cs="Calibri"/>
          <w:sz w:val="24"/>
          <w:szCs w:val="24"/>
        </w:rPr>
        <w:t xml:space="preserve"> de depreciação</w:t>
      </w:r>
      <w:r w:rsidR="00861708">
        <w:rPr>
          <w:rFonts w:ascii="Calibri" w:hAnsi="Calibri" w:cs="Calibri"/>
          <w:sz w:val="24"/>
          <w:szCs w:val="24"/>
        </w:rPr>
        <w:t>.</w:t>
      </w:r>
      <w:r w:rsidRPr="00312424">
        <w:rPr>
          <w:rFonts w:ascii="Calibri" w:hAnsi="Calibri" w:cs="Calibri"/>
          <w:sz w:val="24"/>
          <w:szCs w:val="24"/>
        </w:rPr>
        <w:t xml:space="preserve"> </w:t>
      </w:r>
    </w:p>
    <w:p w:rsidR="00F5394A" w:rsidRPr="00F5394A" w:rsidRDefault="00F5394A" w:rsidP="00F5394A"/>
    <w:p w:rsidR="00F5394A" w:rsidRPr="00D711D0" w:rsidRDefault="00F5394A" w:rsidP="00F5394A">
      <w:pPr>
        <w:pStyle w:val="PargrafodaLista"/>
        <w:numPr>
          <w:ilvl w:val="0"/>
          <w:numId w:val="26"/>
        </w:numPr>
        <w:jc w:val="both"/>
        <w:rPr>
          <w:rFonts w:cs="Calibri"/>
          <w:b/>
          <w:sz w:val="24"/>
          <w:szCs w:val="24"/>
        </w:rPr>
      </w:pPr>
      <w:r w:rsidRPr="00D711D0">
        <w:rPr>
          <w:rFonts w:cs="Calibri"/>
          <w:b/>
          <w:sz w:val="24"/>
          <w:szCs w:val="24"/>
          <w:u w:val="single"/>
        </w:rPr>
        <w:t>T</w:t>
      </w:r>
      <w:r w:rsidR="00B328CF">
        <w:rPr>
          <w:rFonts w:cs="Calibri"/>
          <w:b/>
          <w:sz w:val="24"/>
          <w:szCs w:val="24"/>
          <w:u w:val="single"/>
        </w:rPr>
        <w:t xml:space="preserve">este de </w:t>
      </w:r>
      <w:proofErr w:type="spellStart"/>
      <w:r w:rsidR="00B328CF">
        <w:rPr>
          <w:rFonts w:cs="Calibri"/>
          <w:b/>
          <w:sz w:val="24"/>
          <w:szCs w:val="24"/>
          <w:u w:val="single"/>
        </w:rPr>
        <w:t>recuperabilidade</w:t>
      </w:r>
      <w:proofErr w:type="spellEnd"/>
      <w:r w:rsidRPr="00D711D0">
        <w:rPr>
          <w:rFonts w:cs="Calibri"/>
          <w:b/>
          <w:sz w:val="24"/>
          <w:szCs w:val="24"/>
          <w:u w:val="single"/>
        </w:rPr>
        <w:t xml:space="preserve"> – </w:t>
      </w:r>
      <w:proofErr w:type="spellStart"/>
      <w:r w:rsidRPr="00D711D0">
        <w:rPr>
          <w:rFonts w:cs="Calibri"/>
          <w:b/>
          <w:i/>
          <w:sz w:val="24"/>
          <w:szCs w:val="24"/>
          <w:u w:val="single"/>
        </w:rPr>
        <w:t>I</w:t>
      </w:r>
      <w:r w:rsidR="00B328CF">
        <w:rPr>
          <w:rFonts w:cs="Calibri"/>
          <w:b/>
          <w:i/>
          <w:sz w:val="24"/>
          <w:szCs w:val="24"/>
          <w:u w:val="single"/>
        </w:rPr>
        <w:t>mpairment</w:t>
      </w:r>
      <w:proofErr w:type="spellEnd"/>
    </w:p>
    <w:p w:rsidR="00F5394A" w:rsidRDefault="00F5394A" w:rsidP="00F5394A">
      <w:pPr>
        <w:ind w:left="851"/>
        <w:jc w:val="both"/>
        <w:rPr>
          <w:rFonts w:ascii="Calibri" w:hAnsi="Calibri" w:cs="Calibri"/>
          <w:noProof/>
          <w:snapToGrid/>
          <w:sz w:val="24"/>
          <w:szCs w:val="24"/>
        </w:rPr>
      </w:pPr>
      <w:r w:rsidRPr="00312424">
        <w:rPr>
          <w:rFonts w:ascii="Calibri" w:hAnsi="Calibri" w:cs="Calibri"/>
          <w:noProof/>
          <w:snapToGrid/>
          <w:sz w:val="24"/>
          <w:szCs w:val="24"/>
        </w:rPr>
        <mc:AlternateContent>
          <mc:Choice Requires="wps">
            <w:drawing>
              <wp:anchor distT="0" distB="0" distL="114300" distR="114300" simplePos="0" relativeHeight="251663872" behindDoc="0" locked="0" layoutInCell="0" allowOverlap="1" wp14:anchorId="29D90AFB" wp14:editId="06870FE3">
                <wp:simplePos x="0" y="0"/>
                <wp:positionH relativeFrom="column">
                  <wp:posOffset>167005</wp:posOffset>
                </wp:positionH>
                <wp:positionV relativeFrom="paragraph">
                  <wp:posOffset>753745</wp:posOffset>
                </wp:positionV>
                <wp:extent cx="1581785" cy="91440"/>
                <wp:effectExtent l="0" t="0" r="0" b="0"/>
                <wp:wrapNone/>
                <wp:docPr id="8" name="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wps:spPr>
                      <wps:txbx>
                        <w:txbxContent>
                          <w:p w:rsidR="00BA6DDB" w:rsidRPr="00E936EC" w:rsidRDefault="00BA6DDB" w:rsidP="00F5394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0AFB" id="_x0000_t202" coordsize="21600,21600" o:spt="202" path="m,l,21600r21600,l21600,xe">
                <v:stroke joinstyle="miter"/>
                <v:path gradientshapeok="t" o:connecttype="rect"/>
              </v:shapetype>
              <v:shape id="Texto 2" o:spid="_x0000_s1026" type="#_x0000_t202" style="position:absolute;left:0;text-align:left;margin-left:13.15pt;margin-top:59.35pt;width:124.55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V4rQIAAL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" o:allowincell="f" filled="f" stroked="f" strokeweight="3e-5mm">
                <v:textbox>
                  <w:txbxContent>
                    <w:p w:rsidR="00BA6DDB" w:rsidRPr="00E936EC" w:rsidRDefault="00BA6DDB" w:rsidP="00F5394A">
                      <w:pPr>
                        <w:rPr>
                          <w:sz w:val="18"/>
                          <w:szCs w:val="18"/>
                        </w:rPr>
                      </w:pPr>
                    </w:p>
                  </w:txbxContent>
                </v:textbox>
              </v:shape>
            </w:pict>
          </mc:Fallback>
        </mc:AlternateContent>
      </w:r>
      <w:r>
        <w:rPr>
          <w:rFonts w:ascii="Calibri" w:hAnsi="Calibri" w:cs="Calibri"/>
          <w:noProof/>
          <w:snapToGrid/>
          <w:sz w:val="24"/>
          <w:szCs w:val="24"/>
        </w:rPr>
        <w:t xml:space="preserve">Em </w:t>
      </w:r>
      <w:r w:rsidR="00B90F85">
        <w:rPr>
          <w:rFonts w:ascii="Calibri" w:hAnsi="Calibri" w:cs="Calibri"/>
          <w:noProof/>
          <w:snapToGrid/>
          <w:sz w:val="24"/>
          <w:szCs w:val="24"/>
        </w:rPr>
        <w:t xml:space="preserve">22 de agosto </w:t>
      </w:r>
      <w:r>
        <w:rPr>
          <w:rFonts w:ascii="Calibri" w:hAnsi="Calibri" w:cs="Calibri"/>
          <w:noProof/>
          <w:snapToGrid/>
          <w:sz w:val="24"/>
          <w:szCs w:val="24"/>
        </w:rPr>
        <w:t xml:space="preserve">2019, a CDRJ celebrou o contrato nº 034/2019 com a empresa Convergy Serviços e Contabilidade Ltda. para a prestação de serviços de análise e avaliação da redução ao valor recuperável de ativos e análise contábil dos valores registrados no Ativo Imobilizado e no Intangível, para cálculos do valor do </w:t>
      </w:r>
      <w:r w:rsidRPr="00DA75D1">
        <w:rPr>
          <w:rFonts w:ascii="Calibri" w:hAnsi="Calibri" w:cs="Calibri"/>
          <w:i/>
          <w:noProof/>
          <w:snapToGrid/>
          <w:sz w:val="24"/>
          <w:szCs w:val="24"/>
        </w:rPr>
        <w:t>impairment</w:t>
      </w:r>
      <w:r>
        <w:rPr>
          <w:rFonts w:ascii="Calibri" w:hAnsi="Calibri" w:cs="Calibri"/>
          <w:noProof/>
          <w:snapToGrid/>
          <w:sz w:val="24"/>
          <w:szCs w:val="24"/>
        </w:rPr>
        <w:t>, vida útil residual e elaboração do fluxo de caixa por Unidade Geradora de Caixa – UGC.</w:t>
      </w:r>
    </w:p>
    <w:p w:rsidR="00F5394A" w:rsidRDefault="00F5394A" w:rsidP="00F5394A">
      <w:pPr>
        <w:ind w:left="851"/>
        <w:jc w:val="both"/>
        <w:rPr>
          <w:rFonts w:ascii="Calibri" w:hAnsi="Calibri" w:cs="Calibri"/>
          <w:noProof/>
          <w:snapToGrid/>
          <w:sz w:val="24"/>
          <w:szCs w:val="24"/>
        </w:rPr>
      </w:pPr>
    </w:p>
    <w:p w:rsidR="00BA6DDB" w:rsidRDefault="00BA6DDB" w:rsidP="00F5394A">
      <w:pPr>
        <w:ind w:left="851"/>
        <w:jc w:val="both"/>
        <w:rPr>
          <w:rFonts w:ascii="Calibri" w:hAnsi="Calibri" w:cs="Calibri"/>
          <w:noProof/>
          <w:snapToGrid/>
          <w:sz w:val="24"/>
          <w:szCs w:val="24"/>
        </w:rPr>
      </w:pPr>
    </w:p>
    <w:p w:rsidR="00BA6DDB" w:rsidRDefault="00BA6DDB" w:rsidP="00F5394A">
      <w:pPr>
        <w:ind w:left="851"/>
        <w:jc w:val="both"/>
        <w:rPr>
          <w:rFonts w:ascii="Calibri" w:hAnsi="Calibri" w:cs="Calibri"/>
          <w:noProof/>
          <w:snapToGrid/>
          <w:sz w:val="24"/>
          <w:szCs w:val="24"/>
        </w:rPr>
      </w:pPr>
    </w:p>
    <w:p w:rsidR="00BA6DDB" w:rsidRDefault="00BA6DDB" w:rsidP="00F5394A">
      <w:pPr>
        <w:ind w:left="851"/>
        <w:jc w:val="both"/>
        <w:rPr>
          <w:rFonts w:ascii="Calibri" w:hAnsi="Calibri" w:cs="Calibri"/>
          <w:noProof/>
          <w:snapToGrid/>
          <w:sz w:val="24"/>
          <w:szCs w:val="24"/>
        </w:rPr>
      </w:pPr>
    </w:p>
    <w:p w:rsidR="00F5394A" w:rsidRDefault="00F5394A" w:rsidP="00F5394A">
      <w:pPr>
        <w:ind w:left="851"/>
        <w:jc w:val="both"/>
        <w:rPr>
          <w:rFonts w:ascii="Calibri" w:hAnsi="Calibri" w:cs="Calibri"/>
          <w:noProof/>
          <w:snapToGrid/>
          <w:sz w:val="24"/>
          <w:szCs w:val="24"/>
        </w:rPr>
      </w:pPr>
      <w:r>
        <w:rPr>
          <w:rFonts w:ascii="Calibri" w:hAnsi="Calibri" w:cs="Calibri"/>
          <w:noProof/>
          <w:snapToGrid/>
          <w:sz w:val="24"/>
          <w:szCs w:val="24"/>
        </w:rPr>
        <w:lastRenderedPageBreak/>
        <w:t>A contratada definiu a realização do teste de impairment, inicialmente, utilizando-se da abordagem de Valor em Uso para testar os ativos, dada a sua praticidade, valor preditivo e completa aderência à definição de ativo, segundo o IFRS.</w:t>
      </w:r>
    </w:p>
    <w:p w:rsidR="00BA6DDB" w:rsidRDefault="00BA6DDB" w:rsidP="00F5394A">
      <w:pPr>
        <w:ind w:left="851"/>
        <w:jc w:val="both"/>
        <w:rPr>
          <w:rFonts w:ascii="Calibri" w:hAnsi="Calibri" w:cs="Calibri"/>
          <w:noProof/>
          <w:snapToGrid/>
          <w:sz w:val="24"/>
          <w:szCs w:val="24"/>
        </w:rPr>
      </w:pPr>
    </w:p>
    <w:p w:rsidR="00F5394A" w:rsidRDefault="00F5394A" w:rsidP="00F5394A">
      <w:pPr>
        <w:ind w:left="851"/>
        <w:jc w:val="both"/>
        <w:rPr>
          <w:rFonts w:ascii="Calibri" w:hAnsi="Calibri" w:cs="Calibri"/>
          <w:noProof/>
          <w:snapToGrid/>
          <w:sz w:val="24"/>
          <w:szCs w:val="24"/>
        </w:rPr>
      </w:pPr>
      <w:r>
        <w:rPr>
          <w:rFonts w:ascii="Calibri" w:hAnsi="Calibri" w:cs="Calibri"/>
          <w:noProof/>
          <w:snapToGrid/>
          <w:sz w:val="24"/>
          <w:szCs w:val="24"/>
        </w:rPr>
        <w:t>Foram identificadas quatro Unidades Geradoras de Caixa: UGC Porto do Rio de Janeiro, UGC Porto Niterói, UGC Porto de Itaguaí e UGC Porto de Angra dos Reis.</w:t>
      </w:r>
    </w:p>
    <w:p w:rsidR="001C4695" w:rsidRDefault="001C4695" w:rsidP="00F5394A">
      <w:pPr>
        <w:ind w:left="851"/>
        <w:jc w:val="both"/>
        <w:rPr>
          <w:rFonts w:ascii="Calibri" w:hAnsi="Calibri" w:cs="Calibri"/>
          <w:noProof/>
          <w:snapToGrid/>
          <w:sz w:val="24"/>
          <w:szCs w:val="24"/>
        </w:rPr>
      </w:pPr>
    </w:p>
    <w:p w:rsidR="00F5394A" w:rsidRDefault="00F5394A" w:rsidP="00F5394A">
      <w:pPr>
        <w:ind w:left="851"/>
        <w:jc w:val="both"/>
        <w:rPr>
          <w:rFonts w:ascii="Calibri" w:hAnsi="Calibri" w:cs="Calibri"/>
          <w:noProof/>
          <w:snapToGrid/>
          <w:sz w:val="24"/>
          <w:szCs w:val="24"/>
        </w:rPr>
      </w:pPr>
      <w:r>
        <w:rPr>
          <w:rFonts w:ascii="Calibri" w:hAnsi="Calibri" w:cs="Calibri"/>
          <w:noProof/>
          <w:snapToGrid/>
          <w:sz w:val="24"/>
          <w:szCs w:val="24"/>
        </w:rPr>
        <w:t>Os testes provaram a recuperabilidade de todos os ativos tangíveis e intangíveis, tendo sido realizados pelo valor em uso na UGC Porto do Rio de Janeiro e na UGC Porto de Itaguaí, e pelo valor de mercado na UGC Porto de Niterói e na UGC Porto de Angra dos Reis.</w:t>
      </w:r>
    </w:p>
    <w:p w:rsidR="00F5394A" w:rsidRDefault="00F5394A" w:rsidP="00F5394A">
      <w:pPr>
        <w:ind w:left="851"/>
        <w:jc w:val="both"/>
        <w:rPr>
          <w:rFonts w:ascii="Calibri" w:hAnsi="Calibri" w:cs="Calibri"/>
          <w:noProof/>
          <w:snapToGrid/>
          <w:sz w:val="24"/>
          <w:szCs w:val="24"/>
        </w:rPr>
      </w:pPr>
    </w:p>
    <w:p w:rsidR="00F5394A" w:rsidRDefault="00F5394A" w:rsidP="00F5394A">
      <w:pPr>
        <w:ind w:left="851"/>
        <w:jc w:val="both"/>
        <w:rPr>
          <w:rFonts w:ascii="Calibri" w:hAnsi="Calibri" w:cs="Calibri"/>
          <w:noProof/>
          <w:snapToGrid/>
          <w:sz w:val="24"/>
          <w:szCs w:val="24"/>
        </w:rPr>
      </w:pPr>
      <w:r>
        <w:rPr>
          <w:rFonts w:ascii="Calibri" w:hAnsi="Calibri" w:cs="Calibri"/>
          <w:noProof/>
          <w:snapToGrid/>
          <w:sz w:val="24"/>
          <w:szCs w:val="24"/>
        </w:rPr>
        <w:t>Os testes provaram tam</w:t>
      </w:r>
      <w:r w:rsidR="00295F15">
        <w:rPr>
          <w:rFonts w:ascii="Calibri" w:hAnsi="Calibri" w:cs="Calibri"/>
          <w:noProof/>
          <w:snapToGrid/>
          <w:sz w:val="24"/>
          <w:szCs w:val="24"/>
        </w:rPr>
        <w:t>b</w:t>
      </w:r>
      <w:r>
        <w:rPr>
          <w:rFonts w:ascii="Calibri" w:hAnsi="Calibri" w:cs="Calibri"/>
          <w:noProof/>
          <w:snapToGrid/>
          <w:sz w:val="24"/>
          <w:szCs w:val="24"/>
        </w:rPr>
        <w:t>ém, em procedimento complementar, incluindo os itens administrativos, corporativos e de complementariedade carregados às UGC, que todos os ativos passam no teste de impairment sem indícios de perda por desvalorização.</w:t>
      </w:r>
    </w:p>
    <w:p w:rsidR="00F5394A" w:rsidRPr="00D711D0" w:rsidRDefault="00F5394A" w:rsidP="00F5394A"/>
    <w:p w:rsidR="00F5394A" w:rsidRPr="00D711D0" w:rsidRDefault="00F5394A" w:rsidP="00F5394A">
      <w:pPr>
        <w:pStyle w:val="Ttulo3"/>
        <w:numPr>
          <w:ilvl w:val="0"/>
          <w:numId w:val="26"/>
        </w:numPr>
        <w:jc w:val="both"/>
        <w:rPr>
          <w:rFonts w:ascii="Calibri" w:hAnsi="Calibri" w:cs="Calibri"/>
          <w:b/>
          <w:bCs/>
          <w:sz w:val="24"/>
          <w:szCs w:val="24"/>
        </w:rPr>
      </w:pPr>
      <w:r w:rsidRPr="00D711D0">
        <w:rPr>
          <w:rFonts w:ascii="Calibri" w:hAnsi="Calibri" w:cs="Calibri"/>
          <w:b/>
          <w:bCs/>
          <w:sz w:val="24"/>
          <w:szCs w:val="24"/>
        </w:rPr>
        <w:t>Vida útil</w:t>
      </w:r>
    </w:p>
    <w:p w:rsidR="00F5394A" w:rsidRPr="00D711D0" w:rsidRDefault="00F5394A" w:rsidP="00F5394A"/>
    <w:p w:rsidR="00F5394A" w:rsidRPr="00312424" w:rsidRDefault="00F5394A" w:rsidP="00F5394A">
      <w:pPr>
        <w:pStyle w:val="Ttulo3"/>
        <w:ind w:left="851"/>
        <w:jc w:val="both"/>
        <w:rPr>
          <w:rFonts w:ascii="Calibri" w:hAnsi="Calibri" w:cs="Calibri"/>
          <w:sz w:val="24"/>
          <w:szCs w:val="24"/>
        </w:rPr>
      </w:pPr>
      <w:r w:rsidRPr="00312424">
        <w:rPr>
          <w:rFonts w:ascii="Calibri" w:hAnsi="Calibri" w:cs="Calibri"/>
          <w:sz w:val="24"/>
          <w:szCs w:val="24"/>
        </w:rPr>
        <w:t>A depreciação é calculada segundo o método linear, com base em taxas que contemplam a vida útil-econômica estimada para cada classe de bens</w:t>
      </w:r>
      <w:r>
        <w:rPr>
          <w:rFonts w:ascii="Calibri" w:hAnsi="Calibri" w:cs="Calibri"/>
          <w:sz w:val="24"/>
          <w:szCs w:val="24"/>
        </w:rPr>
        <w:t>.</w:t>
      </w:r>
    </w:p>
    <w:p w:rsidR="00F5394A" w:rsidRDefault="00F5394A" w:rsidP="00F5394A">
      <w:pPr>
        <w:pStyle w:val="Recuodecorpodetexto"/>
        <w:widowControl/>
        <w:autoSpaceDE w:val="0"/>
        <w:autoSpaceDN w:val="0"/>
        <w:ind w:left="1353"/>
        <w:rPr>
          <w:rFonts w:ascii="Calibri" w:hAnsi="Calibri" w:cs="Calibri"/>
          <w:b/>
          <w:szCs w:val="24"/>
          <w:lang w:val="pt-BR"/>
        </w:rPr>
      </w:pPr>
    </w:p>
    <w:p w:rsidR="00F5394A" w:rsidRDefault="00F5394A" w:rsidP="00F5394A">
      <w:pPr>
        <w:pStyle w:val="Ttulo3"/>
        <w:ind w:left="851"/>
        <w:jc w:val="both"/>
        <w:rPr>
          <w:rFonts w:ascii="Calibri" w:hAnsi="Calibri" w:cs="Calibri"/>
          <w:sz w:val="24"/>
          <w:szCs w:val="24"/>
        </w:rPr>
      </w:pPr>
      <w:r>
        <w:rPr>
          <w:rFonts w:ascii="Calibri" w:hAnsi="Calibri" w:cs="Calibri"/>
          <w:sz w:val="24"/>
          <w:szCs w:val="24"/>
        </w:rPr>
        <w:t>O Imobilizado está segregado nos seguintes grupos, segundo o Manual de Contas das Autoridades Portuárias, instituído pela Portaria nº 57, de 8 de março de 2016, da ANTAQ, e possui as seguintes taxas anuais de depreciação:</w:t>
      </w:r>
    </w:p>
    <w:p w:rsidR="008B1598" w:rsidRDefault="008B1598" w:rsidP="008B1598"/>
    <w:tbl>
      <w:tblPr>
        <w:tblW w:w="6737" w:type="dxa"/>
        <w:jc w:val="center"/>
        <w:tblCellMar>
          <w:left w:w="70" w:type="dxa"/>
          <w:right w:w="70" w:type="dxa"/>
        </w:tblCellMar>
        <w:tblLook w:val="04A0" w:firstRow="1" w:lastRow="0" w:firstColumn="1" w:lastColumn="0" w:noHBand="0" w:noVBand="1"/>
      </w:tblPr>
      <w:tblGrid>
        <w:gridCol w:w="195"/>
        <w:gridCol w:w="190"/>
        <w:gridCol w:w="4232"/>
        <w:gridCol w:w="2120"/>
      </w:tblGrid>
      <w:tr w:rsidR="008B1598" w:rsidRPr="001C4695" w:rsidTr="00B90F85">
        <w:trPr>
          <w:trHeight w:val="284"/>
          <w:jc w:val="center"/>
        </w:trPr>
        <w:tc>
          <w:tcPr>
            <w:tcW w:w="46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Bens em Operação</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Taxas Anuais de Depreciação</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4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Contas</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B1598" w:rsidRPr="001C4695" w:rsidRDefault="008B1598" w:rsidP="008B1598">
            <w:pPr>
              <w:widowControl/>
              <w:rPr>
                <w:rFonts w:ascii="Calibri" w:hAnsi="Calibri" w:cs="Calibri"/>
                <w:snapToGrid/>
                <w:color w:val="000000"/>
                <w:sz w:val="22"/>
                <w:szCs w:val="22"/>
              </w:rPr>
            </w:pP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xml:space="preserve">Dragagem </w:t>
            </w:r>
            <w:r w:rsidR="00707B6E" w:rsidRPr="001C4695">
              <w:rPr>
                <w:rFonts w:ascii="Calibri" w:hAnsi="Calibri" w:cs="Calibri"/>
                <w:snapToGrid/>
                <w:color w:val="000000"/>
                <w:sz w:val="22"/>
                <w:szCs w:val="22"/>
              </w:rPr>
              <w:t>–</w:t>
            </w:r>
            <w:r w:rsidRPr="001C4695">
              <w:rPr>
                <w:rFonts w:ascii="Calibri" w:hAnsi="Calibri" w:cs="Calibri"/>
                <w:snapToGrid/>
                <w:color w:val="000000"/>
                <w:sz w:val="22"/>
                <w:szCs w:val="22"/>
              </w:rPr>
              <w:t xml:space="preserve"> Aprofundamento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10% e 20%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Sinalização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Proteção Marítima</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Berço e Cais</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Estacionamento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4%</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Vias Internas</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Linha Férrea</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4%</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Pátios</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Armazéns</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25%</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proofErr w:type="spellStart"/>
            <w:r w:rsidRPr="001C4695">
              <w:rPr>
                <w:rFonts w:ascii="Calibri" w:hAnsi="Calibri" w:cs="Calibri"/>
                <w:snapToGrid/>
                <w:color w:val="000000"/>
                <w:sz w:val="22"/>
                <w:szCs w:val="22"/>
              </w:rPr>
              <w:t>Tancagem</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7%</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Silo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4%</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Guindaste</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8%</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proofErr w:type="spellStart"/>
            <w:r w:rsidRPr="001C4695">
              <w:rPr>
                <w:rFonts w:ascii="Calibri" w:hAnsi="Calibri" w:cs="Calibri"/>
                <w:snapToGrid/>
                <w:color w:val="000000"/>
                <w:sz w:val="22"/>
                <w:szCs w:val="22"/>
              </w:rPr>
              <w:t>Portêiner</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proofErr w:type="spellStart"/>
            <w:r w:rsidRPr="001C4695">
              <w:rPr>
                <w:rFonts w:ascii="Calibri" w:hAnsi="Calibri" w:cs="Calibri"/>
                <w:snapToGrid/>
                <w:color w:val="000000"/>
                <w:sz w:val="22"/>
                <w:szCs w:val="22"/>
              </w:rPr>
              <w:t>Ship</w:t>
            </w:r>
            <w:proofErr w:type="spellEnd"/>
            <w:r w:rsidRPr="001C4695">
              <w:rPr>
                <w:rFonts w:ascii="Calibri" w:hAnsi="Calibri" w:cs="Calibri"/>
                <w:snapToGrid/>
                <w:color w:val="000000"/>
                <w:sz w:val="22"/>
                <w:szCs w:val="22"/>
              </w:rPr>
              <w:t xml:space="preserve"> </w:t>
            </w:r>
            <w:proofErr w:type="spellStart"/>
            <w:r w:rsidRPr="001C4695">
              <w:rPr>
                <w:rFonts w:ascii="Calibri" w:hAnsi="Calibri" w:cs="Calibri"/>
                <w:snapToGrid/>
                <w:color w:val="000000"/>
                <w:sz w:val="22"/>
                <w:szCs w:val="22"/>
              </w:rPr>
              <w:t>Loader</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5 e 7%</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Correia Transportadora</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7%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Tubulação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10%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proofErr w:type="spellStart"/>
            <w:r w:rsidRPr="001C4695">
              <w:rPr>
                <w:rFonts w:ascii="Calibri" w:hAnsi="Calibri" w:cs="Calibri"/>
                <w:snapToGrid/>
                <w:color w:val="000000"/>
                <w:sz w:val="22"/>
                <w:szCs w:val="22"/>
              </w:rPr>
              <w:t>Grab</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20%</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Empilhadeira</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5% e 12%</w:t>
            </w:r>
          </w:p>
        </w:tc>
      </w:tr>
      <w:tr w:rsidR="008B1598" w:rsidRPr="001C4695" w:rsidTr="00B90F8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0"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32"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xml:space="preserve">Outros </w:t>
            </w:r>
            <w:r w:rsidR="00707B6E" w:rsidRPr="001C4695">
              <w:rPr>
                <w:rFonts w:ascii="Calibri" w:hAnsi="Calibri" w:cs="Calibri"/>
                <w:snapToGrid/>
                <w:color w:val="000000"/>
                <w:sz w:val="22"/>
                <w:szCs w:val="22"/>
              </w:rPr>
              <w:t>–</w:t>
            </w:r>
            <w:r w:rsidRPr="001C4695">
              <w:rPr>
                <w:rFonts w:ascii="Calibri" w:hAnsi="Calibri" w:cs="Calibri"/>
                <w:snapToGrid/>
                <w:color w:val="000000"/>
                <w:sz w:val="22"/>
                <w:szCs w:val="22"/>
              </w:rPr>
              <w:t xml:space="preserve"> Equipamentos</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20%</w:t>
            </w:r>
          </w:p>
        </w:tc>
      </w:tr>
    </w:tbl>
    <w:p w:rsidR="00B90F85" w:rsidRDefault="00B90F85" w:rsidP="008B1598">
      <w:pPr>
        <w:pStyle w:val="Recuodecorpodetexto"/>
        <w:widowControl/>
        <w:autoSpaceDE w:val="0"/>
        <w:autoSpaceDN w:val="0"/>
        <w:ind w:left="1353"/>
        <w:rPr>
          <w:rFonts w:ascii="Calibri" w:hAnsi="Calibri" w:cs="Calibri"/>
          <w:b/>
          <w:szCs w:val="24"/>
          <w:lang w:val="pt-BR"/>
        </w:rPr>
      </w:pPr>
    </w:p>
    <w:p w:rsidR="00BA6DDB" w:rsidRDefault="00BA6DDB" w:rsidP="008B1598">
      <w:pPr>
        <w:pStyle w:val="Recuodecorpodetexto"/>
        <w:widowControl/>
        <w:autoSpaceDE w:val="0"/>
        <w:autoSpaceDN w:val="0"/>
        <w:ind w:left="1353"/>
        <w:rPr>
          <w:rFonts w:ascii="Calibri" w:hAnsi="Calibri" w:cs="Calibri"/>
          <w:b/>
          <w:szCs w:val="24"/>
          <w:lang w:val="pt-BR"/>
        </w:rPr>
      </w:pPr>
    </w:p>
    <w:p w:rsidR="00B90F85" w:rsidRDefault="00B90F85" w:rsidP="008B1598">
      <w:pPr>
        <w:pStyle w:val="Recuodecorpodetexto"/>
        <w:widowControl/>
        <w:autoSpaceDE w:val="0"/>
        <w:autoSpaceDN w:val="0"/>
        <w:ind w:left="1353"/>
        <w:rPr>
          <w:rFonts w:ascii="Calibri" w:hAnsi="Calibri" w:cs="Calibri"/>
          <w:b/>
          <w:szCs w:val="24"/>
          <w:lang w:val="pt-BR"/>
        </w:rPr>
      </w:pPr>
    </w:p>
    <w:tbl>
      <w:tblPr>
        <w:tblW w:w="6789" w:type="dxa"/>
        <w:jc w:val="center"/>
        <w:tblCellMar>
          <w:left w:w="70" w:type="dxa"/>
          <w:right w:w="70" w:type="dxa"/>
        </w:tblCellMar>
        <w:tblLook w:val="04A0" w:firstRow="1" w:lastRow="0" w:firstColumn="1" w:lastColumn="0" w:noHBand="0" w:noVBand="1"/>
      </w:tblPr>
      <w:tblGrid>
        <w:gridCol w:w="195"/>
        <w:gridCol w:w="190"/>
        <w:gridCol w:w="4284"/>
        <w:gridCol w:w="2120"/>
      </w:tblGrid>
      <w:tr w:rsidR="00B90F85" w:rsidRPr="001C4695" w:rsidTr="00BB1C75">
        <w:trPr>
          <w:trHeight w:val="284"/>
          <w:jc w:val="center"/>
        </w:trPr>
        <w:tc>
          <w:tcPr>
            <w:tcW w:w="46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Bens – Administração</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Taxas Anuais de Depreciação</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44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Contas</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90F85" w:rsidRPr="001C4695" w:rsidRDefault="00B90F85" w:rsidP="00BB1C75">
            <w:pPr>
              <w:widowControl/>
              <w:rPr>
                <w:rFonts w:ascii="Calibri" w:hAnsi="Calibri" w:cs="Calibri"/>
                <w:snapToGrid/>
                <w:color w:val="000000"/>
                <w:sz w:val="22"/>
                <w:szCs w:val="22"/>
              </w:rPr>
            </w:pP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Terrenos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Não deprecia</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Edificações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25%</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Instalações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2% e 10%</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Máquinas, Aparelhos e Equipamentos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5% e 50%</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Equipamentos de Informática</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10% e 33%</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Sistemas Aplicativos (Software)</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10% e 20%</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Mobiliário</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3% e 20%</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Veículos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4% e 25%</w:t>
            </w:r>
          </w:p>
        </w:tc>
      </w:tr>
      <w:tr w:rsidR="00B90F85" w:rsidRPr="001C4695" w:rsidTr="00BB1C7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B90F85" w:rsidRPr="008B1598" w:rsidRDefault="00B90F85" w:rsidP="00BB1C75">
            <w:pPr>
              <w:widowControl/>
              <w:rPr>
                <w:rFonts w:ascii="Calibri" w:hAnsi="Calibri" w:cs="Calibri"/>
                <w:snapToGrid/>
                <w:color w:val="000000"/>
                <w:sz w:val="24"/>
                <w:szCs w:val="24"/>
              </w:rPr>
            </w:pPr>
            <w:r w:rsidRPr="008B1598">
              <w:rPr>
                <w:rFonts w:ascii="Calibri" w:hAnsi="Calibri" w:cs="Calibri"/>
                <w:snapToGrid/>
                <w:color w:val="000000"/>
                <w:sz w:val="24"/>
                <w:szCs w:val="24"/>
              </w:rPr>
              <w:t> </w:t>
            </w:r>
          </w:p>
        </w:tc>
        <w:tc>
          <w:tcPr>
            <w:tcW w:w="190" w:type="dxa"/>
            <w:tcBorders>
              <w:top w:val="nil"/>
              <w:left w:val="nil"/>
              <w:bottom w:val="single" w:sz="4" w:space="0" w:color="auto"/>
              <w:right w:val="nil"/>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284"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rPr>
                <w:rFonts w:ascii="Calibri" w:hAnsi="Calibri" w:cs="Calibri"/>
                <w:snapToGrid/>
                <w:color w:val="000000"/>
                <w:sz w:val="22"/>
                <w:szCs w:val="22"/>
              </w:rPr>
            </w:pPr>
            <w:r w:rsidRPr="001C4695">
              <w:rPr>
                <w:rFonts w:ascii="Calibri" w:hAnsi="Calibri" w:cs="Calibri"/>
                <w:snapToGrid/>
                <w:color w:val="000000"/>
                <w:sz w:val="22"/>
                <w:szCs w:val="22"/>
              </w:rPr>
              <w:t>Ferramentas</w:t>
            </w:r>
          </w:p>
        </w:tc>
        <w:tc>
          <w:tcPr>
            <w:tcW w:w="2120" w:type="dxa"/>
            <w:tcBorders>
              <w:top w:val="nil"/>
              <w:left w:val="nil"/>
              <w:bottom w:val="single" w:sz="4" w:space="0" w:color="auto"/>
              <w:right w:val="single" w:sz="4" w:space="0" w:color="auto"/>
            </w:tcBorders>
            <w:shd w:val="clear" w:color="auto" w:fill="auto"/>
            <w:noWrap/>
            <w:vAlign w:val="center"/>
            <w:hideMark/>
          </w:tcPr>
          <w:p w:rsidR="00B90F85" w:rsidRPr="001C4695" w:rsidRDefault="00B90F85" w:rsidP="00BB1C75">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5% e 10%</w:t>
            </w:r>
          </w:p>
        </w:tc>
      </w:tr>
    </w:tbl>
    <w:p w:rsidR="00B90F85" w:rsidRDefault="00B90F85" w:rsidP="008B1598">
      <w:pPr>
        <w:pStyle w:val="Recuodecorpodetexto"/>
        <w:widowControl/>
        <w:autoSpaceDE w:val="0"/>
        <w:autoSpaceDN w:val="0"/>
        <w:ind w:left="1353"/>
        <w:rPr>
          <w:rFonts w:ascii="Calibri" w:hAnsi="Calibri" w:cs="Calibri"/>
          <w:b/>
          <w:szCs w:val="24"/>
          <w:lang w:val="pt-BR"/>
        </w:rPr>
      </w:pPr>
    </w:p>
    <w:p w:rsidR="00B90F85" w:rsidRDefault="00B90F85" w:rsidP="008B1598">
      <w:pPr>
        <w:pStyle w:val="Recuodecorpodetexto"/>
        <w:widowControl/>
        <w:autoSpaceDE w:val="0"/>
        <w:autoSpaceDN w:val="0"/>
        <w:ind w:left="1353"/>
        <w:rPr>
          <w:rFonts w:ascii="Calibri" w:hAnsi="Calibri" w:cs="Calibri"/>
          <w:b/>
          <w:szCs w:val="24"/>
          <w:lang w:val="pt-BR"/>
        </w:rPr>
      </w:pPr>
    </w:p>
    <w:tbl>
      <w:tblPr>
        <w:tblW w:w="6709" w:type="dxa"/>
        <w:jc w:val="center"/>
        <w:tblCellMar>
          <w:left w:w="70" w:type="dxa"/>
          <w:right w:w="70" w:type="dxa"/>
        </w:tblCellMar>
        <w:tblLook w:val="04A0" w:firstRow="1" w:lastRow="0" w:firstColumn="1" w:lastColumn="0" w:noHBand="0" w:noVBand="1"/>
      </w:tblPr>
      <w:tblGrid>
        <w:gridCol w:w="195"/>
        <w:gridCol w:w="195"/>
        <w:gridCol w:w="4199"/>
        <w:gridCol w:w="2120"/>
      </w:tblGrid>
      <w:tr w:rsidR="008B1598" w:rsidRPr="008B1598" w:rsidTr="001C4695">
        <w:trPr>
          <w:trHeight w:val="284"/>
          <w:jc w:val="center"/>
        </w:trPr>
        <w:tc>
          <w:tcPr>
            <w:tcW w:w="458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Imobilizado em Andamento</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Taxas Anuais de Depreciação</w:t>
            </w:r>
          </w:p>
        </w:tc>
      </w:tr>
      <w:tr w:rsidR="008B1598" w:rsidRPr="008B1598" w:rsidTr="001C469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Contas</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B1598" w:rsidRPr="001C4695" w:rsidRDefault="008B1598" w:rsidP="008B1598">
            <w:pPr>
              <w:widowControl/>
              <w:rPr>
                <w:rFonts w:ascii="Calibri" w:hAnsi="Calibri" w:cs="Calibri"/>
                <w:snapToGrid/>
                <w:color w:val="000000"/>
                <w:sz w:val="22"/>
                <w:szCs w:val="22"/>
              </w:rPr>
            </w:pPr>
          </w:p>
        </w:tc>
      </w:tr>
      <w:tr w:rsidR="008B1598" w:rsidRPr="008B1598" w:rsidTr="001C469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5" w:type="dxa"/>
            <w:tcBorders>
              <w:top w:val="nil"/>
              <w:left w:val="nil"/>
              <w:bottom w:val="single" w:sz="4" w:space="0" w:color="auto"/>
              <w:right w:val="nil"/>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199"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rPr>
                <w:rFonts w:ascii="Calibri" w:hAnsi="Calibri" w:cs="Calibri"/>
                <w:snapToGrid/>
                <w:color w:val="000000"/>
                <w:sz w:val="22"/>
                <w:szCs w:val="22"/>
              </w:rPr>
            </w:pPr>
            <w:r w:rsidRPr="001C4695">
              <w:rPr>
                <w:rFonts w:ascii="Calibri" w:hAnsi="Calibri" w:cs="Calibri"/>
                <w:snapToGrid/>
                <w:color w:val="000000"/>
                <w:sz w:val="22"/>
                <w:szCs w:val="22"/>
              </w:rPr>
              <w:t>Obras em Andamento</w:t>
            </w:r>
          </w:p>
        </w:tc>
        <w:tc>
          <w:tcPr>
            <w:tcW w:w="2120" w:type="dxa"/>
            <w:tcBorders>
              <w:top w:val="nil"/>
              <w:left w:val="nil"/>
              <w:bottom w:val="single" w:sz="4" w:space="0" w:color="auto"/>
              <w:right w:val="single" w:sz="4" w:space="0" w:color="auto"/>
            </w:tcBorders>
            <w:shd w:val="clear" w:color="auto" w:fill="auto"/>
            <w:noWrap/>
            <w:vAlign w:val="center"/>
            <w:hideMark/>
          </w:tcPr>
          <w:p w:rsidR="008B1598" w:rsidRPr="001C4695" w:rsidRDefault="008B1598" w:rsidP="008B1598">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Não deprecia</w:t>
            </w:r>
          </w:p>
        </w:tc>
      </w:tr>
      <w:tr w:rsidR="0036637E" w:rsidRPr="008B1598" w:rsidTr="001C4695">
        <w:trPr>
          <w:trHeight w:val="284"/>
          <w:jc w:val="center"/>
        </w:trPr>
        <w:tc>
          <w:tcPr>
            <w:tcW w:w="195" w:type="dxa"/>
            <w:tcBorders>
              <w:top w:val="nil"/>
              <w:left w:val="single" w:sz="4" w:space="0" w:color="auto"/>
              <w:bottom w:val="single" w:sz="4" w:space="0" w:color="auto"/>
              <w:right w:val="nil"/>
            </w:tcBorders>
            <w:shd w:val="clear" w:color="auto" w:fill="auto"/>
            <w:noWrap/>
            <w:vAlign w:val="center"/>
            <w:hideMark/>
          </w:tcPr>
          <w:p w:rsidR="0036637E" w:rsidRPr="001C4695" w:rsidRDefault="0036637E" w:rsidP="0036637E">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195" w:type="dxa"/>
            <w:tcBorders>
              <w:top w:val="nil"/>
              <w:left w:val="nil"/>
              <w:bottom w:val="single" w:sz="4" w:space="0" w:color="auto"/>
              <w:right w:val="nil"/>
            </w:tcBorders>
            <w:shd w:val="clear" w:color="auto" w:fill="auto"/>
            <w:noWrap/>
            <w:vAlign w:val="center"/>
            <w:hideMark/>
          </w:tcPr>
          <w:p w:rsidR="0036637E" w:rsidRPr="001C4695" w:rsidRDefault="0036637E" w:rsidP="0036637E">
            <w:pPr>
              <w:widowControl/>
              <w:rPr>
                <w:rFonts w:ascii="Calibri" w:hAnsi="Calibri" w:cs="Calibri"/>
                <w:snapToGrid/>
                <w:color w:val="000000"/>
                <w:sz w:val="22"/>
                <w:szCs w:val="22"/>
              </w:rPr>
            </w:pPr>
            <w:r w:rsidRPr="001C4695">
              <w:rPr>
                <w:rFonts w:ascii="Calibri" w:hAnsi="Calibri" w:cs="Calibri"/>
                <w:snapToGrid/>
                <w:color w:val="000000"/>
                <w:sz w:val="22"/>
                <w:szCs w:val="22"/>
              </w:rPr>
              <w:t> </w:t>
            </w:r>
          </w:p>
        </w:tc>
        <w:tc>
          <w:tcPr>
            <w:tcW w:w="4199" w:type="dxa"/>
            <w:tcBorders>
              <w:top w:val="nil"/>
              <w:left w:val="nil"/>
              <w:bottom w:val="single" w:sz="4" w:space="0" w:color="auto"/>
              <w:right w:val="single" w:sz="4" w:space="0" w:color="auto"/>
            </w:tcBorders>
            <w:shd w:val="clear" w:color="auto" w:fill="auto"/>
            <w:noWrap/>
            <w:vAlign w:val="center"/>
            <w:hideMark/>
          </w:tcPr>
          <w:p w:rsidR="0036637E" w:rsidRPr="001C4695" w:rsidRDefault="0036637E" w:rsidP="0036637E">
            <w:pPr>
              <w:widowControl/>
              <w:rPr>
                <w:rFonts w:ascii="Calibri" w:hAnsi="Calibri" w:cs="Calibri"/>
                <w:snapToGrid/>
                <w:color w:val="000000"/>
                <w:sz w:val="22"/>
                <w:szCs w:val="22"/>
              </w:rPr>
            </w:pPr>
            <w:r w:rsidRPr="001C4695">
              <w:rPr>
                <w:rFonts w:ascii="Calibri" w:hAnsi="Calibri" w:cs="Calibri"/>
                <w:snapToGrid/>
                <w:color w:val="000000"/>
                <w:sz w:val="22"/>
                <w:szCs w:val="22"/>
              </w:rPr>
              <w:t>Imobilizações a Classificar</w:t>
            </w:r>
          </w:p>
        </w:tc>
        <w:tc>
          <w:tcPr>
            <w:tcW w:w="2120" w:type="dxa"/>
            <w:tcBorders>
              <w:top w:val="nil"/>
              <w:left w:val="nil"/>
              <w:bottom w:val="single" w:sz="4" w:space="0" w:color="auto"/>
              <w:right w:val="single" w:sz="4" w:space="0" w:color="auto"/>
            </w:tcBorders>
            <w:shd w:val="clear" w:color="auto" w:fill="auto"/>
            <w:noWrap/>
            <w:vAlign w:val="center"/>
            <w:hideMark/>
          </w:tcPr>
          <w:p w:rsidR="0036637E" w:rsidRPr="001C4695" w:rsidRDefault="0036637E" w:rsidP="0036637E">
            <w:pPr>
              <w:widowControl/>
              <w:jc w:val="center"/>
              <w:rPr>
                <w:rFonts w:ascii="Calibri" w:hAnsi="Calibri" w:cs="Calibri"/>
                <w:snapToGrid/>
                <w:color w:val="000000"/>
                <w:sz w:val="22"/>
                <w:szCs w:val="22"/>
              </w:rPr>
            </w:pPr>
            <w:r w:rsidRPr="001C4695">
              <w:rPr>
                <w:rFonts w:ascii="Calibri" w:hAnsi="Calibri" w:cs="Calibri"/>
                <w:snapToGrid/>
                <w:color w:val="000000"/>
                <w:sz w:val="22"/>
                <w:szCs w:val="22"/>
              </w:rPr>
              <w:t>Entre 3% e 20%</w:t>
            </w:r>
          </w:p>
        </w:tc>
      </w:tr>
    </w:tbl>
    <w:p w:rsidR="0036637E" w:rsidRDefault="0036637E" w:rsidP="008B1598">
      <w:pPr>
        <w:pStyle w:val="Recuodecorpodetexto"/>
        <w:widowControl/>
        <w:autoSpaceDE w:val="0"/>
        <w:autoSpaceDN w:val="0"/>
        <w:ind w:left="1353"/>
        <w:rPr>
          <w:rFonts w:ascii="Calibri" w:hAnsi="Calibri" w:cs="Calibri"/>
          <w:b/>
          <w:szCs w:val="24"/>
          <w:lang w:val="pt-BR"/>
        </w:rPr>
      </w:pPr>
    </w:p>
    <w:p w:rsidR="0036637E" w:rsidRDefault="0036637E" w:rsidP="0036637E">
      <w:pPr>
        <w:pStyle w:val="Recuodecorpodetexto"/>
        <w:widowControl/>
        <w:autoSpaceDE w:val="0"/>
        <w:autoSpaceDN w:val="0"/>
        <w:ind w:left="851"/>
        <w:rPr>
          <w:rFonts w:ascii="Calibri" w:hAnsi="Calibri" w:cs="Calibri"/>
          <w:szCs w:val="24"/>
          <w:lang w:val="pt-BR"/>
        </w:rPr>
      </w:pPr>
      <w:r w:rsidRPr="0036637E">
        <w:rPr>
          <w:rFonts w:ascii="Calibri" w:hAnsi="Calibri" w:cs="Calibri"/>
          <w:b/>
          <w:szCs w:val="24"/>
          <w:lang w:val="pt-BR"/>
        </w:rPr>
        <w:t>Bens em Operação</w:t>
      </w:r>
      <w:r>
        <w:rPr>
          <w:rFonts w:ascii="Calibri" w:hAnsi="Calibri" w:cs="Calibri"/>
          <w:szCs w:val="24"/>
          <w:lang w:val="pt-BR"/>
        </w:rPr>
        <w:t xml:space="preserve"> registram os itens de propriedade da CDRJ que são utilizados nas atividades operacionais.</w:t>
      </w:r>
    </w:p>
    <w:p w:rsidR="0036637E" w:rsidRDefault="0036637E" w:rsidP="0036637E">
      <w:pPr>
        <w:pStyle w:val="Recuodecorpodetexto"/>
        <w:widowControl/>
        <w:autoSpaceDE w:val="0"/>
        <w:autoSpaceDN w:val="0"/>
        <w:ind w:left="851"/>
        <w:rPr>
          <w:rFonts w:ascii="Calibri" w:hAnsi="Calibri" w:cs="Calibri"/>
          <w:szCs w:val="24"/>
          <w:lang w:val="pt-BR"/>
        </w:rPr>
      </w:pPr>
    </w:p>
    <w:p w:rsidR="0036637E" w:rsidRDefault="0036637E" w:rsidP="0036637E">
      <w:pPr>
        <w:pStyle w:val="Recuodecorpodetexto"/>
        <w:widowControl/>
        <w:autoSpaceDE w:val="0"/>
        <w:autoSpaceDN w:val="0"/>
        <w:ind w:left="851"/>
        <w:rPr>
          <w:rFonts w:ascii="Calibri" w:hAnsi="Calibri" w:cs="Calibri"/>
          <w:szCs w:val="24"/>
          <w:lang w:val="pt-BR"/>
        </w:rPr>
      </w:pPr>
      <w:r w:rsidRPr="0036637E">
        <w:rPr>
          <w:rFonts w:ascii="Calibri" w:hAnsi="Calibri" w:cs="Calibri"/>
          <w:b/>
          <w:szCs w:val="24"/>
          <w:lang w:val="pt-BR"/>
        </w:rPr>
        <w:t>Bens da Administração</w:t>
      </w:r>
      <w:r>
        <w:rPr>
          <w:rFonts w:ascii="Calibri" w:hAnsi="Calibri" w:cs="Calibri"/>
          <w:szCs w:val="24"/>
          <w:lang w:val="pt-BR"/>
        </w:rPr>
        <w:t xml:space="preserve"> registram os itens utilizados na atividade administrativa.</w:t>
      </w:r>
    </w:p>
    <w:p w:rsidR="0036637E" w:rsidRDefault="0036637E" w:rsidP="0036637E">
      <w:pPr>
        <w:pStyle w:val="Recuodecorpodetexto"/>
        <w:widowControl/>
        <w:autoSpaceDE w:val="0"/>
        <w:autoSpaceDN w:val="0"/>
        <w:ind w:left="851"/>
        <w:rPr>
          <w:rFonts w:ascii="Calibri" w:hAnsi="Calibri" w:cs="Calibri"/>
          <w:szCs w:val="24"/>
          <w:lang w:val="pt-BR"/>
        </w:rPr>
      </w:pPr>
    </w:p>
    <w:p w:rsidR="0036637E" w:rsidRDefault="0036637E" w:rsidP="0036637E">
      <w:pPr>
        <w:pStyle w:val="Recuodecorpodetexto"/>
        <w:widowControl/>
        <w:autoSpaceDE w:val="0"/>
        <w:autoSpaceDN w:val="0"/>
        <w:ind w:left="851"/>
        <w:rPr>
          <w:rFonts w:ascii="Calibri" w:hAnsi="Calibri" w:cs="Calibri"/>
          <w:b/>
          <w:szCs w:val="24"/>
          <w:lang w:val="pt-BR"/>
        </w:rPr>
      </w:pPr>
      <w:r w:rsidRPr="0036637E">
        <w:rPr>
          <w:rFonts w:ascii="Calibri" w:hAnsi="Calibri" w:cs="Calibri"/>
          <w:b/>
          <w:szCs w:val="24"/>
          <w:lang w:val="pt-BR"/>
        </w:rPr>
        <w:t>Imobilizado em andamento</w:t>
      </w:r>
      <w:r>
        <w:rPr>
          <w:rFonts w:ascii="Calibri" w:hAnsi="Calibri" w:cs="Calibri"/>
          <w:szCs w:val="24"/>
          <w:lang w:val="pt-BR"/>
        </w:rPr>
        <w:t xml:space="preserve"> registram os itens que ainda não estão operando.</w:t>
      </w:r>
    </w:p>
    <w:p w:rsidR="0036637E" w:rsidRPr="00312424" w:rsidRDefault="0036637E" w:rsidP="00C16DDB">
      <w:pPr>
        <w:pStyle w:val="Recuodecorpodetexto"/>
        <w:widowControl/>
        <w:autoSpaceDE w:val="0"/>
        <w:autoSpaceDN w:val="0"/>
        <w:ind w:left="1353"/>
        <w:rPr>
          <w:rFonts w:ascii="Calibri" w:hAnsi="Calibri" w:cs="Calibri"/>
          <w:b/>
          <w:szCs w:val="24"/>
          <w:lang w:val="pt-BR"/>
        </w:rPr>
      </w:pPr>
    </w:p>
    <w:p w:rsidR="000604CA" w:rsidRPr="00312424" w:rsidRDefault="000604CA" w:rsidP="00B93985">
      <w:pPr>
        <w:pStyle w:val="Recuodecorpodetexto"/>
        <w:widowControl/>
        <w:numPr>
          <w:ilvl w:val="1"/>
          <w:numId w:val="5"/>
        </w:numPr>
        <w:tabs>
          <w:tab w:val="left" w:pos="1134"/>
        </w:tabs>
        <w:autoSpaceDE w:val="0"/>
        <w:autoSpaceDN w:val="0"/>
        <w:ind w:left="993" w:hanging="567"/>
        <w:rPr>
          <w:rFonts w:ascii="Calibri" w:hAnsi="Calibri" w:cs="Calibri"/>
          <w:b/>
          <w:szCs w:val="24"/>
        </w:rPr>
      </w:pPr>
      <w:r>
        <w:rPr>
          <w:rFonts w:ascii="Calibri" w:hAnsi="Calibri" w:cs="Calibri"/>
          <w:b/>
          <w:szCs w:val="24"/>
          <w:lang w:val="pt-BR"/>
        </w:rPr>
        <w:t>Intangível</w:t>
      </w:r>
    </w:p>
    <w:p w:rsidR="000604CA" w:rsidRPr="00312424" w:rsidRDefault="000604CA" w:rsidP="000604CA">
      <w:pPr>
        <w:pStyle w:val="Recuodecorpodetexto"/>
        <w:widowControl/>
        <w:autoSpaceDE w:val="0"/>
        <w:autoSpaceDN w:val="0"/>
        <w:ind w:left="1418"/>
        <w:rPr>
          <w:rFonts w:ascii="Calibri" w:hAnsi="Calibri" w:cs="Calibri"/>
          <w:szCs w:val="24"/>
        </w:rPr>
      </w:pPr>
    </w:p>
    <w:p w:rsidR="000604CA" w:rsidRPr="00312424" w:rsidRDefault="000604CA" w:rsidP="000604CA">
      <w:pPr>
        <w:pStyle w:val="Ttulo3"/>
        <w:ind w:left="851"/>
        <w:jc w:val="both"/>
        <w:rPr>
          <w:rFonts w:ascii="Calibri" w:hAnsi="Calibri" w:cs="Calibri"/>
          <w:sz w:val="24"/>
          <w:szCs w:val="24"/>
        </w:rPr>
      </w:pPr>
      <w:r w:rsidRPr="00312424">
        <w:rPr>
          <w:rFonts w:ascii="Calibri" w:hAnsi="Calibri" w:cs="Calibri"/>
          <w:sz w:val="24"/>
          <w:szCs w:val="24"/>
        </w:rPr>
        <w:t>O ativo intangível está demonstrado ao custo de aquisição, deduzido d</w:t>
      </w:r>
      <w:r>
        <w:rPr>
          <w:rFonts w:ascii="Calibri" w:hAnsi="Calibri" w:cs="Calibri"/>
          <w:sz w:val="24"/>
          <w:szCs w:val="24"/>
        </w:rPr>
        <w:t>a</w:t>
      </w:r>
      <w:r w:rsidRPr="00312424">
        <w:rPr>
          <w:rFonts w:ascii="Calibri" w:hAnsi="Calibri" w:cs="Calibri"/>
          <w:sz w:val="24"/>
          <w:szCs w:val="24"/>
        </w:rPr>
        <w:t xml:space="preserve"> amortização acumulada</w:t>
      </w:r>
      <w:r>
        <w:rPr>
          <w:rFonts w:ascii="Calibri" w:hAnsi="Calibri" w:cs="Calibri"/>
          <w:sz w:val="24"/>
          <w:szCs w:val="24"/>
        </w:rPr>
        <w:t xml:space="preserve">, </w:t>
      </w:r>
      <w:r w:rsidRPr="00312424">
        <w:rPr>
          <w:rFonts w:ascii="Calibri" w:hAnsi="Calibri" w:cs="Calibri"/>
          <w:sz w:val="24"/>
          <w:szCs w:val="24"/>
        </w:rPr>
        <w:t>calculada segundo o método linear, com base em taxas que contemplam a vida útil-econômica estimada para cada classe de bens</w:t>
      </w:r>
      <w:r w:rsidR="00D0760C">
        <w:rPr>
          <w:rFonts w:ascii="Calibri" w:hAnsi="Calibri" w:cs="Calibri"/>
          <w:sz w:val="24"/>
          <w:szCs w:val="24"/>
        </w:rPr>
        <w:t>.</w:t>
      </w:r>
      <w:r w:rsidRPr="00312424">
        <w:rPr>
          <w:rFonts w:ascii="Calibri" w:hAnsi="Calibri" w:cs="Calibri"/>
          <w:sz w:val="24"/>
          <w:szCs w:val="24"/>
        </w:rPr>
        <w:t xml:space="preserve"> </w:t>
      </w:r>
    </w:p>
    <w:p w:rsidR="00C16DDB" w:rsidRDefault="00C16DDB" w:rsidP="000604CA">
      <w:pPr>
        <w:pStyle w:val="Recuodecorpodetexto"/>
        <w:widowControl/>
        <w:autoSpaceDE w:val="0"/>
        <w:autoSpaceDN w:val="0"/>
        <w:ind w:left="1353"/>
        <w:rPr>
          <w:rFonts w:ascii="Calibri" w:hAnsi="Calibri" w:cs="Calibri"/>
          <w:b/>
          <w:szCs w:val="24"/>
          <w:lang w:val="pt-BR"/>
        </w:rPr>
      </w:pPr>
    </w:p>
    <w:p w:rsidR="000604CA" w:rsidRPr="00312424" w:rsidRDefault="000604CA" w:rsidP="00B93985">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Obrigações </w:t>
      </w:r>
      <w:r>
        <w:rPr>
          <w:rFonts w:ascii="Calibri" w:hAnsi="Calibri" w:cs="Calibri"/>
          <w:b/>
          <w:szCs w:val="24"/>
          <w:lang w:val="pt-BR"/>
        </w:rPr>
        <w:t>T</w:t>
      </w:r>
      <w:r w:rsidRPr="00312424">
        <w:rPr>
          <w:rFonts w:ascii="Calibri" w:hAnsi="Calibri" w:cs="Calibri"/>
          <w:b/>
          <w:szCs w:val="24"/>
          <w:lang w:val="pt-BR"/>
        </w:rPr>
        <w:t xml:space="preserve">rabalhistas </w:t>
      </w:r>
      <w:r>
        <w:rPr>
          <w:rFonts w:ascii="Calibri" w:hAnsi="Calibri" w:cs="Calibri"/>
          <w:b/>
          <w:szCs w:val="24"/>
          <w:lang w:val="pt-BR"/>
        </w:rPr>
        <w:t>F</w:t>
      </w:r>
      <w:r w:rsidRPr="00312424">
        <w:rPr>
          <w:rFonts w:ascii="Calibri" w:hAnsi="Calibri" w:cs="Calibri"/>
          <w:b/>
          <w:szCs w:val="24"/>
          <w:lang w:val="pt-BR"/>
        </w:rPr>
        <w:t>iscais e</w:t>
      </w:r>
      <w:r>
        <w:rPr>
          <w:rFonts w:ascii="Calibri" w:hAnsi="Calibri" w:cs="Calibri"/>
          <w:b/>
          <w:szCs w:val="24"/>
          <w:lang w:val="pt-BR"/>
        </w:rPr>
        <w:t xml:space="preserve"> C</w:t>
      </w:r>
      <w:r w:rsidRPr="00312424">
        <w:rPr>
          <w:rFonts w:ascii="Calibri" w:hAnsi="Calibri" w:cs="Calibri"/>
          <w:b/>
          <w:szCs w:val="24"/>
          <w:lang w:val="pt-BR"/>
        </w:rPr>
        <w:t>ontratuais</w:t>
      </w:r>
    </w:p>
    <w:p w:rsidR="000604CA" w:rsidRPr="00312424" w:rsidRDefault="000604CA" w:rsidP="000604CA">
      <w:pPr>
        <w:pStyle w:val="Recuodecorpodetexto"/>
        <w:widowControl/>
        <w:autoSpaceDE w:val="0"/>
        <w:autoSpaceDN w:val="0"/>
        <w:ind w:left="1418"/>
        <w:rPr>
          <w:rFonts w:ascii="Calibri" w:hAnsi="Calibri" w:cs="Calibri"/>
          <w:szCs w:val="24"/>
        </w:rPr>
      </w:pPr>
    </w:p>
    <w:p w:rsidR="000604CA" w:rsidRPr="00312424" w:rsidRDefault="000604CA" w:rsidP="000604CA">
      <w:pPr>
        <w:pStyle w:val="Ttulo3"/>
        <w:ind w:left="851"/>
        <w:jc w:val="both"/>
        <w:rPr>
          <w:rFonts w:ascii="Calibri" w:hAnsi="Calibri" w:cs="Calibri"/>
          <w:sz w:val="24"/>
          <w:szCs w:val="24"/>
        </w:rPr>
      </w:pPr>
      <w:r w:rsidRPr="00312424">
        <w:rPr>
          <w:rFonts w:ascii="Calibri" w:hAnsi="Calibri" w:cs="Calibri"/>
          <w:sz w:val="24"/>
          <w:szCs w:val="24"/>
        </w:rPr>
        <w:t xml:space="preserve">As obrigações fiscais, trabalhistas e contratuais foram atualizadas até a data do balanço. </w:t>
      </w:r>
    </w:p>
    <w:p w:rsidR="000604CA" w:rsidRPr="00312424" w:rsidRDefault="000604CA" w:rsidP="000604CA">
      <w:pPr>
        <w:pStyle w:val="Recuodecorpodetexto"/>
        <w:widowControl/>
        <w:autoSpaceDE w:val="0"/>
        <w:autoSpaceDN w:val="0"/>
        <w:ind w:left="1353"/>
        <w:rPr>
          <w:rFonts w:ascii="Calibri" w:hAnsi="Calibri" w:cs="Calibri"/>
          <w:b/>
          <w:szCs w:val="24"/>
          <w:lang w:val="pt-BR"/>
        </w:rPr>
      </w:pPr>
    </w:p>
    <w:p w:rsidR="00C16DDB" w:rsidRPr="00312424" w:rsidRDefault="00C16DDB" w:rsidP="00B93985">
      <w:pPr>
        <w:pStyle w:val="Recuodecorpodetexto"/>
        <w:widowControl/>
        <w:numPr>
          <w:ilvl w:val="1"/>
          <w:numId w:val="5"/>
        </w:numPr>
        <w:autoSpaceDE w:val="0"/>
        <w:autoSpaceDN w:val="0"/>
        <w:ind w:left="993" w:hanging="567"/>
        <w:rPr>
          <w:rFonts w:ascii="Calibri" w:hAnsi="Calibri" w:cs="Calibri"/>
          <w:b/>
          <w:szCs w:val="24"/>
        </w:rPr>
      </w:pPr>
      <w:r w:rsidRPr="00312424">
        <w:rPr>
          <w:rFonts w:ascii="Calibri" w:hAnsi="Calibri" w:cs="Calibri"/>
          <w:b/>
          <w:szCs w:val="24"/>
          <w:lang w:val="pt-BR"/>
        </w:rPr>
        <w:t xml:space="preserve"> Benefícios </w:t>
      </w:r>
      <w:r w:rsidR="00947D01">
        <w:rPr>
          <w:rFonts w:ascii="Calibri" w:hAnsi="Calibri" w:cs="Calibri"/>
          <w:b/>
          <w:szCs w:val="24"/>
          <w:lang w:val="pt-BR"/>
        </w:rPr>
        <w:t>P</w:t>
      </w:r>
      <w:r w:rsidRPr="00312424">
        <w:rPr>
          <w:rFonts w:ascii="Calibri" w:hAnsi="Calibri" w:cs="Calibri"/>
          <w:b/>
          <w:szCs w:val="24"/>
          <w:lang w:val="pt-BR"/>
        </w:rPr>
        <w:t>ós-</w:t>
      </w:r>
      <w:r w:rsidR="00947D01">
        <w:rPr>
          <w:rFonts w:ascii="Calibri" w:hAnsi="Calibri" w:cs="Calibri"/>
          <w:b/>
          <w:szCs w:val="24"/>
          <w:lang w:val="pt-BR"/>
        </w:rPr>
        <w:t>E</w:t>
      </w:r>
      <w:r w:rsidRPr="00312424">
        <w:rPr>
          <w:rFonts w:ascii="Calibri" w:hAnsi="Calibri" w:cs="Calibri"/>
          <w:b/>
          <w:szCs w:val="24"/>
          <w:lang w:val="pt-BR"/>
        </w:rPr>
        <w:t>mprego</w:t>
      </w:r>
    </w:p>
    <w:p w:rsidR="00C16DDB" w:rsidRPr="00312424" w:rsidRDefault="00C16DDB" w:rsidP="00C16DDB">
      <w:pPr>
        <w:pStyle w:val="Recuodecorpodetexto"/>
        <w:widowControl/>
        <w:autoSpaceDE w:val="0"/>
        <w:autoSpaceDN w:val="0"/>
        <w:ind w:left="1418"/>
        <w:rPr>
          <w:rFonts w:ascii="Calibri" w:hAnsi="Calibri" w:cs="Calibri"/>
          <w:szCs w:val="24"/>
        </w:rPr>
      </w:pPr>
    </w:p>
    <w:p w:rsidR="00C16DDB" w:rsidRPr="00312424" w:rsidRDefault="00C16DDB" w:rsidP="00C16DDB">
      <w:pPr>
        <w:pStyle w:val="Ttulo3"/>
        <w:ind w:left="851"/>
        <w:jc w:val="both"/>
        <w:rPr>
          <w:rFonts w:ascii="Calibri" w:hAnsi="Calibri" w:cs="Calibri"/>
          <w:sz w:val="24"/>
          <w:szCs w:val="24"/>
        </w:rPr>
      </w:pPr>
      <w:r w:rsidRPr="00312424">
        <w:rPr>
          <w:rFonts w:ascii="Calibri" w:hAnsi="Calibri" w:cs="Calibri"/>
          <w:sz w:val="24"/>
          <w:szCs w:val="24"/>
        </w:rPr>
        <w:t xml:space="preserve">Os benefícios concedidos a empregados e seus beneficiários, em especial os planos de aposentadoria e pensão junto ao PORTUS – Instituto de Seguridade Social, decorrem de termos de confissões de dívidas e de cálculos atuariais. </w:t>
      </w:r>
    </w:p>
    <w:p w:rsidR="00C16DDB" w:rsidRPr="00312424" w:rsidRDefault="00C16DDB" w:rsidP="00C16DDB">
      <w:pPr>
        <w:pStyle w:val="Recuodecorpodetexto"/>
        <w:widowControl/>
        <w:autoSpaceDE w:val="0"/>
        <w:autoSpaceDN w:val="0"/>
        <w:ind w:left="1353"/>
        <w:rPr>
          <w:rFonts w:ascii="Calibri" w:hAnsi="Calibri" w:cs="Calibri"/>
          <w:b/>
          <w:szCs w:val="24"/>
          <w:lang w:val="pt-BR"/>
        </w:rPr>
      </w:pPr>
    </w:p>
    <w:p w:rsidR="00C16DDB" w:rsidRPr="00D15E30" w:rsidRDefault="00C16DDB" w:rsidP="00B93985">
      <w:pPr>
        <w:pStyle w:val="Recuodecorpodetexto"/>
        <w:widowControl/>
        <w:numPr>
          <w:ilvl w:val="1"/>
          <w:numId w:val="5"/>
        </w:numPr>
        <w:autoSpaceDE w:val="0"/>
        <w:autoSpaceDN w:val="0"/>
        <w:ind w:left="993" w:hanging="567"/>
        <w:rPr>
          <w:rFonts w:ascii="Calibri" w:hAnsi="Calibri" w:cs="Calibri"/>
          <w:b/>
          <w:szCs w:val="24"/>
        </w:rPr>
      </w:pPr>
      <w:r w:rsidRPr="00D15E30">
        <w:rPr>
          <w:rFonts w:ascii="Calibri" w:hAnsi="Calibri" w:cs="Calibri"/>
          <w:b/>
          <w:szCs w:val="24"/>
          <w:lang w:val="pt-BR"/>
        </w:rPr>
        <w:t xml:space="preserve">Provisões para </w:t>
      </w:r>
      <w:r w:rsidR="00947D01" w:rsidRPr="00D15E30">
        <w:rPr>
          <w:rFonts w:ascii="Calibri" w:hAnsi="Calibri" w:cs="Calibri"/>
          <w:b/>
          <w:szCs w:val="24"/>
          <w:lang w:val="pt-BR"/>
        </w:rPr>
        <w:t>C</w:t>
      </w:r>
      <w:r w:rsidRPr="00D15E30">
        <w:rPr>
          <w:rFonts w:ascii="Calibri" w:hAnsi="Calibri" w:cs="Calibri"/>
          <w:b/>
          <w:szCs w:val="24"/>
          <w:lang w:val="pt-BR"/>
        </w:rPr>
        <w:t>ontingências</w:t>
      </w:r>
    </w:p>
    <w:p w:rsidR="00C16DDB" w:rsidRPr="00D15E30" w:rsidRDefault="00C16DDB" w:rsidP="00C16DDB">
      <w:pPr>
        <w:pStyle w:val="Recuodecorpodetexto"/>
        <w:widowControl/>
        <w:autoSpaceDE w:val="0"/>
        <w:autoSpaceDN w:val="0"/>
        <w:ind w:left="1418"/>
        <w:rPr>
          <w:rFonts w:ascii="Calibri" w:hAnsi="Calibri" w:cs="Calibri"/>
          <w:szCs w:val="24"/>
        </w:rPr>
      </w:pPr>
    </w:p>
    <w:p w:rsidR="00C16DDB" w:rsidRPr="00D15E30" w:rsidRDefault="00C16DDB" w:rsidP="00C16DDB">
      <w:pPr>
        <w:pStyle w:val="Ttulo3"/>
        <w:ind w:left="851"/>
        <w:jc w:val="both"/>
        <w:rPr>
          <w:rFonts w:ascii="Calibri" w:hAnsi="Calibri" w:cs="Calibri"/>
          <w:sz w:val="24"/>
          <w:szCs w:val="24"/>
        </w:rPr>
      </w:pPr>
      <w:r w:rsidRPr="00D15E30">
        <w:rPr>
          <w:rFonts w:ascii="Calibri" w:hAnsi="Calibri" w:cs="Calibri"/>
          <w:sz w:val="24"/>
          <w:szCs w:val="24"/>
        </w:rPr>
        <w:t xml:space="preserve">As provisões para contingências foram reconhecidas com base nas estimativas de perdas prováveis em ações nas quais a Companhia é parte, mensuradas através de relatórios </w:t>
      </w:r>
      <w:r w:rsidRPr="00D15E30">
        <w:rPr>
          <w:rFonts w:ascii="Calibri" w:hAnsi="Calibri" w:cs="Calibri"/>
          <w:sz w:val="24"/>
          <w:szCs w:val="24"/>
        </w:rPr>
        <w:lastRenderedPageBreak/>
        <w:t>gerenciados pela Superintendência Jurídica da CDRJ, sendo o seu reconhecimento, mensuração e divulgação efetuados em atendimento ao CPC 25 – Provisões, passivos contingentes e ativos contingentes.</w:t>
      </w:r>
    </w:p>
    <w:p w:rsidR="006715E0" w:rsidRPr="00D15E30" w:rsidRDefault="006715E0" w:rsidP="00947D01">
      <w:pPr>
        <w:rPr>
          <w:rFonts w:ascii="Calibri" w:hAnsi="Calibri" w:cs="Calibri"/>
          <w:sz w:val="24"/>
          <w:szCs w:val="24"/>
        </w:rPr>
      </w:pPr>
    </w:p>
    <w:p w:rsidR="00D15E30" w:rsidRPr="00D15E30" w:rsidRDefault="00F5394A" w:rsidP="00B93985">
      <w:pPr>
        <w:pStyle w:val="Recuodecorpodetexto"/>
        <w:widowControl/>
        <w:numPr>
          <w:ilvl w:val="1"/>
          <w:numId w:val="5"/>
        </w:numPr>
        <w:autoSpaceDE w:val="0"/>
        <w:autoSpaceDN w:val="0"/>
        <w:ind w:left="993" w:hanging="567"/>
        <w:rPr>
          <w:rFonts w:ascii="Calibri" w:hAnsi="Calibri" w:cs="Calibri"/>
          <w:b/>
          <w:szCs w:val="24"/>
        </w:rPr>
      </w:pPr>
      <w:r>
        <w:rPr>
          <w:rFonts w:ascii="Calibri" w:hAnsi="Calibri" w:cs="Calibri"/>
          <w:b/>
          <w:szCs w:val="24"/>
          <w:lang w:val="pt-BR"/>
        </w:rPr>
        <w:t>Adiantamentos</w:t>
      </w:r>
    </w:p>
    <w:p w:rsidR="00D15E30" w:rsidRPr="00D15E30" w:rsidRDefault="00D15E30" w:rsidP="00D15E30">
      <w:pPr>
        <w:pStyle w:val="Ttulo3"/>
        <w:ind w:left="851"/>
        <w:jc w:val="both"/>
        <w:rPr>
          <w:rFonts w:ascii="Calibri" w:hAnsi="Calibri" w:cs="Calibri"/>
          <w:sz w:val="24"/>
          <w:szCs w:val="24"/>
        </w:rPr>
      </w:pPr>
    </w:p>
    <w:p w:rsidR="00D15E30" w:rsidRDefault="00D15E30" w:rsidP="00D15E30">
      <w:pPr>
        <w:pStyle w:val="Ttulo3"/>
        <w:ind w:left="851"/>
        <w:jc w:val="both"/>
        <w:rPr>
          <w:rFonts w:ascii="Calibri" w:hAnsi="Calibri" w:cs="Calibri"/>
          <w:sz w:val="24"/>
          <w:szCs w:val="24"/>
        </w:rPr>
      </w:pPr>
      <w:r>
        <w:rPr>
          <w:rFonts w:ascii="Calibri" w:hAnsi="Calibri" w:cs="Calibri"/>
          <w:sz w:val="24"/>
          <w:szCs w:val="24"/>
        </w:rPr>
        <w:t>Devido à realização de operação de antecipação de recebíveis junto à União, por conta de cessão de créditos futuros, da carteira de clientes da CDRJ,</w:t>
      </w:r>
      <w:r w:rsidRPr="00D15E30">
        <w:rPr>
          <w:rFonts w:ascii="Calibri" w:hAnsi="Calibri" w:cs="Calibri"/>
          <w:sz w:val="24"/>
          <w:szCs w:val="24"/>
        </w:rPr>
        <w:t xml:space="preserve"> </w:t>
      </w:r>
      <w:r>
        <w:rPr>
          <w:rFonts w:ascii="Calibri" w:hAnsi="Calibri" w:cs="Calibri"/>
          <w:sz w:val="24"/>
          <w:szCs w:val="24"/>
        </w:rPr>
        <w:t>as receitas inerentes a estes créditos são reconhecidas à medida que são incorridas</w:t>
      </w:r>
      <w:r w:rsidR="0087058E">
        <w:rPr>
          <w:rFonts w:ascii="Calibri" w:hAnsi="Calibri" w:cs="Calibri"/>
          <w:sz w:val="24"/>
          <w:szCs w:val="24"/>
        </w:rPr>
        <w:t>, pelo regime de competência.</w:t>
      </w:r>
      <w:r w:rsidRPr="00D15E30">
        <w:rPr>
          <w:rFonts w:ascii="Calibri" w:hAnsi="Calibri" w:cs="Calibri"/>
          <w:sz w:val="24"/>
          <w:szCs w:val="24"/>
        </w:rPr>
        <w:t xml:space="preserve"> </w:t>
      </w:r>
    </w:p>
    <w:p w:rsidR="00AE3EE6" w:rsidRPr="00AE3EE6" w:rsidRDefault="00AE3EE6" w:rsidP="00AE3EE6"/>
    <w:p w:rsidR="00D15E30" w:rsidRPr="00A87863" w:rsidRDefault="00D15E30" w:rsidP="00B93985">
      <w:pPr>
        <w:pStyle w:val="Recuodecorpodetexto"/>
        <w:widowControl/>
        <w:numPr>
          <w:ilvl w:val="1"/>
          <w:numId w:val="5"/>
        </w:numPr>
        <w:autoSpaceDE w:val="0"/>
        <w:autoSpaceDN w:val="0"/>
        <w:ind w:left="993" w:hanging="567"/>
        <w:rPr>
          <w:rFonts w:ascii="Calibri" w:hAnsi="Calibri" w:cs="Calibri"/>
          <w:b/>
          <w:szCs w:val="24"/>
        </w:rPr>
      </w:pPr>
      <w:r>
        <w:rPr>
          <w:rFonts w:ascii="Calibri" w:hAnsi="Calibri" w:cs="Calibri"/>
          <w:b/>
          <w:szCs w:val="24"/>
          <w:lang w:val="pt-BR"/>
        </w:rPr>
        <w:t>Imposto de Renda e Contribuição Social</w:t>
      </w:r>
    </w:p>
    <w:p w:rsidR="00A87863" w:rsidRPr="00A87863" w:rsidRDefault="00A87863" w:rsidP="00A87863">
      <w:pPr>
        <w:pStyle w:val="Recuodecorpodetexto"/>
        <w:widowControl/>
        <w:autoSpaceDE w:val="0"/>
        <w:autoSpaceDN w:val="0"/>
        <w:ind w:left="993"/>
        <w:rPr>
          <w:rFonts w:ascii="Calibri" w:hAnsi="Calibri" w:cs="Calibri"/>
          <w:b/>
          <w:szCs w:val="24"/>
        </w:rPr>
      </w:pPr>
    </w:p>
    <w:p w:rsidR="00A87863" w:rsidRPr="00A87863" w:rsidRDefault="00A87863" w:rsidP="00A87863">
      <w:pPr>
        <w:pStyle w:val="Ttulo3"/>
        <w:ind w:left="851"/>
        <w:jc w:val="both"/>
        <w:rPr>
          <w:rFonts w:ascii="Calibri" w:hAnsi="Calibri" w:cs="Calibri"/>
          <w:sz w:val="24"/>
          <w:szCs w:val="24"/>
        </w:rPr>
      </w:pPr>
      <w:r>
        <w:rPr>
          <w:rFonts w:ascii="Calibri" w:hAnsi="Calibri" w:cs="Calibri"/>
          <w:sz w:val="24"/>
          <w:szCs w:val="24"/>
        </w:rPr>
        <w:t xml:space="preserve">A despesa do imposto de renda e da contribuição social são apropriadas na demonstração do resultado, exceto quando estiverem relacionadas com itens reconhecidos diretamente no patrimônio líquido. Os encargos de imposto de renda e contribuição social, correntes e </w:t>
      </w:r>
      <w:r w:rsidRPr="00921985">
        <w:rPr>
          <w:rFonts w:ascii="Calibri" w:hAnsi="Calibri" w:cs="Calibri"/>
          <w:sz w:val="24"/>
          <w:szCs w:val="24"/>
        </w:rPr>
        <w:t>diferidos, são calculados com base nas leis tributárias vigentes</w:t>
      </w:r>
      <w:r>
        <w:rPr>
          <w:rFonts w:ascii="Calibri" w:hAnsi="Calibri" w:cs="Calibri"/>
          <w:sz w:val="24"/>
          <w:szCs w:val="24"/>
        </w:rPr>
        <w:t>.</w:t>
      </w:r>
    </w:p>
    <w:p w:rsidR="00A87863" w:rsidRPr="00A87863" w:rsidRDefault="00A87863" w:rsidP="00A87863">
      <w:pPr>
        <w:pStyle w:val="Recuodecorpodetexto"/>
        <w:widowControl/>
        <w:autoSpaceDE w:val="0"/>
        <w:autoSpaceDN w:val="0"/>
        <w:rPr>
          <w:rFonts w:ascii="Calibri" w:hAnsi="Calibri" w:cs="Calibri"/>
          <w:b/>
          <w:szCs w:val="24"/>
        </w:rPr>
      </w:pPr>
    </w:p>
    <w:p w:rsidR="00A87863" w:rsidRPr="00A87863" w:rsidRDefault="00A87863" w:rsidP="00A87863">
      <w:pPr>
        <w:pStyle w:val="Recuodecorpodetexto"/>
        <w:widowControl/>
        <w:numPr>
          <w:ilvl w:val="1"/>
          <w:numId w:val="5"/>
        </w:numPr>
        <w:autoSpaceDE w:val="0"/>
        <w:autoSpaceDN w:val="0"/>
        <w:ind w:left="993" w:hanging="567"/>
        <w:rPr>
          <w:rFonts w:ascii="Calibri" w:hAnsi="Calibri" w:cs="Calibri"/>
          <w:b/>
          <w:szCs w:val="24"/>
        </w:rPr>
      </w:pPr>
      <w:r>
        <w:rPr>
          <w:rFonts w:ascii="Calibri" w:hAnsi="Calibri" w:cs="Calibri"/>
          <w:b/>
          <w:szCs w:val="24"/>
          <w:lang w:val="pt-BR"/>
        </w:rPr>
        <w:t>Receita Operacional</w:t>
      </w:r>
    </w:p>
    <w:p w:rsidR="00D15E30" w:rsidRPr="00D15E30" w:rsidRDefault="00D15E30" w:rsidP="00D15E30">
      <w:pPr>
        <w:pStyle w:val="Ttulo3"/>
        <w:ind w:left="851"/>
        <w:jc w:val="both"/>
        <w:rPr>
          <w:rFonts w:ascii="Calibri" w:hAnsi="Calibri" w:cs="Calibri"/>
          <w:sz w:val="24"/>
          <w:szCs w:val="24"/>
        </w:rPr>
      </w:pPr>
    </w:p>
    <w:p w:rsidR="006B4C02" w:rsidRDefault="00D15E30" w:rsidP="00A87863">
      <w:pPr>
        <w:pStyle w:val="Ttulo3"/>
        <w:ind w:left="851"/>
        <w:jc w:val="both"/>
        <w:rPr>
          <w:rFonts w:ascii="Calibri" w:hAnsi="Calibri" w:cs="Calibri"/>
          <w:sz w:val="24"/>
          <w:szCs w:val="24"/>
        </w:rPr>
      </w:pPr>
      <w:r>
        <w:rPr>
          <w:rFonts w:ascii="Calibri" w:hAnsi="Calibri" w:cs="Calibri"/>
          <w:sz w:val="24"/>
          <w:szCs w:val="24"/>
        </w:rPr>
        <w:t xml:space="preserve">A </w:t>
      </w:r>
      <w:r w:rsidR="00A87863">
        <w:rPr>
          <w:rFonts w:ascii="Calibri" w:hAnsi="Calibri" w:cs="Calibri"/>
          <w:sz w:val="24"/>
          <w:szCs w:val="24"/>
        </w:rPr>
        <w:t xml:space="preserve">receita é mensurada </w:t>
      </w:r>
      <w:r w:rsidR="006B4C02">
        <w:rPr>
          <w:rFonts w:ascii="Calibri" w:hAnsi="Calibri" w:cs="Calibri"/>
          <w:sz w:val="24"/>
          <w:szCs w:val="24"/>
        </w:rPr>
        <w:t xml:space="preserve">quando seu valor pode ser mensurado de maneira confiável, sendo provável que os benefícios econômicos futuros serão transferidos para a sociedade, os custos incorridos na transação possam ser mensurados e os riscos e benefícios foram transferidos e assumidos pelo tomador do serviço. Uma receita não é reconhecida se há uma incerteza significativa na sua realização. </w:t>
      </w:r>
    </w:p>
    <w:p w:rsidR="006B4C02" w:rsidRDefault="006B4C02" w:rsidP="00A87863">
      <w:pPr>
        <w:pStyle w:val="Ttulo3"/>
        <w:ind w:left="851"/>
        <w:jc w:val="both"/>
        <w:rPr>
          <w:rFonts w:ascii="Calibri" w:hAnsi="Calibri" w:cs="Calibri"/>
          <w:sz w:val="24"/>
          <w:szCs w:val="24"/>
        </w:rPr>
      </w:pPr>
    </w:p>
    <w:p w:rsidR="007964CD" w:rsidRDefault="00A87863" w:rsidP="005623D9">
      <w:pPr>
        <w:pStyle w:val="PargrafodaLista"/>
        <w:numPr>
          <w:ilvl w:val="0"/>
          <w:numId w:val="27"/>
        </w:numPr>
        <w:spacing w:after="0" w:line="240" w:lineRule="auto"/>
        <w:ind w:left="852" w:firstLine="0"/>
        <w:jc w:val="both"/>
        <w:rPr>
          <w:rFonts w:cs="Calibri"/>
          <w:b/>
          <w:sz w:val="24"/>
          <w:szCs w:val="24"/>
        </w:rPr>
      </w:pPr>
      <w:r w:rsidRPr="005623D9">
        <w:rPr>
          <w:rFonts w:cs="Calibri"/>
          <w:b/>
          <w:sz w:val="24"/>
          <w:szCs w:val="24"/>
        </w:rPr>
        <w:t>Tarifas Portuárias</w:t>
      </w:r>
    </w:p>
    <w:p w:rsidR="005623D9" w:rsidRPr="005623D9" w:rsidRDefault="005623D9" w:rsidP="005623D9">
      <w:pPr>
        <w:pStyle w:val="PargrafodaLista"/>
        <w:spacing w:after="0" w:line="240" w:lineRule="auto"/>
        <w:ind w:left="852"/>
        <w:jc w:val="both"/>
        <w:rPr>
          <w:rFonts w:cs="Calibri"/>
          <w:b/>
          <w:sz w:val="24"/>
          <w:szCs w:val="24"/>
        </w:rPr>
      </w:pPr>
    </w:p>
    <w:p w:rsidR="00A87863" w:rsidRDefault="005623D9" w:rsidP="005623D9">
      <w:pPr>
        <w:pStyle w:val="PargrafodaLista"/>
        <w:spacing w:after="0" w:line="240" w:lineRule="auto"/>
        <w:ind w:left="851"/>
        <w:jc w:val="both"/>
        <w:rPr>
          <w:rFonts w:cs="Calibri"/>
          <w:sz w:val="24"/>
          <w:szCs w:val="24"/>
        </w:rPr>
      </w:pPr>
      <w:r>
        <w:rPr>
          <w:rFonts w:cs="Calibri"/>
          <w:sz w:val="24"/>
          <w:szCs w:val="24"/>
        </w:rPr>
        <w:t>A</w:t>
      </w:r>
      <w:r w:rsidR="006B4C02">
        <w:rPr>
          <w:rFonts w:cs="Calibri"/>
          <w:sz w:val="24"/>
          <w:szCs w:val="24"/>
        </w:rPr>
        <w:t>s</w:t>
      </w:r>
      <w:r>
        <w:rPr>
          <w:rFonts w:cs="Calibri"/>
          <w:sz w:val="24"/>
          <w:szCs w:val="24"/>
        </w:rPr>
        <w:t xml:space="preserve"> receita</w:t>
      </w:r>
      <w:r w:rsidR="006B4C02">
        <w:rPr>
          <w:rFonts w:cs="Calibri"/>
          <w:sz w:val="24"/>
          <w:szCs w:val="24"/>
        </w:rPr>
        <w:t>s</w:t>
      </w:r>
      <w:r>
        <w:rPr>
          <w:rFonts w:cs="Calibri"/>
          <w:sz w:val="24"/>
          <w:szCs w:val="24"/>
        </w:rPr>
        <w:t xml:space="preserve"> tarifária</w:t>
      </w:r>
      <w:r w:rsidR="006B4C02">
        <w:rPr>
          <w:rFonts w:cs="Calibri"/>
          <w:sz w:val="24"/>
          <w:szCs w:val="24"/>
        </w:rPr>
        <w:t xml:space="preserve">s são registradas com base na utilização de cais público, por atracação de navios de carga e passageiros, movimentação de cargas e passageiros, fundeio, utilização do canal de acesso </w:t>
      </w:r>
      <w:proofErr w:type="spellStart"/>
      <w:r w:rsidR="006B4C02">
        <w:rPr>
          <w:rFonts w:cs="Calibri"/>
          <w:sz w:val="24"/>
          <w:szCs w:val="24"/>
        </w:rPr>
        <w:t>aquaviário</w:t>
      </w:r>
      <w:proofErr w:type="spellEnd"/>
      <w:r w:rsidR="006B4C02">
        <w:rPr>
          <w:rFonts w:cs="Calibri"/>
          <w:sz w:val="24"/>
          <w:szCs w:val="24"/>
        </w:rPr>
        <w:t xml:space="preserve">, utilização de estrutura terrestre, armazenagem e utilização de equipamentos. A receita é reconhecida quando existe evidência convincente de que os riscos e benefícios </w:t>
      </w:r>
      <w:r w:rsidR="00231CD6">
        <w:rPr>
          <w:rFonts w:cs="Calibri"/>
          <w:sz w:val="24"/>
          <w:szCs w:val="24"/>
        </w:rPr>
        <w:t>inerentes aos serviços foram transferidos para o usuário, sendo provável que os benefícios econômicos associados às transações fluirão para a Companhia e o valor da receita puder ser mensurado com confiabilidade.</w:t>
      </w:r>
    </w:p>
    <w:p w:rsidR="00A87863" w:rsidRDefault="00A87863" w:rsidP="005623D9">
      <w:pPr>
        <w:pStyle w:val="PargrafodaLista"/>
        <w:spacing w:after="0" w:line="240" w:lineRule="auto"/>
        <w:ind w:left="851"/>
        <w:jc w:val="both"/>
        <w:rPr>
          <w:rFonts w:cs="Calibri"/>
          <w:sz w:val="24"/>
          <w:szCs w:val="24"/>
        </w:rPr>
      </w:pPr>
    </w:p>
    <w:p w:rsidR="00A87863" w:rsidRDefault="00A87863" w:rsidP="005623D9">
      <w:pPr>
        <w:pStyle w:val="PargrafodaLista"/>
        <w:numPr>
          <w:ilvl w:val="0"/>
          <w:numId w:val="27"/>
        </w:numPr>
        <w:spacing w:after="0" w:line="240" w:lineRule="auto"/>
        <w:ind w:left="851" w:firstLine="0"/>
        <w:jc w:val="both"/>
        <w:rPr>
          <w:rFonts w:cs="Calibri"/>
          <w:b/>
          <w:sz w:val="24"/>
          <w:szCs w:val="24"/>
        </w:rPr>
      </w:pPr>
      <w:r w:rsidRPr="005623D9">
        <w:rPr>
          <w:rFonts w:cs="Calibri"/>
          <w:b/>
          <w:sz w:val="24"/>
          <w:szCs w:val="24"/>
        </w:rPr>
        <w:t>Receita de Arrendamento</w:t>
      </w:r>
    </w:p>
    <w:p w:rsidR="005623D9" w:rsidRPr="005623D9" w:rsidRDefault="005623D9" w:rsidP="005623D9">
      <w:pPr>
        <w:pStyle w:val="PargrafodaLista"/>
        <w:spacing w:after="0" w:line="240" w:lineRule="auto"/>
        <w:ind w:left="851"/>
        <w:jc w:val="both"/>
        <w:rPr>
          <w:rFonts w:cs="Calibri"/>
          <w:b/>
          <w:sz w:val="24"/>
          <w:szCs w:val="24"/>
        </w:rPr>
      </w:pPr>
    </w:p>
    <w:p w:rsidR="00A87863" w:rsidRDefault="00231CD6" w:rsidP="005623D9">
      <w:pPr>
        <w:pStyle w:val="PargrafodaLista"/>
        <w:spacing w:after="0" w:line="240" w:lineRule="auto"/>
        <w:ind w:left="851"/>
        <w:jc w:val="both"/>
        <w:rPr>
          <w:rFonts w:cs="Calibri"/>
          <w:sz w:val="24"/>
          <w:szCs w:val="24"/>
        </w:rPr>
      </w:pPr>
      <w:r>
        <w:rPr>
          <w:rFonts w:cs="Calibri"/>
          <w:sz w:val="24"/>
          <w:szCs w:val="24"/>
        </w:rPr>
        <w:t xml:space="preserve">As receitas de arrendamento são registradas com base em contratos de arrendamento </w:t>
      </w:r>
      <w:r w:rsidR="00DA7121">
        <w:rPr>
          <w:rFonts w:cs="Calibri"/>
          <w:sz w:val="24"/>
          <w:szCs w:val="24"/>
        </w:rPr>
        <w:t xml:space="preserve">operacionais </w:t>
      </w:r>
      <w:r>
        <w:rPr>
          <w:rFonts w:cs="Calibri"/>
          <w:sz w:val="24"/>
          <w:szCs w:val="24"/>
        </w:rPr>
        <w:t xml:space="preserve">de áreas primárias dos portos e são calculadas por meio da movimentação de carga e </w:t>
      </w:r>
      <w:r w:rsidR="00DA7121">
        <w:rPr>
          <w:rFonts w:cs="Calibri"/>
          <w:sz w:val="24"/>
          <w:szCs w:val="24"/>
        </w:rPr>
        <w:t xml:space="preserve">de </w:t>
      </w:r>
      <w:r>
        <w:rPr>
          <w:rFonts w:cs="Calibri"/>
          <w:sz w:val="24"/>
          <w:szCs w:val="24"/>
        </w:rPr>
        <w:t>passageiros e do preço do arrendamento, cobrado independentemente da movimentaç</w:t>
      </w:r>
      <w:r w:rsidR="00DA7121">
        <w:rPr>
          <w:rFonts w:cs="Calibri"/>
          <w:sz w:val="24"/>
          <w:szCs w:val="24"/>
        </w:rPr>
        <w:t>ão, conforme a particularidade de cada contrato. A receita é reconhecida quando existe evidência convincente acerca da remuneração do contrato e da movimentação, atestada pela fiscalização dos contratos.</w:t>
      </w:r>
    </w:p>
    <w:p w:rsidR="005020AD" w:rsidRDefault="005020AD" w:rsidP="005623D9">
      <w:pPr>
        <w:pStyle w:val="PargrafodaLista"/>
        <w:spacing w:after="0" w:line="240" w:lineRule="auto"/>
        <w:ind w:left="851"/>
        <w:jc w:val="both"/>
        <w:rPr>
          <w:rFonts w:cs="Calibri"/>
          <w:sz w:val="24"/>
          <w:szCs w:val="24"/>
        </w:rPr>
      </w:pPr>
    </w:p>
    <w:p w:rsidR="00BA6DDB" w:rsidRDefault="00BA6DDB" w:rsidP="005623D9">
      <w:pPr>
        <w:pStyle w:val="PargrafodaLista"/>
        <w:spacing w:after="0" w:line="240" w:lineRule="auto"/>
        <w:ind w:left="851"/>
        <w:jc w:val="both"/>
        <w:rPr>
          <w:rFonts w:cs="Calibri"/>
          <w:sz w:val="24"/>
          <w:szCs w:val="24"/>
        </w:rPr>
      </w:pPr>
    </w:p>
    <w:p w:rsidR="00BA6DDB" w:rsidRDefault="00BA6DDB" w:rsidP="005623D9">
      <w:pPr>
        <w:pStyle w:val="PargrafodaLista"/>
        <w:spacing w:after="0" w:line="240" w:lineRule="auto"/>
        <w:ind w:left="851"/>
        <w:jc w:val="both"/>
        <w:rPr>
          <w:rFonts w:cs="Calibri"/>
          <w:sz w:val="24"/>
          <w:szCs w:val="24"/>
        </w:rPr>
      </w:pPr>
    </w:p>
    <w:p w:rsidR="00A87863" w:rsidRDefault="00A87863" w:rsidP="005623D9">
      <w:pPr>
        <w:pStyle w:val="PargrafodaLista"/>
        <w:numPr>
          <w:ilvl w:val="0"/>
          <w:numId w:val="27"/>
        </w:numPr>
        <w:spacing w:after="0" w:line="240" w:lineRule="auto"/>
        <w:ind w:left="851" w:firstLine="0"/>
        <w:jc w:val="both"/>
        <w:rPr>
          <w:rFonts w:cs="Calibri"/>
          <w:b/>
          <w:sz w:val="24"/>
          <w:szCs w:val="24"/>
        </w:rPr>
      </w:pPr>
      <w:r w:rsidRPr="005623D9">
        <w:rPr>
          <w:rFonts w:cs="Calibri"/>
          <w:b/>
          <w:sz w:val="24"/>
          <w:szCs w:val="24"/>
        </w:rPr>
        <w:lastRenderedPageBreak/>
        <w:t>Receita de Juros</w:t>
      </w:r>
    </w:p>
    <w:p w:rsidR="005623D9" w:rsidRPr="005623D9" w:rsidRDefault="005623D9" w:rsidP="005623D9">
      <w:pPr>
        <w:pStyle w:val="PargrafodaLista"/>
        <w:spacing w:after="0" w:line="240" w:lineRule="auto"/>
        <w:ind w:left="851"/>
        <w:jc w:val="both"/>
        <w:rPr>
          <w:rFonts w:cs="Calibri"/>
          <w:b/>
          <w:sz w:val="24"/>
          <w:szCs w:val="24"/>
        </w:rPr>
      </w:pPr>
    </w:p>
    <w:p w:rsidR="00A87863" w:rsidRDefault="00A87863" w:rsidP="005623D9">
      <w:pPr>
        <w:pStyle w:val="PargrafodaLista"/>
        <w:spacing w:after="0" w:line="240" w:lineRule="auto"/>
        <w:ind w:left="851"/>
        <w:jc w:val="both"/>
        <w:rPr>
          <w:rFonts w:cs="Calibri"/>
          <w:sz w:val="24"/>
          <w:szCs w:val="24"/>
        </w:rPr>
      </w:pPr>
      <w:r>
        <w:rPr>
          <w:rFonts w:cs="Calibri"/>
          <w:sz w:val="24"/>
          <w:szCs w:val="24"/>
        </w:rPr>
        <w:t xml:space="preserve">Para todos os instrumentos financeiros avaliados ao custo amortizado e ativos financeiros que rendem juros, a receita financeira é contabilizada utilizando-se </w:t>
      </w:r>
      <w:r w:rsidR="005623D9">
        <w:rPr>
          <w:rFonts w:cs="Calibri"/>
          <w:sz w:val="24"/>
          <w:szCs w:val="24"/>
        </w:rPr>
        <w:t>a taxa de juros efetiva, que desconta exatamente ou pagamentos ou recebimentos futuros estimados de caixa ao longo da vida estimada do instrumento financeiro ou em um período de tempo mais curto, quando aplicável, ao valor contábil líquido do ativo ou passivo financeiro. A receita de juros é incluída na rubrica receita financeira, da demonstração de resultado.</w:t>
      </w:r>
    </w:p>
    <w:p w:rsidR="005623D9" w:rsidRDefault="005623D9" w:rsidP="005623D9">
      <w:pPr>
        <w:pStyle w:val="PargrafodaLista"/>
        <w:spacing w:after="0" w:line="240" w:lineRule="auto"/>
        <w:ind w:left="851"/>
        <w:jc w:val="both"/>
        <w:rPr>
          <w:rFonts w:cs="Calibri"/>
          <w:sz w:val="24"/>
          <w:szCs w:val="24"/>
        </w:rPr>
      </w:pPr>
    </w:p>
    <w:p w:rsidR="005623D9" w:rsidRDefault="005623D9" w:rsidP="005623D9">
      <w:pPr>
        <w:pStyle w:val="PargrafodaLista"/>
        <w:spacing w:after="0" w:line="240" w:lineRule="auto"/>
        <w:ind w:left="851"/>
        <w:jc w:val="both"/>
        <w:rPr>
          <w:rFonts w:cs="Calibri"/>
          <w:sz w:val="24"/>
          <w:szCs w:val="24"/>
        </w:rPr>
      </w:pPr>
      <w:r>
        <w:rPr>
          <w:rFonts w:cs="Calibri"/>
          <w:sz w:val="24"/>
          <w:szCs w:val="24"/>
        </w:rPr>
        <w:t>De acordo com o CPC 47, a receita é reconhecida à medida em que seja altamente provável que não ocorra uma reversão significativa de valor da receita acumulada.</w:t>
      </w:r>
    </w:p>
    <w:p w:rsidR="00A87863" w:rsidRPr="00A87863" w:rsidRDefault="00A87863" w:rsidP="005623D9">
      <w:pPr>
        <w:pStyle w:val="PargrafodaLista"/>
        <w:spacing w:after="0" w:line="240" w:lineRule="auto"/>
        <w:jc w:val="both"/>
        <w:rPr>
          <w:rFonts w:cs="Calibri"/>
          <w:sz w:val="24"/>
          <w:szCs w:val="24"/>
        </w:rPr>
      </w:pPr>
    </w:p>
    <w:p w:rsidR="00A87863" w:rsidRDefault="00A87863" w:rsidP="005623D9">
      <w:pPr>
        <w:jc w:val="both"/>
        <w:rPr>
          <w:rFonts w:ascii="Calibri" w:hAnsi="Calibri" w:cs="Calibri"/>
          <w:sz w:val="24"/>
          <w:szCs w:val="24"/>
        </w:rPr>
      </w:pPr>
    </w:p>
    <w:p w:rsidR="00C16DDB" w:rsidRPr="00312424" w:rsidRDefault="0043773C" w:rsidP="00C16DDB">
      <w:pPr>
        <w:pStyle w:val="Recuodecorpodetexto"/>
        <w:widowControl/>
        <w:autoSpaceDE w:val="0"/>
        <w:autoSpaceDN w:val="0"/>
        <w:ind w:left="0"/>
        <w:rPr>
          <w:rFonts w:ascii="Calibri" w:hAnsi="Calibri" w:cs="Calibri"/>
          <w:b/>
          <w:szCs w:val="24"/>
          <w:u w:val="single"/>
        </w:rPr>
      </w:pPr>
      <w:r>
        <w:rPr>
          <w:rFonts w:ascii="Calibri" w:hAnsi="Calibri" w:cs="Calibri"/>
          <w:b/>
          <w:szCs w:val="24"/>
          <w:lang w:val="pt-BR"/>
        </w:rPr>
        <w:t>5</w:t>
      </w:r>
      <w:r w:rsidR="00C16DDB" w:rsidRPr="00312424">
        <w:rPr>
          <w:rFonts w:ascii="Calibri" w:hAnsi="Calibri" w:cs="Calibri"/>
          <w:b/>
          <w:szCs w:val="24"/>
          <w:lang w:val="pt-BR"/>
        </w:rPr>
        <w:t xml:space="preserve"> </w:t>
      </w:r>
      <w:r w:rsidR="00C16DDB" w:rsidRPr="00312424">
        <w:rPr>
          <w:rFonts w:ascii="Calibri" w:hAnsi="Calibri" w:cs="Calibri"/>
          <w:b/>
          <w:szCs w:val="24"/>
        </w:rPr>
        <w:t xml:space="preserve">– </w:t>
      </w:r>
      <w:r w:rsidR="00C16DDB" w:rsidRPr="00312424">
        <w:rPr>
          <w:rFonts w:ascii="Calibri" w:hAnsi="Calibri" w:cs="Calibri"/>
          <w:b/>
          <w:szCs w:val="24"/>
          <w:u w:val="single"/>
        </w:rPr>
        <w:t>CONTAS A RECEBER DE CLIENTES</w:t>
      </w:r>
    </w:p>
    <w:p w:rsidR="00C16DDB" w:rsidRPr="00312424" w:rsidRDefault="00C16DDB" w:rsidP="00C16DDB">
      <w:pPr>
        <w:pStyle w:val="Recuodecorpodetexto"/>
        <w:widowControl/>
        <w:autoSpaceDE w:val="0"/>
        <w:autoSpaceDN w:val="0"/>
        <w:ind w:left="0"/>
        <w:rPr>
          <w:rFonts w:ascii="Calibri" w:hAnsi="Calibri" w:cs="Calibri"/>
          <w:b/>
          <w:szCs w:val="24"/>
          <w:u w:val="single"/>
        </w:rPr>
      </w:pPr>
    </w:p>
    <w:p w:rsidR="00083E7F" w:rsidRDefault="00C16DDB" w:rsidP="00C16DDB">
      <w:pPr>
        <w:pStyle w:val="Recuodecorpodetexto"/>
        <w:widowControl/>
        <w:autoSpaceDE w:val="0"/>
        <w:autoSpaceDN w:val="0"/>
        <w:ind w:left="0"/>
        <w:rPr>
          <w:rFonts w:ascii="Calibri" w:hAnsi="Calibri" w:cs="Calibri"/>
          <w:szCs w:val="24"/>
          <w:lang w:val="pt-BR"/>
        </w:rPr>
      </w:pPr>
      <w:r w:rsidRPr="00312424">
        <w:rPr>
          <w:rFonts w:ascii="Calibri" w:hAnsi="Calibri" w:cs="Calibri"/>
          <w:szCs w:val="24"/>
        </w:rPr>
        <w:t xml:space="preserve">As contas a receber a vencer são realizáveis </w:t>
      </w:r>
      <w:r w:rsidRPr="00312424">
        <w:rPr>
          <w:rFonts w:ascii="Calibri" w:hAnsi="Calibri" w:cs="Calibri"/>
          <w:szCs w:val="24"/>
          <w:lang w:val="pt-BR"/>
        </w:rPr>
        <w:t>no prazo médio de 30 dias</w:t>
      </w:r>
      <w:r w:rsidRPr="00312424">
        <w:rPr>
          <w:rFonts w:ascii="Calibri" w:hAnsi="Calibri" w:cs="Calibri"/>
          <w:szCs w:val="24"/>
        </w:rPr>
        <w:t xml:space="preserve">, não sendo relevante </w:t>
      </w:r>
      <w:r w:rsidRPr="00312424">
        <w:rPr>
          <w:rFonts w:ascii="Calibri" w:hAnsi="Calibri" w:cs="Calibri"/>
          <w:szCs w:val="24"/>
          <w:lang w:val="pt-BR"/>
        </w:rPr>
        <w:t>o ajuste</w:t>
      </w:r>
      <w:r w:rsidRPr="00312424">
        <w:rPr>
          <w:rFonts w:ascii="Calibri" w:hAnsi="Calibri" w:cs="Calibri"/>
          <w:szCs w:val="24"/>
        </w:rPr>
        <w:t xml:space="preserve"> ao valor presente.</w:t>
      </w:r>
      <w:r w:rsidR="00AE3EE6">
        <w:rPr>
          <w:rFonts w:ascii="Calibri" w:hAnsi="Calibri" w:cs="Calibri"/>
          <w:szCs w:val="24"/>
          <w:lang w:val="pt-BR"/>
        </w:rPr>
        <w:t xml:space="preserve"> </w:t>
      </w:r>
      <w:r w:rsidR="00083E7F">
        <w:rPr>
          <w:rFonts w:ascii="Calibri" w:hAnsi="Calibri" w:cs="Calibri"/>
          <w:szCs w:val="24"/>
          <w:lang w:val="pt-BR"/>
        </w:rPr>
        <w:t>Os valores registrados são:</w:t>
      </w:r>
    </w:p>
    <w:p w:rsidR="00EF690C" w:rsidRDefault="00EF690C" w:rsidP="00C16DDB">
      <w:pPr>
        <w:pStyle w:val="Recuodecorpodetexto"/>
        <w:widowControl/>
        <w:autoSpaceDE w:val="0"/>
        <w:autoSpaceDN w:val="0"/>
        <w:ind w:left="0"/>
        <w:rPr>
          <w:rFonts w:ascii="Calibri" w:hAnsi="Calibri" w:cs="Calibri"/>
          <w:szCs w:val="24"/>
          <w:lang w:val="pt-BR"/>
        </w:rPr>
      </w:pPr>
    </w:p>
    <w:tbl>
      <w:tblPr>
        <w:tblW w:w="5960" w:type="dxa"/>
        <w:jc w:val="center"/>
        <w:tblCellMar>
          <w:left w:w="70" w:type="dxa"/>
          <w:right w:w="70" w:type="dxa"/>
        </w:tblCellMar>
        <w:tblLook w:val="04A0" w:firstRow="1" w:lastRow="0" w:firstColumn="1" w:lastColumn="0" w:noHBand="0" w:noVBand="1"/>
      </w:tblPr>
      <w:tblGrid>
        <w:gridCol w:w="2320"/>
        <w:gridCol w:w="1820"/>
        <w:gridCol w:w="1820"/>
      </w:tblGrid>
      <w:tr w:rsidR="00B90F85" w:rsidRPr="00EF690C" w:rsidTr="00BB1C75">
        <w:trPr>
          <w:trHeight w:val="284"/>
          <w:jc w:val="center"/>
        </w:trPr>
        <w:tc>
          <w:tcPr>
            <w:tcW w:w="2320" w:type="dxa"/>
            <w:tcBorders>
              <w:top w:val="nil"/>
              <w:left w:val="nil"/>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03</w:t>
            </w:r>
            <w:r w:rsidRPr="00EF690C">
              <w:rPr>
                <w:rFonts w:ascii="Calibri" w:hAnsi="Calibri" w:cs="Calibri"/>
                <w:b/>
                <w:bCs/>
                <w:snapToGrid/>
                <w:color w:val="000000"/>
                <w:sz w:val="24"/>
                <w:szCs w:val="24"/>
              </w:rPr>
              <w:t>/20</w:t>
            </w:r>
            <w:r>
              <w:rPr>
                <w:rFonts w:ascii="Calibri" w:hAnsi="Calibri" w:cs="Calibri"/>
                <w:b/>
                <w:bCs/>
                <w:snapToGrid/>
                <w:color w:val="000000"/>
                <w:sz w:val="24"/>
                <w:szCs w:val="24"/>
              </w:rPr>
              <w:t>20</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12</w:t>
            </w:r>
            <w:r w:rsidRPr="00EF690C">
              <w:rPr>
                <w:rFonts w:ascii="Calibri" w:hAnsi="Calibri" w:cs="Calibri"/>
                <w:b/>
                <w:bCs/>
                <w:snapToGrid/>
                <w:color w:val="000000"/>
                <w:sz w:val="24"/>
                <w:szCs w:val="24"/>
              </w:rPr>
              <w:t>/201</w:t>
            </w:r>
            <w:r>
              <w:rPr>
                <w:rFonts w:ascii="Calibri" w:hAnsi="Calibri" w:cs="Calibri"/>
                <w:b/>
                <w:bCs/>
                <w:snapToGrid/>
                <w:color w:val="000000"/>
                <w:sz w:val="24"/>
                <w:szCs w:val="24"/>
              </w:rPr>
              <w:t>9</w:t>
            </w:r>
          </w:p>
        </w:tc>
      </w:tr>
      <w:tr w:rsidR="00B90F85" w:rsidRPr="00EF690C" w:rsidTr="00BB1C7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Clientes Nacionais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198.983</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235.050</w:t>
            </w:r>
          </w:p>
        </w:tc>
      </w:tr>
      <w:tr w:rsidR="00B90F85" w:rsidRPr="00EF690C" w:rsidTr="00BB1C7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 Perdas Estimadas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(190.745)</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(180.266)</w:t>
            </w:r>
          </w:p>
        </w:tc>
      </w:tr>
      <w:tr w:rsidR="00B90F85" w:rsidRPr="00EF690C" w:rsidTr="00BB1C7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b/>
                <w:bCs/>
                <w:snapToGrid/>
                <w:color w:val="000000"/>
                <w:sz w:val="24"/>
                <w:szCs w:val="24"/>
              </w:rPr>
            </w:pPr>
            <w:r w:rsidRPr="00EF690C">
              <w:rPr>
                <w:rFonts w:ascii="Calibri" w:hAnsi="Calibri" w:cs="Calibri"/>
                <w:b/>
                <w:bCs/>
                <w:snapToGrid/>
                <w:color w:val="000000"/>
                <w:sz w:val="24"/>
                <w:szCs w:val="24"/>
              </w:rPr>
              <w:t>Totais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8.238</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54.784</w:t>
            </w:r>
          </w:p>
        </w:tc>
      </w:tr>
    </w:tbl>
    <w:p w:rsidR="001968AF" w:rsidRDefault="001968AF" w:rsidP="00C16DDB">
      <w:pPr>
        <w:pStyle w:val="Recuodecorpodetexto"/>
        <w:widowControl/>
        <w:autoSpaceDE w:val="0"/>
        <w:autoSpaceDN w:val="0"/>
        <w:ind w:left="0"/>
        <w:rPr>
          <w:rFonts w:ascii="Calibri" w:hAnsi="Calibri" w:cs="Calibri"/>
          <w:szCs w:val="24"/>
          <w:lang w:val="pt-BR"/>
        </w:rPr>
      </w:pPr>
    </w:p>
    <w:p w:rsidR="004D7C37" w:rsidRDefault="005C6057" w:rsidP="00C16DDB">
      <w:pPr>
        <w:pStyle w:val="Recuodecorpodetexto"/>
        <w:widowControl/>
        <w:autoSpaceDE w:val="0"/>
        <w:autoSpaceDN w:val="0"/>
        <w:ind w:left="0"/>
        <w:rPr>
          <w:rFonts w:ascii="Calibri" w:hAnsi="Calibri" w:cs="Calibri"/>
          <w:szCs w:val="24"/>
          <w:lang w:val="pt-BR"/>
        </w:rPr>
      </w:pPr>
      <w:r>
        <w:rPr>
          <w:rFonts w:ascii="Calibri" w:hAnsi="Calibri" w:cs="Calibri"/>
          <w:szCs w:val="24"/>
          <w:lang w:val="pt-BR"/>
        </w:rPr>
        <w:t xml:space="preserve">Em dezembro de 2019, </w:t>
      </w:r>
      <w:r w:rsidR="00052DE7">
        <w:rPr>
          <w:rFonts w:ascii="Calibri" w:hAnsi="Calibri" w:cs="Calibri"/>
          <w:szCs w:val="24"/>
          <w:lang w:val="pt-BR"/>
        </w:rPr>
        <w:t xml:space="preserve">a CDRJ emitiu duas faturas contra a Companhia Siderúrgica Nacional – CSN, no valor total de </w:t>
      </w:r>
      <w:r>
        <w:rPr>
          <w:rFonts w:ascii="Calibri" w:hAnsi="Calibri" w:cs="Calibri"/>
          <w:szCs w:val="24"/>
          <w:lang w:val="pt-BR"/>
        </w:rPr>
        <w:t>R$ 47.085 mil</w:t>
      </w:r>
      <w:r w:rsidR="00052DE7">
        <w:rPr>
          <w:rFonts w:ascii="Calibri" w:hAnsi="Calibri" w:cs="Calibri"/>
          <w:szCs w:val="24"/>
          <w:lang w:val="pt-BR"/>
        </w:rPr>
        <w:t>, cujas baixas só ocorreram no exercício de 2020.</w:t>
      </w:r>
    </w:p>
    <w:p w:rsidR="005C6057" w:rsidRDefault="005C6057" w:rsidP="00C16DDB">
      <w:pPr>
        <w:pStyle w:val="Recuodecorpodetexto"/>
        <w:widowControl/>
        <w:autoSpaceDE w:val="0"/>
        <w:autoSpaceDN w:val="0"/>
        <w:ind w:left="0"/>
        <w:rPr>
          <w:rFonts w:ascii="Calibri" w:hAnsi="Calibri" w:cs="Calibri"/>
          <w:szCs w:val="24"/>
          <w:lang w:val="pt-BR"/>
        </w:rPr>
      </w:pPr>
    </w:p>
    <w:p w:rsidR="00C16DDB" w:rsidRPr="00312424" w:rsidRDefault="0043773C" w:rsidP="00C16DDB">
      <w:pPr>
        <w:pStyle w:val="Recuodecorpodetexto"/>
        <w:widowControl/>
        <w:autoSpaceDE w:val="0"/>
        <w:autoSpaceDN w:val="0"/>
        <w:ind w:left="0"/>
        <w:rPr>
          <w:rFonts w:ascii="Calibri" w:hAnsi="Calibri" w:cs="Calibri"/>
          <w:b/>
          <w:szCs w:val="24"/>
        </w:rPr>
      </w:pPr>
      <w:r>
        <w:rPr>
          <w:rFonts w:ascii="Calibri" w:hAnsi="Calibri" w:cs="Calibri"/>
          <w:b/>
          <w:szCs w:val="24"/>
          <w:lang w:val="pt-BR"/>
        </w:rPr>
        <w:t>6</w:t>
      </w:r>
      <w:r w:rsidR="00C16DDB" w:rsidRPr="00312424">
        <w:rPr>
          <w:rFonts w:ascii="Calibri" w:hAnsi="Calibri" w:cs="Calibri"/>
          <w:b/>
          <w:szCs w:val="24"/>
        </w:rPr>
        <w:t xml:space="preserve"> –</w:t>
      </w:r>
      <w:r w:rsidR="00C16DDB" w:rsidRPr="00312424">
        <w:rPr>
          <w:rFonts w:ascii="Calibri" w:hAnsi="Calibri" w:cs="Calibri"/>
          <w:b/>
          <w:szCs w:val="24"/>
          <w:lang w:val="pt-BR"/>
        </w:rPr>
        <w:t xml:space="preserve"> </w:t>
      </w:r>
      <w:r w:rsidR="00C16DDB" w:rsidRPr="00312424">
        <w:rPr>
          <w:rFonts w:ascii="Calibri" w:hAnsi="Calibri" w:cs="Calibri"/>
          <w:b/>
          <w:szCs w:val="24"/>
          <w:u w:val="single"/>
          <w:lang w:val="pt-BR"/>
        </w:rPr>
        <w:t>CRÉDITOS FISCAIS A RECUPERAR</w:t>
      </w:r>
    </w:p>
    <w:p w:rsidR="00C16DDB" w:rsidRPr="00312424" w:rsidRDefault="00C16DDB" w:rsidP="00C16DDB">
      <w:pPr>
        <w:pStyle w:val="Recuodecorpodetexto"/>
        <w:widowControl/>
        <w:autoSpaceDE w:val="0"/>
        <w:autoSpaceDN w:val="0"/>
        <w:ind w:left="0"/>
        <w:rPr>
          <w:rFonts w:ascii="Calibri" w:hAnsi="Calibri" w:cs="Calibri"/>
          <w:szCs w:val="24"/>
          <w:lang w:val="pt-BR"/>
        </w:rPr>
      </w:pPr>
      <w:r w:rsidRPr="00312424">
        <w:rPr>
          <w:rFonts w:ascii="Calibri" w:hAnsi="Calibri" w:cs="Calibri"/>
          <w:szCs w:val="24"/>
          <w:lang w:val="pt-BR"/>
        </w:rPr>
        <w:t xml:space="preserve">     </w:t>
      </w:r>
    </w:p>
    <w:p w:rsidR="00C16DDB" w:rsidRDefault="00C16DDB" w:rsidP="00C16DDB">
      <w:pPr>
        <w:pStyle w:val="Recuodecorpodetexto"/>
        <w:widowControl/>
        <w:autoSpaceDE w:val="0"/>
        <w:autoSpaceDN w:val="0"/>
        <w:ind w:left="0"/>
        <w:rPr>
          <w:rFonts w:ascii="Calibri" w:hAnsi="Calibri" w:cs="Calibri"/>
          <w:szCs w:val="24"/>
          <w:lang w:val="pt-BR"/>
        </w:rPr>
      </w:pPr>
      <w:r w:rsidRPr="00312424">
        <w:rPr>
          <w:rFonts w:ascii="Calibri" w:hAnsi="Calibri" w:cs="Calibri"/>
          <w:szCs w:val="24"/>
          <w:lang w:val="pt-BR"/>
        </w:rPr>
        <w:t>O detalhamento dos créditos tributários está composto abaixo:</w:t>
      </w:r>
    </w:p>
    <w:p w:rsidR="00C16DDB" w:rsidRDefault="00C16DDB" w:rsidP="00C16DDB">
      <w:pPr>
        <w:pStyle w:val="Recuodecorpodetexto"/>
        <w:widowControl/>
        <w:autoSpaceDE w:val="0"/>
        <w:autoSpaceDN w:val="0"/>
        <w:ind w:left="0"/>
        <w:rPr>
          <w:rFonts w:ascii="Calibri" w:hAnsi="Calibri" w:cs="Calibri"/>
          <w:szCs w:val="24"/>
          <w:lang w:val="pt-BR"/>
        </w:rPr>
      </w:pPr>
    </w:p>
    <w:tbl>
      <w:tblPr>
        <w:tblW w:w="5960" w:type="dxa"/>
        <w:jc w:val="center"/>
        <w:tblCellMar>
          <w:left w:w="70" w:type="dxa"/>
          <w:right w:w="70" w:type="dxa"/>
        </w:tblCellMar>
        <w:tblLook w:val="04A0" w:firstRow="1" w:lastRow="0" w:firstColumn="1" w:lastColumn="0" w:noHBand="0" w:noVBand="1"/>
      </w:tblPr>
      <w:tblGrid>
        <w:gridCol w:w="2320"/>
        <w:gridCol w:w="1820"/>
        <w:gridCol w:w="1820"/>
      </w:tblGrid>
      <w:tr w:rsidR="00B90F85" w:rsidRPr="00EF690C" w:rsidTr="00B90F85">
        <w:trPr>
          <w:trHeight w:val="284"/>
          <w:jc w:val="center"/>
        </w:trPr>
        <w:tc>
          <w:tcPr>
            <w:tcW w:w="2320" w:type="dxa"/>
            <w:tcBorders>
              <w:top w:val="nil"/>
              <w:left w:val="nil"/>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03</w:t>
            </w:r>
            <w:r w:rsidRPr="00EF690C">
              <w:rPr>
                <w:rFonts w:ascii="Calibri" w:hAnsi="Calibri" w:cs="Calibri"/>
                <w:b/>
                <w:bCs/>
                <w:snapToGrid/>
                <w:color w:val="000000"/>
                <w:sz w:val="24"/>
                <w:szCs w:val="24"/>
              </w:rPr>
              <w:t>/20</w:t>
            </w:r>
            <w:r>
              <w:rPr>
                <w:rFonts w:ascii="Calibri" w:hAnsi="Calibri" w:cs="Calibri"/>
                <w:b/>
                <w:bCs/>
                <w:snapToGrid/>
                <w:color w:val="000000"/>
                <w:sz w:val="24"/>
                <w:szCs w:val="24"/>
              </w:rPr>
              <w:t>20</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12</w:t>
            </w:r>
            <w:r w:rsidRPr="00EF690C">
              <w:rPr>
                <w:rFonts w:ascii="Calibri" w:hAnsi="Calibri" w:cs="Calibri"/>
                <w:b/>
                <w:bCs/>
                <w:snapToGrid/>
                <w:color w:val="000000"/>
                <w:sz w:val="24"/>
                <w:szCs w:val="24"/>
              </w:rPr>
              <w:t>/201</w:t>
            </w:r>
            <w:r>
              <w:rPr>
                <w:rFonts w:ascii="Calibri" w:hAnsi="Calibri" w:cs="Calibri"/>
                <w:b/>
                <w:bCs/>
                <w:snapToGrid/>
                <w:color w:val="000000"/>
                <w:sz w:val="24"/>
                <w:szCs w:val="24"/>
              </w:rPr>
              <w:t>9</w:t>
            </w:r>
          </w:p>
        </w:tc>
      </w:tr>
      <w:tr w:rsidR="00B90F85" w:rsidRPr="00EF690C" w:rsidTr="00B90F8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Imposto de Renda</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3.215</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2.893</w:t>
            </w:r>
          </w:p>
        </w:tc>
      </w:tr>
      <w:tr w:rsidR="00B90F85" w:rsidRPr="00EF690C" w:rsidTr="00B90F8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snapToGrid/>
                <w:color w:val="000000"/>
                <w:sz w:val="24"/>
                <w:szCs w:val="24"/>
              </w:rPr>
            </w:pPr>
            <w:r w:rsidRPr="00EF690C">
              <w:rPr>
                <w:rFonts w:ascii="Calibri" w:hAnsi="Calibri" w:cs="Calibri"/>
                <w:snapToGrid/>
                <w:color w:val="000000"/>
                <w:sz w:val="24"/>
                <w:szCs w:val="24"/>
              </w:rPr>
              <w:t>Contribuição Social</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235</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172</w:t>
            </w:r>
          </w:p>
        </w:tc>
      </w:tr>
      <w:tr w:rsidR="00B90F85" w:rsidRPr="00EF690C" w:rsidTr="00B90F85">
        <w:trPr>
          <w:trHeight w:val="284"/>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EF690C" w:rsidRDefault="00B90F85" w:rsidP="00B90F85">
            <w:pPr>
              <w:widowControl/>
              <w:rPr>
                <w:rFonts w:ascii="Calibri" w:hAnsi="Calibri" w:cs="Calibri"/>
                <w:b/>
                <w:bCs/>
                <w:snapToGrid/>
                <w:color w:val="000000"/>
                <w:sz w:val="24"/>
                <w:szCs w:val="24"/>
              </w:rPr>
            </w:pPr>
            <w:r w:rsidRPr="00EF690C">
              <w:rPr>
                <w:rFonts w:ascii="Calibri" w:hAnsi="Calibri" w:cs="Calibri"/>
                <w:b/>
                <w:bCs/>
                <w:snapToGrid/>
                <w:color w:val="000000"/>
                <w:sz w:val="24"/>
                <w:szCs w:val="24"/>
              </w:rPr>
              <w:t>Totais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EF690C" w:rsidRDefault="00B90F85" w:rsidP="00B90F8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3.450</w:t>
            </w:r>
          </w:p>
        </w:tc>
        <w:tc>
          <w:tcPr>
            <w:tcW w:w="1820" w:type="dxa"/>
            <w:tcBorders>
              <w:top w:val="single" w:sz="4" w:space="0" w:color="auto"/>
              <w:left w:val="single" w:sz="4" w:space="0" w:color="auto"/>
              <w:bottom w:val="single" w:sz="4" w:space="0" w:color="auto"/>
              <w:right w:val="single" w:sz="4" w:space="0" w:color="auto"/>
            </w:tcBorders>
            <w:vAlign w:val="bottom"/>
          </w:tcPr>
          <w:p w:rsidR="00B90F85" w:rsidRPr="00EF690C" w:rsidRDefault="00B90F85" w:rsidP="00B90F8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3.065</w:t>
            </w:r>
          </w:p>
        </w:tc>
      </w:tr>
    </w:tbl>
    <w:p w:rsidR="001968AF" w:rsidRDefault="001968AF" w:rsidP="00C16DDB">
      <w:pPr>
        <w:pStyle w:val="Recuodecorpodetexto"/>
        <w:widowControl/>
        <w:autoSpaceDE w:val="0"/>
        <w:autoSpaceDN w:val="0"/>
        <w:ind w:left="0"/>
        <w:rPr>
          <w:rFonts w:ascii="Calibri" w:hAnsi="Calibri" w:cs="Calibri"/>
          <w:b/>
          <w:szCs w:val="24"/>
          <w:lang w:val="pt-BR"/>
        </w:rPr>
      </w:pPr>
    </w:p>
    <w:p w:rsidR="00EB76EE" w:rsidRDefault="00EB76EE" w:rsidP="00C16DDB">
      <w:pPr>
        <w:pStyle w:val="Recuodecorpodetexto"/>
        <w:widowControl/>
        <w:autoSpaceDE w:val="0"/>
        <w:autoSpaceDN w:val="0"/>
        <w:ind w:left="0"/>
        <w:rPr>
          <w:rFonts w:ascii="Calibri" w:hAnsi="Calibri" w:cs="Calibri"/>
          <w:b/>
          <w:szCs w:val="24"/>
          <w:lang w:val="pt-BR"/>
        </w:rPr>
      </w:pPr>
    </w:p>
    <w:p w:rsidR="00C16DDB" w:rsidRPr="00312424" w:rsidRDefault="0043773C" w:rsidP="00C16DDB">
      <w:pPr>
        <w:pStyle w:val="Recuodecorpodetexto"/>
        <w:widowControl/>
        <w:autoSpaceDE w:val="0"/>
        <w:autoSpaceDN w:val="0"/>
        <w:ind w:left="0"/>
        <w:rPr>
          <w:rFonts w:ascii="Calibri" w:hAnsi="Calibri" w:cs="Calibri"/>
          <w:b/>
          <w:szCs w:val="24"/>
          <w:u w:val="single"/>
          <w:lang w:val="pt-BR"/>
        </w:rPr>
      </w:pPr>
      <w:r>
        <w:rPr>
          <w:rFonts w:ascii="Calibri" w:hAnsi="Calibri" w:cs="Calibri"/>
          <w:b/>
          <w:szCs w:val="24"/>
          <w:lang w:val="pt-BR"/>
        </w:rPr>
        <w:t>7</w:t>
      </w:r>
      <w:r w:rsidR="00C16DDB" w:rsidRPr="00312424">
        <w:rPr>
          <w:rFonts w:ascii="Calibri" w:hAnsi="Calibri" w:cs="Calibri"/>
          <w:b/>
          <w:szCs w:val="24"/>
          <w:lang w:val="pt-BR"/>
        </w:rPr>
        <w:t xml:space="preserve"> </w:t>
      </w:r>
      <w:r w:rsidR="00C16DDB" w:rsidRPr="00312424">
        <w:rPr>
          <w:rFonts w:ascii="Calibri" w:hAnsi="Calibri" w:cs="Calibri"/>
          <w:b/>
          <w:szCs w:val="24"/>
        </w:rPr>
        <w:t xml:space="preserve">– </w:t>
      </w:r>
      <w:r w:rsidR="00C16DDB" w:rsidRPr="00312424">
        <w:rPr>
          <w:rFonts w:ascii="Calibri" w:hAnsi="Calibri" w:cs="Calibri"/>
          <w:b/>
          <w:szCs w:val="24"/>
          <w:u w:val="single"/>
        </w:rPr>
        <w:t>VALORES A REC</w:t>
      </w:r>
      <w:r w:rsidR="00C16DDB" w:rsidRPr="00312424">
        <w:rPr>
          <w:rFonts w:ascii="Calibri" w:hAnsi="Calibri" w:cs="Calibri"/>
          <w:b/>
          <w:szCs w:val="24"/>
          <w:u w:val="single"/>
          <w:lang w:val="pt-BR"/>
        </w:rPr>
        <w:t>EBER</w:t>
      </w:r>
    </w:p>
    <w:p w:rsidR="00C16DDB" w:rsidRPr="00312424" w:rsidRDefault="00C16DDB" w:rsidP="00C16DDB">
      <w:pPr>
        <w:pStyle w:val="Recuodecorpodetexto"/>
        <w:widowControl/>
        <w:autoSpaceDE w:val="0"/>
        <w:autoSpaceDN w:val="0"/>
        <w:ind w:left="993"/>
        <w:rPr>
          <w:rFonts w:ascii="Calibri" w:hAnsi="Calibri" w:cs="Calibri"/>
          <w:szCs w:val="24"/>
        </w:rPr>
      </w:pPr>
    </w:p>
    <w:tbl>
      <w:tblPr>
        <w:tblW w:w="9900" w:type="dxa"/>
        <w:jc w:val="center"/>
        <w:tblLayout w:type="fixed"/>
        <w:tblCellMar>
          <w:left w:w="70" w:type="dxa"/>
          <w:right w:w="70" w:type="dxa"/>
        </w:tblCellMar>
        <w:tblLook w:val="04A0" w:firstRow="1" w:lastRow="0" w:firstColumn="1" w:lastColumn="0" w:noHBand="0" w:noVBand="1"/>
      </w:tblPr>
      <w:tblGrid>
        <w:gridCol w:w="3686"/>
        <w:gridCol w:w="1553"/>
        <w:gridCol w:w="1554"/>
        <w:gridCol w:w="1553"/>
        <w:gridCol w:w="1554"/>
      </w:tblGrid>
      <w:tr w:rsidR="000B6AF6" w:rsidRPr="005A7065" w:rsidTr="00BB1C75">
        <w:trPr>
          <w:trHeight w:val="284"/>
          <w:jc w:val="center"/>
        </w:trPr>
        <w:tc>
          <w:tcPr>
            <w:tcW w:w="3686" w:type="dxa"/>
            <w:tcBorders>
              <w:top w:val="nil"/>
              <w:left w:val="nil"/>
              <w:bottom w:val="nil"/>
              <w:right w:val="single" w:sz="4" w:space="0" w:color="auto"/>
            </w:tcBorders>
            <w:shd w:val="clear" w:color="auto" w:fill="auto"/>
            <w:noWrap/>
            <w:vAlign w:val="bottom"/>
            <w:hideMark/>
          </w:tcPr>
          <w:p w:rsidR="000B6AF6" w:rsidRPr="005A7065" w:rsidRDefault="000B6AF6" w:rsidP="005A7065">
            <w:pPr>
              <w:widowControl/>
              <w:rPr>
                <w:snapToGrid/>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5A7065">
            <w:pPr>
              <w:widowControl/>
              <w:jc w:val="center"/>
              <w:rPr>
                <w:rFonts w:ascii="Calibri" w:hAnsi="Calibri" w:cs="Calibri"/>
                <w:b/>
                <w:bCs/>
                <w:snapToGrid/>
                <w:color w:val="000000"/>
                <w:sz w:val="24"/>
                <w:szCs w:val="24"/>
              </w:rPr>
            </w:pPr>
            <w:r w:rsidRPr="005A7065">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5A7065">
            <w:pPr>
              <w:widowControl/>
              <w:jc w:val="center"/>
              <w:rPr>
                <w:rFonts w:ascii="Calibri" w:hAnsi="Calibri" w:cs="Calibri"/>
                <w:b/>
                <w:bCs/>
                <w:snapToGrid/>
                <w:color w:val="000000"/>
                <w:sz w:val="24"/>
                <w:szCs w:val="24"/>
              </w:rPr>
            </w:pPr>
            <w:r w:rsidRPr="005A7065">
              <w:rPr>
                <w:rFonts w:ascii="Calibri" w:hAnsi="Calibri" w:cs="Calibri"/>
                <w:b/>
                <w:bCs/>
                <w:snapToGrid/>
                <w:color w:val="000000"/>
                <w:sz w:val="24"/>
                <w:szCs w:val="24"/>
              </w:rPr>
              <w:t>Não Circulante</w:t>
            </w:r>
          </w:p>
        </w:tc>
      </w:tr>
      <w:tr w:rsidR="00B90F85" w:rsidRPr="005A7065" w:rsidTr="000B6AF6">
        <w:trPr>
          <w:trHeight w:val="284"/>
          <w:jc w:val="center"/>
        </w:trPr>
        <w:tc>
          <w:tcPr>
            <w:tcW w:w="3686" w:type="dxa"/>
            <w:tcBorders>
              <w:top w:val="nil"/>
              <w:left w:val="nil"/>
              <w:bottom w:val="single" w:sz="4" w:space="0" w:color="auto"/>
              <w:right w:val="single" w:sz="4" w:space="0" w:color="auto"/>
            </w:tcBorders>
            <w:shd w:val="clear" w:color="auto" w:fill="auto"/>
            <w:noWrap/>
            <w:vAlign w:val="bottom"/>
            <w:hideMark/>
          </w:tcPr>
          <w:p w:rsidR="00B90F85" w:rsidRPr="005A7065" w:rsidRDefault="00B90F85" w:rsidP="00B90F85">
            <w:pPr>
              <w:widowControl/>
              <w:rPr>
                <w:rFonts w:ascii="Calibri" w:hAnsi="Calibri" w:cs="Calibri"/>
                <w:snapToGrid/>
                <w:color w:val="000000"/>
                <w:sz w:val="24"/>
                <w:szCs w:val="24"/>
              </w:rPr>
            </w:pPr>
            <w:r w:rsidRPr="005A7065">
              <w:rPr>
                <w:rFonts w:ascii="Calibri" w:hAnsi="Calibri" w:cs="Calibri"/>
                <w:snapToGrid/>
                <w:color w:val="000000"/>
                <w:sz w:val="24"/>
                <w:szCs w:val="24"/>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03</w:t>
            </w:r>
            <w:r w:rsidRPr="00EF690C">
              <w:rPr>
                <w:rFonts w:ascii="Calibri" w:hAnsi="Calibri" w:cs="Calibri"/>
                <w:b/>
                <w:bCs/>
                <w:snapToGrid/>
                <w:color w:val="000000"/>
                <w:sz w:val="24"/>
                <w:szCs w:val="24"/>
              </w:rPr>
              <w:t>/20</w:t>
            </w:r>
            <w:r>
              <w:rPr>
                <w:rFonts w:ascii="Calibri" w:hAnsi="Calibri" w:cs="Calibri"/>
                <w:b/>
                <w:bCs/>
                <w:snapToGrid/>
                <w:color w:val="000000"/>
                <w:sz w:val="24"/>
                <w:szCs w:val="24"/>
              </w:rPr>
              <w:t>20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12</w:t>
            </w:r>
            <w:r w:rsidRPr="00EF690C">
              <w:rPr>
                <w:rFonts w:ascii="Calibri" w:hAnsi="Calibri" w:cs="Calibri"/>
                <w:b/>
                <w:bCs/>
                <w:snapToGrid/>
                <w:color w:val="000000"/>
                <w:sz w:val="24"/>
                <w:szCs w:val="24"/>
              </w:rPr>
              <w:t>/201</w:t>
            </w:r>
            <w:r>
              <w:rPr>
                <w:rFonts w:ascii="Calibri" w:hAnsi="Calibri" w:cs="Calibri"/>
                <w:b/>
                <w:bCs/>
                <w:snapToGrid/>
                <w:color w:val="000000"/>
                <w:sz w:val="24"/>
                <w:szCs w:val="24"/>
              </w:rPr>
              <w:t>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03</w:t>
            </w:r>
            <w:r w:rsidRPr="00EF690C">
              <w:rPr>
                <w:rFonts w:ascii="Calibri" w:hAnsi="Calibri" w:cs="Calibri"/>
                <w:b/>
                <w:bCs/>
                <w:snapToGrid/>
                <w:color w:val="000000"/>
                <w:sz w:val="24"/>
                <w:szCs w:val="24"/>
              </w:rPr>
              <w:t>/20</w:t>
            </w:r>
            <w:r>
              <w:rPr>
                <w:rFonts w:ascii="Calibri" w:hAnsi="Calibri" w:cs="Calibri"/>
                <w:b/>
                <w:bCs/>
                <w:snapToGrid/>
                <w:color w:val="000000"/>
                <w:sz w:val="24"/>
                <w:szCs w:val="24"/>
              </w:rPr>
              <w:t>20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center"/>
              <w:rPr>
                <w:rFonts w:ascii="Calibri" w:hAnsi="Calibri" w:cs="Calibri"/>
                <w:b/>
                <w:bCs/>
                <w:snapToGrid/>
                <w:color w:val="000000"/>
                <w:sz w:val="24"/>
                <w:szCs w:val="24"/>
              </w:rPr>
            </w:pPr>
            <w:r w:rsidRPr="00EF690C">
              <w:rPr>
                <w:rFonts w:ascii="Calibri" w:hAnsi="Calibri" w:cs="Calibri"/>
                <w:b/>
                <w:bCs/>
                <w:snapToGrid/>
                <w:color w:val="000000"/>
                <w:sz w:val="24"/>
                <w:szCs w:val="24"/>
              </w:rPr>
              <w:t>3</w:t>
            </w:r>
            <w:r>
              <w:rPr>
                <w:rFonts w:ascii="Calibri" w:hAnsi="Calibri" w:cs="Calibri"/>
                <w:b/>
                <w:bCs/>
                <w:snapToGrid/>
                <w:color w:val="000000"/>
                <w:sz w:val="24"/>
                <w:szCs w:val="24"/>
              </w:rPr>
              <w:t>1</w:t>
            </w:r>
            <w:r w:rsidRPr="00EF690C">
              <w:rPr>
                <w:rFonts w:ascii="Calibri" w:hAnsi="Calibri" w:cs="Calibri"/>
                <w:b/>
                <w:bCs/>
                <w:snapToGrid/>
                <w:color w:val="000000"/>
                <w:sz w:val="24"/>
                <w:szCs w:val="24"/>
              </w:rPr>
              <w:t>/</w:t>
            </w:r>
            <w:r>
              <w:rPr>
                <w:rFonts w:ascii="Calibri" w:hAnsi="Calibri" w:cs="Calibri"/>
                <w:b/>
                <w:bCs/>
                <w:snapToGrid/>
                <w:color w:val="000000"/>
                <w:sz w:val="24"/>
                <w:szCs w:val="24"/>
              </w:rPr>
              <w:t>12</w:t>
            </w:r>
            <w:r w:rsidRPr="00EF690C">
              <w:rPr>
                <w:rFonts w:ascii="Calibri" w:hAnsi="Calibri" w:cs="Calibri"/>
                <w:b/>
                <w:bCs/>
                <w:snapToGrid/>
                <w:color w:val="000000"/>
                <w:sz w:val="24"/>
                <w:szCs w:val="24"/>
              </w:rPr>
              <w:t>/201</w:t>
            </w:r>
            <w:r>
              <w:rPr>
                <w:rFonts w:ascii="Calibri" w:hAnsi="Calibri" w:cs="Calibri"/>
                <w:b/>
                <w:bCs/>
                <w:snapToGrid/>
                <w:color w:val="000000"/>
                <w:sz w:val="24"/>
                <w:szCs w:val="24"/>
              </w:rPr>
              <w:t>9</w:t>
            </w:r>
          </w:p>
        </w:tc>
      </w:tr>
      <w:tr w:rsidR="00B90F85"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rPr>
                <w:rFonts w:ascii="Calibri" w:hAnsi="Calibri" w:cs="Calibri"/>
                <w:snapToGrid/>
                <w:color w:val="000000"/>
                <w:sz w:val="24"/>
                <w:szCs w:val="24"/>
              </w:rPr>
            </w:pPr>
            <w:r w:rsidRPr="005A7065">
              <w:rPr>
                <w:rFonts w:ascii="Calibri" w:hAnsi="Calibri" w:cs="Calibri"/>
                <w:snapToGrid/>
                <w:color w:val="000000"/>
                <w:sz w:val="24"/>
                <w:szCs w:val="24"/>
              </w:rPr>
              <w:t>Município do Rio de Janeiro</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5A7065" w:rsidRDefault="000B6AF6"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6.456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6.456</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F85" w:rsidRPr="005A7065" w:rsidRDefault="000B6AF6"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41.577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5" w:rsidRPr="005A7065" w:rsidRDefault="00B90F85" w:rsidP="00B90F85">
            <w:pPr>
              <w:widowControl/>
              <w:jc w:val="right"/>
              <w:rPr>
                <w:rFonts w:ascii="Calibri" w:hAnsi="Calibri" w:cs="Calibri"/>
                <w:snapToGrid/>
                <w:color w:val="000000"/>
                <w:sz w:val="24"/>
                <w:szCs w:val="24"/>
              </w:rPr>
            </w:pPr>
            <w:r>
              <w:rPr>
                <w:rFonts w:ascii="Calibri" w:hAnsi="Calibri" w:cs="Calibri"/>
                <w:snapToGrid/>
                <w:color w:val="000000"/>
                <w:sz w:val="24"/>
                <w:szCs w:val="24"/>
              </w:rPr>
              <w:t>40.904</w:t>
            </w:r>
          </w:p>
        </w:tc>
      </w:tr>
      <w:tr w:rsidR="000B6AF6"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rPr>
                <w:rFonts w:ascii="Calibri" w:hAnsi="Calibri" w:cs="Calibri"/>
                <w:snapToGrid/>
                <w:color w:val="000000"/>
                <w:sz w:val="24"/>
                <w:szCs w:val="24"/>
              </w:rPr>
            </w:pPr>
            <w:r>
              <w:rPr>
                <w:rFonts w:ascii="Calibri" w:hAnsi="Calibri" w:cs="Calibri"/>
                <w:snapToGrid/>
                <w:color w:val="000000"/>
                <w:sz w:val="24"/>
                <w:szCs w:val="24"/>
              </w:rPr>
              <w:t>Acordos – Créditos a Receber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4.250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4.019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4.982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5.987</w:t>
            </w:r>
          </w:p>
        </w:tc>
      </w:tr>
      <w:tr w:rsidR="000B6AF6"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rPr>
                <w:rFonts w:ascii="Calibri" w:hAnsi="Calibri" w:cs="Calibri"/>
                <w:snapToGrid/>
                <w:color w:val="000000"/>
                <w:sz w:val="24"/>
                <w:szCs w:val="24"/>
              </w:rPr>
            </w:pPr>
            <w:r>
              <w:rPr>
                <w:rFonts w:ascii="Calibri" w:hAnsi="Calibri" w:cs="Calibri"/>
                <w:snapToGrid/>
                <w:color w:val="000000"/>
                <w:sz w:val="24"/>
                <w:szCs w:val="24"/>
              </w:rPr>
              <w:t>Servidores Cedidos a Outros Órgãos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3.760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0B6AF6"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rPr>
                <w:rFonts w:ascii="Calibri" w:hAnsi="Calibri" w:cs="Calibri"/>
                <w:snapToGrid/>
                <w:color w:val="000000"/>
                <w:sz w:val="24"/>
                <w:szCs w:val="24"/>
              </w:rPr>
            </w:pPr>
            <w:r w:rsidRPr="005A7065">
              <w:rPr>
                <w:rFonts w:ascii="Calibri" w:hAnsi="Calibri" w:cs="Calibri"/>
                <w:snapToGrid/>
                <w:color w:val="000000"/>
                <w:sz w:val="24"/>
                <w:szCs w:val="24"/>
              </w:rPr>
              <w:t>Convênio CDRJ x INEA</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1.200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1.200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0B6AF6"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rPr>
                <w:rFonts w:ascii="Calibri" w:hAnsi="Calibri" w:cs="Calibri"/>
                <w:snapToGrid/>
                <w:color w:val="000000"/>
                <w:sz w:val="24"/>
                <w:szCs w:val="24"/>
              </w:rPr>
            </w:pPr>
            <w:r w:rsidRPr="005A7065">
              <w:rPr>
                <w:rFonts w:ascii="Calibri" w:hAnsi="Calibri" w:cs="Calibri"/>
                <w:snapToGrid/>
                <w:color w:val="000000"/>
                <w:sz w:val="24"/>
                <w:szCs w:val="24"/>
              </w:rPr>
              <w:t>Outros Valores a Receber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2.180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599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0B6AF6" w:rsidRPr="005A7065" w:rsidTr="000B6AF6">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rPr>
                <w:rFonts w:ascii="Calibri" w:hAnsi="Calibri" w:cs="Calibri"/>
                <w:b/>
                <w:bCs/>
                <w:snapToGrid/>
                <w:color w:val="000000"/>
                <w:sz w:val="24"/>
                <w:szCs w:val="24"/>
              </w:rPr>
            </w:pPr>
            <w:r w:rsidRPr="005A7065">
              <w:rPr>
                <w:rFonts w:ascii="Calibri" w:hAnsi="Calibri" w:cs="Calibri"/>
                <w:b/>
                <w:bCs/>
                <w:snapToGrid/>
                <w:color w:val="000000"/>
                <w:sz w:val="24"/>
                <w:szCs w:val="24"/>
              </w:rPr>
              <w:t>Totais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17.846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12.274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6AF6" w:rsidRPr="005A7065" w:rsidRDefault="000B6AF6" w:rsidP="000B6AF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46.559</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F6" w:rsidRPr="005A7065" w:rsidRDefault="000B6AF6" w:rsidP="000B6AF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46.891</w:t>
            </w:r>
          </w:p>
        </w:tc>
      </w:tr>
    </w:tbl>
    <w:p w:rsidR="00C16DDB" w:rsidRPr="00312424" w:rsidRDefault="007D4F1E" w:rsidP="00C16DDB">
      <w:pPr>
        <w:pStyle w:val="Recuodecorpodetexto"/>
        <w:widowControl/>
        <w:autoSpaceDE w:val="0"/>
        <w:autoSpaceDN w:val="0"/>
        <w:ind w:left="0"/>
        <w:rPr>
          <w:rFonts w:ascii="Calibri" w:hAnsi="Calibri" w:cs="Calibri"/>
          <w:b/>
          <w:szCs w:val="24"/>
          <w:lang w:val="pt-BR"/>
        </w:rPr>
      </w:pPr>
      <w:r>
        <w:rPr>
          <w:rFonts w:ascii="Calibri" w:hAnsi="Calibri" w:cs="Calibri"/>
          <w:b/>
          <w:szCs w:val="24"/>
          <w:lang w:val="pt-BR"/>
        </w:rPr>
        <w:lastRenderedPageBreak/>
        <w:t>Município do Rio de Janeiro</w:t>
      </w:r>
      <w:r w:rsidR="00C16DDB" w:rsidRPr="00312424">
        <w:rPr>
          <w:rFonts w:ascii="Calibri" w:hAnsi="Calibri" w:cs="Calibri"/>
          <w:b/>
          <w:szCs w:val="24"/>
        </w:rPr>
        <w:t xml:space="preserve"> </w:t>
      </w:r>
      <w:r w:rsidR="001E11CE" w:rsidRPr="001E11CE">
        <w:rPr>
          <w:rFonts w:ascii="Calibri" w:hAnsi="Calibri" w:cs="Calibri"/>
          <w:szCs w:val="24"/>
          <w:lang w:val="pt-BR"/>
        </w:rPr>
        <w:t>compreende o s</w:t>
      </w:r>
      <w:r w:rsidR="00C16DDB" w:rsidRPr="00312424">
        <w:rPr>
          <w:rFonts w:ascii="Calibri" w:hAnsi="Calibri" w:cs="Calibri"/>
          <w:szCs w:val="24"/>
          <w:lang w:val="pt-BR"/>
        </w:rPr>
        <w:t xml:space="preserve">aldo a </w:t>
      </w:r>
      <w:r w:rsidR="001E11CE">
        <w:rPr>
          <w:rFonts w:ascii="Calibri" w:hAnsi="Calibri" w:cs="Calibri"/>
          <w:szCs w:val="24"/>
          <w:lang w:val="pt-BR"/>
        </w:rPr>
        <w:t>r</w:t>
      </w:r>
      <w:r w:rsidR="00C16DDB" w:rsidRPr="00312424">
        <w:rPr>
          <w:rFonts w:ascii="Calibri" w:hAnsi="Calibri" w:cs="Calibri"/>
          <w:szCs w:val="24"/>
          <w:lang w:val="pt-BR"/>
        </w:rPr>
        <w:t>eceber referente à indenização por desapropriação administrativa de imóveis ou terrenos urbanos de titularidade da CDRJ, nos termos do Decreto Presidencial não numerado, de 10 de setembro de 2013</w:t>
      </w:r>
      <w:r w:rsidR="004D67FA">
        <w:rPr>
          <w:rFonts w:ascii="Calibri" w:hAnsi="Calibri" w:cs="Calibri"/>
          <w:szCs w:val="24"/>
          <w:lang w:val="pt-BR"/>
        </w:rPr>
        <w:t>, o qual</w:t>
      </w:r>
      <w:r w:rsidR="00C16DDB" w:rsidRPr="00312424">
        <w:rPr>
          <w:rFonts w:ascii="Calibri" w:hAnsi="Calibri" w:cs="Calibri"/>
          <w:szCs w:val="24"/>
          <w:lang w:val="pt-BR"/>
        </w:rPr>
        <w:t xml:space="preserve"> autorizou o Município do Rio de Janeiro a declarar de utilidade pública o domínio público dos imóveis pertencentes à CDRJ, destinados à implantação da urbanização da área portuária. </w:t>
      </w:r>
    </w:p>
    <w:p w:rsidR="00C16DDB" w:rsidRPr="00312424" w:rsidRDefault="00C16DDB" w:rsidP="00C16DDB">
      <w:pPr>
        <w:pStyle w:val="Recuodecorpodetexto"/>
        <w:widowControl/>
        <w:autoSpaceDE w:val="0"/>
        <w:autoSpaceDN w:val="0"/>
        <w:ind w:left="0"/>
        <w:rPr>
          <w:rFonts w:ascii="Calibri" w:hAnsi="Calibri" w:cs="Calibri"/>
          <w:b/>
          <w:szCs w:val="24"/>
        </w:rPr>
      </w:pPr>
    </w:p>
    <w:p w:rsidR="000B6AF6" w:rsidRDefault="000B6AF6" w:rsidP="000B6AF6">
      <w:pPr>
        <w:pStyle w:val="Recuodecorpodetexto"/>
        <w:widowControl/>
        <w:autoSpaceDE w:val="0"/>
        <w:autoSpaceDN w:val="0"/>
        <w:ind w:left="0"/>
        <w:rPr>
          <w:rFonts w:ascii="Calibri" w:hAnsi="Calibri" w:cs="Calibri"/>
          <w:szCs w:val="24"/>
          <w:lang w:val="pt-BR"/>
        </w:rPr>
      </w:pPr>
      <w:r>
        <w:rPr>
          <w:rFonts w:ascii="Calibri" w:hAnsi="Calibri" w:cs="Calibri"/>
          <w:b/>
          <w:szCs w:val="24"/>
          <w:lang w:val="pt-BR"/>
        </w:rPr>
        <w:t>Acordos – Créditos a Receber</w:t>
      </w:r>
      <w:r w:rsidRPr="00312424">
        <w:rPr>
          <w:rFonts w:ascii="Calibri" w:hAnsi="Calibri" w:cs="Calibri"/>
          <w:b/>
          <w:szCs w:val="24"/>
        </w:rPr>
        <w:t xml:space="preserve"> </w:t>
      </w:r>
      <w:r w:rsidRPr="001E11CE">
        <w:rPr>
          <w:rFonts w:ascii="Calibri" w:hAnsi="Calibri" w:cs="Calibri"/>
          <w:szCs w:val="24"/>
          <w:lang w:val="pt-BR"/>
        </w:rPr>
        <w:t>compreende o s</w:t>
      </w:r>
      <w:r w:rsidRPr="00312424">
        <w:rPr>
          <w:rFonts w:ascii="Calibri" w:hAnsi="Calibri" w:cs="Calibri"/>
          <w:szCs w:val="24"/>
          <w:lang w:val="pt-BR"/>
        </w:rPr>
        <w:t xml:space="preserve">aldo a </w:t>
      </w:r>
      <w:r>
        <w:rPr>
          <w:rFonts w:ascii="Calibri" w:hAnsi="Calibri" w:cs="Calibri"/>
          <w:szCs w:val="24"/>
          <w:lang w:val="pt-BR"/>
        </w:rPr>
        <w:t>r</w:t>
      </w:r>
      <w:r w:rsidRPr="00312424">
        <w:rPr>
          <w:rFonts w:ascii="Calibri" w:hAnsi="Calibri" w:cs="Calibri"/>
          <w:szCs w:val="24"/>
          <w:lang w:val="pt-BR"/>
        </w:rPr>
        <w:t xml:space="preserve">eceber referente </w:t>
      </w:r>
      <w:r>
        <w:rPr>
          <w:rFonts w:ascii="Calibri" w:hAnsi="Calibri" w:cs="Calibri"/>
          <w:szCs w:val="24"/>
          <w:lang w:val="pt-BR"/>
        </w:rPr>
        <w:t xml:space="preserve">aos acordos de confissão de dívidas firmados com os seguintes clientes: Píer Mauá S.A., Triunfo Logística Ltda. e </w:t>
      </w:r>
      <w:proofErr w:type="spellStart"/>
      <w:r>
        <w:rPr>
          <w:rFonts w:ascii="Calibri" w:hAnsi="Calibri" w:cs="Calibri"/>
          <w:szCs w:val="24"/>
          <w:lang w:val="pt-BR"/>
        </w:rPr>
        <w:t>Pennant</w:t>
      </w:r>
      <w:proofErr w:type="spellEnd"/>
      <w:r>
        <w:rPr>
          <w:rFonts w:ascii="Calibri" w:hAnsi="Calibri" w:cs="Calibri"/>
          <w:szCs w:val="24"/>
          <w:lang w:val="pt-BR"/>
        </w:rPr>
        <w:t xml:space="preserve"> Serviços Marítimos Ltda.</w:t>
      </w:r>
    </w:p>
    <w:p w:rsidR="000B6AF6" w:rsidRPr="00312424" w:rsidRDefault="000B6AF6" w:rsidP="000B6AF6">
      <w:pPr>
        <w:pStyle w:val="Recuodecorpodetexto"/>
        <w:widowControl/>
        <w:autoSpaceDE w:val="0"/>
        <w:autoSpaceDN w:val="0"/>
        <w:ind w:left="0"/>
        <w:rPr>
          <w:rFonts w:ascii="Calibri" w:hAnsi="Calibri" w:cs="Calibri"/>
          <w:b/>
          <w:szCs w:val="24"/>
          <w:lang w:val="pt-BR"/>
        </w:rPr>
      </w:pPr>
    </w:p>
    <w:p w:rsidR="000B6AF6" w:rsidRPr="00312424" w:rsidRDefault="000B6AF6" w:rsidP="000B6AF6">
      <w:pPr>
        <w:pStyle w:val="Recuodecorpodetexto"/>
        <w:widowControl/>
        <w:autoSpaceDE w:val="0"/>
        <w:autoSpaceDN w:val="0"/>
        <w:ind w:left="0"/>
        <w:rPr>
          <w:rFonts w:ascii="Calibri" w:hAnsi="Calibri" w:cs="Calibri"/>
          <w:b/>
          <w:szCs w:val="24"/>
          <w:lang w:val="pt-BR"/>
        </w:rPr>
      </w:pPr>
      <w:r>
        <w:rPr>
          <w:rFonts w:ascii="Calibri" w:hAnsi="Calibri" w:cs="Calibri"/>
          <w:b/>
          <w:szCs w:val="24"/>
          <w:lang w:val="pt-BR"/>
        </w:rPr>
        <w:t>Servidores Cedidos a Outros Órgãos</w:t>
      </w:r>
      <w:r w:rsidRPr="00312424">
        <w:rPr>
          <w:rFonts w:ascii="Calibri" w:hAnsi="Calibri" w:cs="Calibri"/>
          <w:b/>
          <w:szCs w:val="24"/>
        </w:rPr>
        <w:t xml:space="preserve"> </w:t>
      </w:r>
      <w:r w:rsidRPr="001E11CE">
        <w:rPr>
          <w:rFonts w:ascii="Calibri" w:hAnsi="Calibri" w:cs="Calibri"/>
          <w:szCs w:val="24"/>
          <w:lang w:val="pt-BR"/>
        </w:rPr>
        <w:t>compreende o s</w:t>
      </w:r>
      <w:r w:rsidRPr="00312424">
        <w:rPr>
          <w:rFonts w:ascii="Calibri" w:hAnsi="Calibri" w:cs="Calibri"/>
          <w:szCs w:val="24"/>
          <w:lang w:val="pt-BR"/>
        </w:rPr>
        <w:t xml:space="preserve">aldo a </w:t>
      </w:r>
      <w:r>
        <w:rPr>
          <w:rFonts w:ascii="Calibri" w:hAnsi="Calibri" w:cs="Calibri"/>
          <w:szCs w:val="24"/>
          <w:lang w:val="pt-BR"/>
        </w:rPr>
        <w:t>r</w:t>
      </w:r>
      <w:r w:rsidRPr="00312424">
        <w:rPr>
          <w:rFonts w:ascii="Calibri" w:hAnsi="Calibri" w:cs="Calibri"/>
          <w:szCs w:val="24"/>
          <w:lang w:val="pt-BR"/>
        </w:rPr>
        <w:t xml:space="preserve">eceber referente </w:t>
      </w:r>
      <w:r>
        <w:rPr>
          <w:rFonts w:ascii="Calibri" w:hAnsi="Calibri" w:cs="Calibri"/>
          <w:szCs w:val="24"/>
          <w:lang w:val="pt-BR"/>
        </w:rPr>
        <w:t>às cessões onerosas de empregados do quadro da CDRJ a diversos órgãos e entidades públicos.</w:t>
      </w:r>
    </w:p>
    <w:p w:rsidR="000B6AF6" w:rsidRDefault="000B6AF6" w:rsidP="00C16DDB">
      <w:pPr>
        <w:pStyle w:val="Recuodecorpodetexto"/>
        <w:widowControl/>
        <w:autoSpaceDE w:val="0"/>
        <w:autoSpaceDN w:val="0"/>
        <w:ind w:left="0"/>
        <w:rPr>
          <w:rFonts w:ascii="Calibri" w:hAnsi="Calibri" w:cs="Calibri"/>
          <w:szCs w:val="24"/>
          <w:lang w:val="pt-BR"/>
        </w:rPr>
      </w:pPr>
    </w:p>
    <w:p w:rsidR="00C16DDB" w:rsidRPr="00312424" w:rsidRDefault="001E11CE" w:rsidP="00C16DDB">
      <w:pPr>
        <w:pStyle w:val="Recuodecorpodetexto"/>
        <w:widowControl/>
        <w:autoSpaceDE w:val="0"/>
        <w:autoSpaceDN w:val="0"/>
        <w:ind w:left="0"/>
        <w:rPr>
          <w:rFonts w:ascii="Calibri" w:hAnsi="Calibri" w:cs="Calibri"/>
          <w:szCs w:val="24"/>
          <w:lang w:val="pt-BR"/>
        </w:rPr>
      </w:pPr>
      <w:r w:rsidRPr="001E11CE">
        <w:rPr>
          <w:rFonts w:ascii="Calibri" w:hAnsi="Calibri" w:cs="Calibri"/>
          <w:szCs w:val="24"/>
          <w:lang w:val="pt-BR"/>
        </w:rPr>
        <w:t>O</w:t>
      </w:r>
      <w:r>
        <w:rPr>
          <w:rFonts w:ascii="Calibri" w:hAnsi="Calibri" w:cs="Calibri"/>
          <w:b/>
          <w:szCs w:val="24"/>
          <w:lang w:val="pt-BR"/>
        </w:rPr>
        <w:t xml:space="preserve"> </w:t>
      </w:r>
      <w:r w:rsidR="00C16DDB" w:rsidRPr="00312424">
        <w:rPr>
          <w:rFonts w:ascii="Calibri" w:hAnsi="Calibri" w:cs="Calibri"/>
          <w:b/>
          <w:szCs w:val="24"/>
        </w:rPr>
        <w:t xml:space="preserve">Convênio CDRJ/INEA </w:t>
      </w:r>
      <w:r w:rsidRPr="001E11CE">
        <w:rPr>
          <w:rFonts w:ascii="Calibri" w:hAnsi="Calibri" w:cs="Calibri"/>
          <w:szCs w:val="24"/>
          <w:lang w:val="pt-BR"/>
        </w:rPr>
        <w:t>refere-se ao r</w:t>
      </w:r>
      <w:r w:rsidR="004D67FA" w:rsidRPr="004D67FA">
        <w:rPr>
          <w:rFonts w:ascii="Calibri" w:hAnsi="Calibri" w:cs="Calibri"/>
          <w:szCs w:val="24"/>
          <w:lang w:val="pt-BR"/>
        </w:rPr>
        <w:t>epasse</w:t>
      </w:r>
      <w:r w:rsidR="00C16DDB" w:rsidRPr="00312424">
        <w:rPr>
          <w:rFonts w:ascii="Calibri" w:hAnsi="Calibri" w:cs="Calibri"/>
          <w:szCs w:val="24"/>
        </w:rPr>
        <w:t xml:space="preserve"> da União para o Instituto Estadual do Ambiente, a título de investimento no Programa de Saneamento de Sepetiba, conforme Termo de Convênio nº 120/2012, assinado entre a CDRJ e o INEA, visando ações de despoluição da Praia de Sepetiba. Em contrapartida</w:t>
      </w:r>
      <w:r w:rsidR="00C16DDB" w:rsidRPr="00312424">
        <w:rPr>
          <w:rFonts w:ascii="Calibri" w:hAnsi="Calibri" w:cs="Calibri"/>
          <w:szCs w:val="24"/>
          <w:lang w:val="pt-BR"/>
        </w:rPr>
        <w:t>,</w:t>
      </w:r>
      <w:r w:rsidR="00C16DDB" w:rsidRPr="00312424">
        <w:rPr>
          <w:rFonts w:ascii="Calibri" w:hAnsi="Calibri" w:cs="Calibri"/>
          <w:szCs w:val="24"/>
        </w:rPr>
        <w:t xml:space="preserve"> o convênio possibilita a CDRJ pugnar pela compensação do valor em face da execução movida pelo Ministério Público Federal, nos autos da Ação Civil Pública nº 2003.51.01.022386-0.</w:t>
      </w:r>
      <w:r w:rsidR="00C16DDB" w:rsidRPr="00312424">
        <w:rPr>
          <w:rFonts w:ascii="Calibri" w:hAnsi="Calibri" w:cs="Calibri"/>
          <w:szCs w:val="24"/>
          <w:lang w:val="pt-BR"/>
        </w:rPr>
        <w:t xml:space="preserve"> Após o término do contrato, o INEA realizou a prestação de contas e pleiteou novo aditivo com fins de utilização do saldo de R$ 1.200 mil (referente ao valor não utilizado de R$ 500 mil e atualização no valor de R$ 700 mil) que deveria ser restituído à CDRJ. </w:t>
      </w:r>
      <w:r w:rsidR="006D1F1A">
        <w:rPr>
          <w:rFonts w:ascii="Calibri" w:hAnsi="Calibri" w:cs="Calibri"/>
          <w:szCs w:val="24"/>
          <w:lang w:val="pt-BR"/>
        </w:rPr>
        <w:t>A Diretoria Executiva da CDRJ rejeitou a proposta e propôs o ajuizamento de ação visando o ressarcimento do saldo remanescente, devidamente atualizado.</w:t>
      </w:r>
    </w:p>
    <w:p w:rsidR="00BB24F4" w:rsidRDefault="00BB24F4" w:rsidP="00C16DDB">
      <w:pPr>
        <w:pStyle w:val="Recuodecorpodetexto"/>
        <w:widowControl/>
        <w:autoSpaceDE w:val="0"/>
        <w:autoSpaceDN w:val="0"/>
        <w:ind w:left="0"/>
        <w:rPr>
          <w:rFonts w:ascii="Calibri" w:hAnsi="Calibri" w:cs="Calibri"/>
          <w:b/>
          <w:szCs w:val="24"/>
          <w:lang w:val="pt-BR"/>
        </w:rPr>
      </w:pPr>
    </w:p>
    <w:p w:rsidR="009B2C95" w:rsidRDefault="009B2C95" w:rsidP="000831FD">
      <w:pPr>
        <w:pStyle w:val="Recuodecorpodetexto"/>
        <w:widowControl/>
        <w:autoSpaceDE w:val="0"/>
        <w:autoSpaceDN w:val="0"/>
        <w:ind w:left="0"/>
        <w:rPr>
          <w:rFonts w:ascii="Calibri" w:hAnsi="Calibri" w:cs="Calibri"/>
          <w:b/>
          <w:szCs w:val="24"/>
          <w:lang w:val="pt-BR"/>
        </w:rPr>
      </w:pPr>
    </w:p>
    <w:p w:rsidR="00C16DDB" w:rsidRPr="00312424" w:rsidRDefault="0043773C" w:rsidP="000831FD">
      <w:pPr>
        <w:pStyle w:val="Recuodecorpodetexto"/>
        <w:widowControl/>
        <w:autoSpaceDE w:val="0"/>
        <w:autoSpaceDN w:val="0"/>
        <w:ind w:left="0"/>
        <w:rPr>
          <w:rFonts w:ascii="Calibri" w:hAnsi="Calibri" w:cs="Calibri"/>
          <w:b/>
          <w:szCs w:val="24"/>
          <w:u w:val="single"/>
          <w:lang w:val="pt-BR"/>
        </w:rPr>
      </w:pPr>
      <w:r>
        <w:rPr>
          <w:rFonts w:ascii="Calibri" w:hAnsi="Calibri" w:cs="Calibri"/>
          <w:b/>
          <w:szCs w:val="24"/>
          <w:lang w:val="pt-BR"/>
        </w:rPr>
        <w:t>8</w:t>
      </w:r>
      <w:r w:rsidR="00C16DDB" w:rsidRPr="00312424">
        <w:rPr>
          <w:rFonts w:ascii="Calibri" w:hAnsi="Calibri" w:cs="Calibri"/>
          <w:b/>
          <w:szCs w:val="24"/>
          <w:lang w:val="pt-BR"/>
        </w:rPr>
        <w:t xml:space="preserve"> </w:t>
      </w:r>
      <w:r w:rsidR="00C16DDB" w:rsidRPr="00312424">
        <w:rPr>
          <w:rFonts w:ascii="Calibri" w:hAnsi="Calibri" w:cs="Calibri"/>
          <w:b/>
          <w:szCs w:val="24"/>
        </w:rPr>
        <w:t xml:space="preserve">– </w:t>
      </w:r>
      <w:r w:rsidR="00C16DDB" w:rsidRPr="00312424">
        <w:rPr>
          <w:rFonts w:ascii="Calibri" w:hAnsi="Calibri" w:cs="Calibri"/>
          <w:b/>
          <w:szCs w:val="24"/>
          <w:u w:val="single"/>
          <w:lang w:val="pt-BR"/>
        </w:rPr>
        <w:t>DEPÓSITOS JUDICIAIS</w:t>
      </w:r>
    </w:p>
    <w:p w:rsidR="00C16DDB" w:rsidRPr="00312424" w:rsidRDefault="00C16DDB" w:rsidP="00C16DDB">
      <w:pPr>
        <w:pStyle w:val="Recuodecorpodetexto"/>
        <w:widowControl/>
        <w:autoSpaceDE w:val="0"/>
        <w:autoSpaceDN w:val="0"/>
        <w:ind w:left="0"/>
        <w:rPr>
          <w:rFonts w:ascii="Calibri" w:hAnsi="Calibri" w:cs="Calibri"/>
          <w:b/>
          <w:szCs w:val="24"/>
          <w:u w:val="single"/>
          <w:lang w:val="pt-BR"/>
        </w:rPr>
      </w:pPr>
    </w:p>
    <w:p w:rsidR="00C16DDB" w:rsidRDefault="00C16DDB" w:rsidP="00C16DDB">
      <w:pPr>
        <w:pStyle w:val="Recuodecorpodetexto"/>
        <w:widowControl/>
        <w:autoSpaceDE w:val="0"/>
        <w:autoSpaceDN w:val="0"/>
        <w:ind w:left="0"/>
        <w:rPr>
          <w:rFonts w:ascii="Calibri" w:hAnsi="Calibri" w:cs="Calibri"/>
          <w:szCs w:val="24"/>
          <w:lang w:val="pt-BR"/>
        </w:rPr>
      </w:pPr>
      <w:r w:rsidRPr="00312424">
        <w:rPr>
          <w:rFonts w:ascii="Calibri" w:hAnsi="Calibri" w:cs="Calibri"/>
          <w:szCs w:val="24"/>
          <w:lang w:val="pt-BR"/>
        </w:rPr>
        <w:t>Valores relacionados a quantias depositadas e mantidas em juízo até a solução dos respectivos litígios</w:t>
      </w:r>
      <w:r w:rsidR="00B4501B">
        <w:rPr>
          <w:rFonts w:ascii="Calibri" w:hAnsi="Calibri" w:cs="Calibri"/>
          <w:szCs w:val="24"/>
          <w:lang w:val="pt-BR"/>
        </w:rPr>
        <w:t>:</w:t>
      </w:r>
      <w:r w:rsidRPr="00312424">
        <w:rPr>
          <w:rFonts w:ascii="Calibri" w:hAnsi="Calibri" w:cs="Calibri"/>
          <w:szCs w:val="24"/>
          <w:lang w:val="pt-BR"/>
        </w:rPr>
        <w:t xml:space="preserve"> </w:t>
      </w:r>
    </w:p>
    <w:p w:rsidR="00085185" w:rsidRDefault="00085185" w:rsidP="00C16DDB">
      <w:pPr>
        <w:pStyle w:val="Recuodecorpodetexto"/>
        <w:widowControl/>
        <w:autoSpaceDE w:val="0"/>
        <w:autoSpaceDN w:val="0"/>
        <w:ind w:left="0"/>
        <w:rPr>
          <w:rFonts w:ascii="Calibri" w:hAnsi="Calibri" w:cs="Calibri"/>
          <w:szCs w:val="24"/>
          <w:lang w:val="pt-BR"/>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307171" w:rsidRPr="005A7065" w:rsidTr="00697525">
        <w:trPr>
          <w:trHeight w:val="284"/>
          <w:jc w:val="center"/>
        </w:trPr>
        <w:tc>
          <w:tcPr>
            <w:tcW w:w="2860" w:type="dxa"/>
            <w:tcBorders>
              <w:top w:val="nil"/>
              <w:left w:val="nil"/>
              <w:bottom w:val="single" w:sz="4" w:space="0" w:color="auto"/>
              <w:right w:val="single" w:sz="4" w:space="0" w:color="auto"/>
            </w:tcBorders>
            <w:shd w:val="clear" w:color="auto" w:fill="auto"/>
            <w:noWrap/>
            <w:vAlign w:val="bottom"/>
            <w:hideMark/>
          </w:tcPr>
          <w:p w:rsidR="00307171" w:rsidRPr="005A7065" w:rsidRDefault="00307171" w:rsidP="00307171">
            <w:pPr>
              <w:widowControl/>
              <w:rPr>
                <w:rFonts w:ascii="Calibri" w:hAnsi="Calibri" w:cs="Calibri"/>
                <w:snapToGrid/>
                <w:color w:val="000000"/>
                <w:sz w:val="24"/>
                <w:szCs w:val="24"/>
              </w:rPr>
            </w:pPr>
            <w:r w:rsidRPr="005A7065">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171" w:rsidRPr="005A7065" w:rsidRDefault="00307171" w:rsidP="00307171">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307171" w:rsidRPr="005A7065" w:rsidTr="00697525">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171" w:rsidRPr="005A7065" w:rsidRDefault="00307171" w:rsidP="00307171">
            <w:pPr>
              <w:widowControl/>
              <w:rPr>
                <w:rFonts w:ascii="Calibri" w:hAnsi="Calibri" w:cs="Calibri"/>
                <w:snapToGrid/>
                <w:color w:val="000000"/>
                <w:sz w:val="24"/>
                <w:szCs w:val="24"/>
              </w:rPr>
            </w:pPr>
            <w:r w:rsidRPr="005A7065">
              <w:rPr>
                <w:rFonts w:ascii="Calibri" w:hAnsi="Calibri" w:cs="Calibri"/>
                <w:snapToGrid/>
                <w:color w:val="000000"/>
                <w:sz w:val="24"/>
                <w:szCs w:val="24"/>
              </w:rPr>
              <w:t>Ações Judiciais - IPTU</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13.408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13.408</w:t>
            </w:r>
          </w:p>
        </w:tc>
      </w:tr>
      <w:tr w:rsidR="00307171" w:rsidRPr="005A7065" w:rsidTr="00697525">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171" w:rsidRPr="005A7065" w:rsidRDefault="00307171" w:rsidP="00307171">
            <w:pPr>
              <w:widowControl/>
              <w:rPr>
                <w:rFonts w:ascii="Calibri" w:hAnsi="Calibri" w:cs="Calibri"/>
                <w:snapToGrid/>
                <w:color w:val="000000"/>
                <w:sz w:val="24"/>
                <w:szCs w:val="24"/>
              </w:rPr>
            </w:pPr>
            <w:r w:rsidRPr="005A7065">
              <w:rPr>
                <w:rFonts w:ascii="Calibri" w:hAnsi="Calibri" w:cs="Calibri"/>
                <w:snapToGrid/>
                <w:color w:val="000000"/>
                <w:sz w:val="24"/>
                <w:szCs w:val="24"/>
              </w:rPr>
              <w:t xml:space="preserve">Ações Judiciais - </w:t>
            </w:r>
            <w:proofErr w:type="spellStart"/>
            <w:r w:rsidRPr="005A7065">
              <w:rPr>
                <w:rFonts w:ascii="Calibri" w:hAnsi="Calibri" w:cs="Calibri"/>
                <w:snapToGrid/>
                <w:color w:val="000000"/>
                <w:sz w:val="24"/>
                <w:szCs w:val="24"/>
              </w:rPr>
              <w:t>Portus</w:t>
            </w:r>
            <w:proofErr w:type="spellEnd"/>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39.470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32.783</w:t>
            </w:r>
          </w:p>
        </w:tc>
      </w:tr>
      <w:tr w:rsidR="00307171" w:rsidRPr="005A7065" w:rsidTr="00697525">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rPr>
                <w:rFonts w:ascii="Calibri" w:hAnsi="Calibri" w:cs="Calibri"/>
                <w:snapToGrid/>
                <w:color w:val="000000"/>
                <w:sz w:val="24"/>
                <w:szCs w:val="24"/>
              </w:rPr>
            </w:pPr>
            <w:r>
              <w:rPr>
                <w:rFonts w:ascii="Calibri" w:hAnsi="Calibri" w:cs="Calibri"/>
                <w:snapToGrid/>
                <w:color w:val="000000"/>
                <w:sz w:val="24"/>
                <w:szCs w:val="24"/>
              </w:rPr>
              <w:t>Ações Judiciais - VPNI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36.884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29.201</w:t>
            </w:r>
          </w:p>
        </w:tc>
      </w:tr>
      <w:tr w:rsidR="00307171" w:rsidRPr="005A7065" w:rsidTr="00697525">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171" w:rsidRPr="005A7065" w:rsidRDefault="00307171" w:rsidP="00307171">
            <w:pPr>
              <w:widowControl/>
              <w:rPr>
                <w:rFonts w:ascii="Calibri" w:hAnsi="Calibri" w:cs="Calibri"/>
                <w:snapToGrid/>
                <w:color w:val="000000"/>
                <w:sz w:val="24"/>
                <w:szCs w:val="24"/>
              </w:rPr>
            </w:pPr>
            <w:r w:rsidRPr="005A7065">
              <w:rPr>
                <w:rFonts w:ascii="Calibri" w:hAnsi="Calibri" w:cs="Calibri"/>
                <w:snapToGrid/>
                <w:color w:val="000000"/>
                <w:sz w:val="24"/>
                <w:szCs w:val="24"/>
              </w:rPr>
              <w:t>Outras Ações Judiciais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snapToGrid/>
                <w:color w:val="000000"/>
                <w:sz w:val="24"/>
                <w:szCs w:val="24"/>
              </w:rPr>
            </w:pPr>
            <w:r>
              <w:rPr>
                <w:rFonts w:ascii="Calibri" w:hAnsi="Calibri" w:cs="Calibri"/>
                <w:snapToGrid/>
                <w:color w:val="000000"/>
                <w:sz w:val="24"/>
                <w:szCs w:val="24"/>
              </w:rPr>
              <w:t>84.701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CC7BD9">
            <w:pPr>
              <w:widowControl/>
              <w:jc w:val="right"/>
              <w:rPr>
                <w:rFonts w:ascii="Calibri" w:hAnsi="Calibri" w:cs="Calibri"/>
                <w:snapToGrid/>
                <w:color w:val="000000"/>
                <w:sz w:val="24"/>
                <w:szCs w:val="24"/>
              </w:rPr>
            </w:pPr>
            <w:r>
              <w:rPr>
                <w:rFonts w:ascii="Calibri" w:hAnsi="Calibri" w:cs="Calibri"/>
                <w:snapToGrid/>
                <w:color w:val="000000"/>
                <w:sz w:val="24"/>
                <w:szCs w:val="24"/>
              </w:rPr>
              <w:t>89.6</w:t>
            </w:r>
            <w:r w:rsidR="00CC7BD9">
              <w:rPr>
                <w:rFonts w:ascii="Calibri" w:hAnsi="Calibri" w:cs="Calibri"/>
                <w:snapToGrid/>
                <w:color w:val="000000"/>
                <w:sz w:val="24"/>
                <w:szCs w:val="24"/>
              </w:rPr>
              <w:t>20</w:t>
            </w:r>
          </w:p>
        </w:tc>
      </w:tr>
      <w:tr w:rsidR="00307171" w:rsidRPr="005A7065" w:rsidTr="00697525">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171" w:rsidRPr="005A7065" w:rsidRDefault="00307171" w:rsidP="00307171">
            <w:pPr>
              <w:widowControl/>
              <w:rPr>
                <w:rFonts w:ascii="Calibri" w:hAnsi="Calibri" w:cs="Calibri"/>
                <w:b/>
                <w:bCs/>
                <w:snapToGrid/>
                <w:color w:val="000000"/>
                <w:sz w:val="24"/>
                <w:szCs w:val="24"/>
              </w:rPr>
            </w:pPr>
            <w:r w:rsidRPr="005A7065">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174.463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171" w:rsidRPr="005A7065" w:rsidRDefault="00307171" w:rsidP="00307171">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165.012</w:t>
            </w:r>
          </w:p>
        </w:tc>
      </w:tr>
    </w:tbl>
    <w:p w:rsidR="005A7065" w:rsidRDefault="005A7065" w:rsidP="00C16DDB">
      <w:pPr>
        <w:pStyle w:val="Recuodecorpodetexto"/>
        <w:widowControl/>
        <w:autoSpaceDE w:val="0"/>
        <w:autoSpaceDN w:val="0"/>
        <w:ind w:left="0"/>
        <w:rPr>
          <w:rFonts w:ascii="Calibri" w:hAnsi="Calibri" w:cs="Calibri"/>
          <w:szCs w:val="24"/>
          <w:lang w:val="pt-BR"/>
        </w:rPr>
      </w:pPr>
    </w:p>
    <w:p w:rsidR="00B4501B" w:rsidRDefault="004D2CAA" w:rsidP="00C16DDB">
      <w:pPr>
        <w:pStyle w:val="Recuodecorpodetexto"/>
        <w:widowControl/>
        <w:autoSpaceDE w:val="0"/>
        <w:autoSpaceDN w:val="0"/>
        <w:ind w:left="0"/>
        <w:rPr>
          <w:rFonts w:ascii="Calibri" w:hAnsi="Calibri" w:cs="Calibri"/>
          <w:szCs w:val="24"/>
          <w:lang w:val="pt-BR"/>
        </w:rPr>
      </w:pPr>
      <w:r w:rsidRPr="001E11CE">
        <w:rPr>
          <w:rFonts w:ascii="Calibri" w:hAnsi="Calibri" w:cs="Calibri"/>
          <w:b/>
          <w:szCs w:val="24"/>
          <w:lang w:val="pt-BR"/>
        </w:rPr>
        <w:t>As Ações Judiciais – IPTU</w:t>
      </w:r>
      <w:r>
        <w:rPr>
          <w:rFonts w:ascii="Calibri" w:hAnsi="Calibri" w:cs="Calibri"/>
          <w:szCs w:val="24"/>
          <w:lang w:val="pt-BR"/>
        </w:rPr>
        <w:t xml:space="preserve"> tratam de </w:t>
      </w:r>
      <w:r w:rsidR="004B5133">
        <w:rPr>
          <w:rFonts w:ascii="Calibri" w:hAnsi="Calibri" w:cs="Calibri"/>
          <w:szCs w:val="24"/>
          <w:lang w:val="pt-BR"/>
        </w:rPr>
        <w:t>pedidos</w:t>
      </w:r>
      <w:r w:rsidR="002C4086">
        <w:rPr>
          <w:rFonts w:ascii="Calibri" w:hAnsi="Calibri" w:cs="Calibri"/>
          <w:szCs w:val="24"/>
          <w:lang w:val="pt-BR"/>
        </w:rPr>
        <w:t xml:space="preserve"> de reconhecimento de imunidade tributária, em face dos Municípios do Rio de Janeiro, Niterói</w:t>
      </w:r>
      <w:r w:rsidR="00307171">
        <w:rPr>
          <w:rFonts w:ascii="Calibri" w:hAnsi="Calibri" w:cs="Calibri"/>
          <w:szCs w:val="24"/>
          <w:lang w:val="pt-BR"/>
        </w:rPr>
        <w:t xml:space="preserve"> e</w:t>
      </w:r>
      <w:r w:rsidR="002C4086">
        <w:rPr>
          <w:rFonts w:ascii="Calibri" w:hAnsi="Calibri" w:cs="Calibri"/>
          <w:szCs w:val="24"/>
          <w:lang w:val="pt-BR"/>
        </w:rPr>
        <w:t xml:space="preserve"> Itaguaí</w:t>
      </w:r>
      <w:r w:rsidR="00BD3CB0">
        <w:rPr>
          <w:rFonts w:ascii="Calibri" w:hAnsi="Calibri" w:cs="Calibri"/>
          <w:szCs w:val="24"/>
          <w:lang w:val="pt-BR"/>
        </w:rPr>
        <w:t>.</w:t>
      </w:r>
    </w:p>
    <w:p w:rsidR="004D2CAA" w:rsidRDefault="004D2CAA" w:rsidP="00C16DDB">
      <w:pPr>
        <w:pStyle w:val="Recuodecorpodetexto"/>
        <w:widowControl/>
        <w:autoSpaceDE w:val="0"/>
        <w:autoSpaceDN w:val="0"/>
        <w:ind w:left="0"/>
        <w:rPr>
          <w:rFonts w:ascii="Calibri" w:hAnsi="Calibri" w:cs="Calibri"/>
          <w:szCs w:val="24"/>
          <w:lang w:val="pt-BR"/>
        </w:rPr>
      </w:pPr>
    </w:p>
    <w:p w:rsidR="004B5133" w:rsidRDefault="004D2CAA" w:rsidP="00C16DDB">
      <w:pPr>
        <w:pStyle w:val="Recuodecorpodetexto"/>
        <w:widowControl/>
        <w:autoSpaceDE w:val="0"/>
        <w:autoSpaceDN w:val="0"/>
        <w:ind w:left="0"/>
        <w:rPr>
          <w:rFonts w:ascii="Calibri" w:hAnsi="Calibri" w:cs="Calibri"/>
          <w:szCs w:val="24"/>
          <w:lang w:val="pt-BR"/>
        </w:rPr>
      </w:pPr>
      <w:r w:rsidRPr="001E11CE">
        <w:rPr>
          <w:rFonts w:ascii="Calibri" w:hAnsi="Calibri" w:cs="Calibri"/>
          <w:b/>
          <w:szCs w:val="24"/>
          <w:lang w:val="pt-BR"/>
        </w:rPr>
        <w:t xml:space="preserve">As Ações Judiciais – </w:t>
      </w:r>
      <w:proofErr w:type="spellStart"/>
      <w:r w:rsidRPr="001E11CE">
        <w:rPr>
          <w:rFonts w:ascii="Calibri" w:hAnsi="Calibri" w:cs="Calibri"/>
          <w:b/>
          <w:szCs w:val="24"/>
          <w:lang w:val="pt-BR"/>
        </w:rPr>
        <w:t>Portus</w:t>
      </w:r>
      <w:proofErr w:type="spellEnd"/>
      <w:r>
        <w:rPr>
          <w:rFonts w:ascii="Calibri" w:hAnsi="Calibri" w:cs="Calibri"/>
          <w:szCs w:val="24"/>
          <w:lang w:val="pt-BR"/>
        </w:rPr>
        <w:t xml:space="preserve"> são</w:t>
      </w:r>
      <w:r w:rsidR="002C4086">
        <w:rPr>
          <w:rFonts w:ascii="Calibri" w:hAnsi="Calibri" w:cs="Calibri"/>
          <w:szCs w:val="24"/>
          <w:lang w:val="pt-BR"/>
        </w:rPr>
        <w:t xml:space="preserve"> referentes a depósitos judiciais, nos autos dos seguintes processos:</w:t>
      </w:r>
      <w:r w:rsidR="00BD3CB0">
        <w:rPr>
          <w:rFonts w:ascii="Calibri" w:hAnsi="Calibri" w:cs="Calibri"/>
          <w:szCs w:val="24"/>
          <w:lang w:val="pt-BR"/>
        </w:rPr>
        <w:t xml:space="preserve"> </w:t>
      </w:r>
      <w:r w:rsidR="004B5133">
        <w:rPr>
          <w:rFonts w:ascii="Calibri" w:hAnsi="Calibri" w:cs="Calibri"/>
          <w:szCs w:val="24"/>
          <w:lang w:val="pt-BR"/>
        </w:rPr>
        <w:t>0105594-59.2004.8.19.0001</w:t>
      </w:r>
      <w:r w:rsidR="00BD3CB0">
        <w:rPr>
          <w:rFonts w:ascii="Calibri" w:hAnsi="Calibri" w:cs="Calibri"/>
          <w:szCs w:val="24"/>
          <w:lang w:val="pt-BR"/>
        </w:rPr>
        <w:t>, da</w:t>
      </w:r>
      <w:r w:rsidR="004B5133">
        <w:rPr>
          <w:rFonts w:ascii="Calibri" w:hAnsi="Calibri" w:cs="Calibri"/>
          <w:szCs w:val="24"/>
          <w:lang w:val="pt-BR"/>
        </w:rPr>
        <w:t xml:space="preserve"> 21ª Vara Cível do Rio de Janeiro</w:t>
      </w:r>
      <w:r w:rsidR="00BD3CB0">
        <w:rPr>
          <w:rFonts w:ascii="Calibri" w:hAnsi="Calibri" w:cs="Calibri"/>
          <w:szCs w:val="24"/>
          <w:lang w:val="pt-BR"/>
        </w:rPr>
        <w:t xml:space="preserve">, e </w:t>
      </w:r>
      <w:r w:rsidR="004B5133">
        <w:rPr>
          <w:rFonts w:ascii="Calibri" w:hAnsi="Calibri" w:cs="Calibri"/>
          <w:szCs w:val="24"/>
          <w:lang w:val="pt-BR"/>
        </w:rPr>
        <w:t>0</w:t>
      </w:r>
      <w:r w:rsidR="002822E1">
        <w:rPr>
          <w:rFonts w:ascii="Calibri" w:hAnsi="Calibri" w:cs="Calibri"/>
          <w:szCs w:val="24"/>
          <w:lang w:val="pt-BR"/>
        </w:rPr>
        <w:t>002173-66.2013</w:t>
      </w:r>
      <w:r w:rsidR="004B5133">
        <w:rPr>
          <w:rFonts w:ascii="Calibri" w:hAnsi="Calibri" w:cs="Calibri"/>
          <w:szCs w:val="24"/>
          <w:lang w:val="pt-BR"/>
        </w:rPr>
        <w:t>.8.19.00</w:t>
      </w:r>
      <w:r w:rsidR="002822E1">
        <w:rPr>
          <w:rFonts w:ascii="Calibri" w:hAnsi="Calibri" w:cs="Calibri"/>
          <w:szCs w:val="24"/>
          <w:lang w:val="pt-BR"/>
        </w:rPr>
        <w:t>24</w:t>
      </w:r>
      <w:r w:rsidR="00BD3CB0">
        <w:rPr>
          <w:rFonts w:ascii="Calibri" w:hAnsi="Calibri" w:cs="Calibri"/>
          <w:szCs w:val="24"/>
          <w:lang w:val="pt-BR"/>
        </w:rPr>
        <w:t>, da</w:t>
      </w:r>
      <w:r w:rsidR="004B5133">
        <w:rPr>
          <w:rFonts w:ascii="Calibri" w:hAnsi="Calibri" w:cs="Calibri"/>
          <w:szCs w:val="24"/>
          <w:lang w:val="pt-BR"/>
        </w:rPr>
        <w:t xml:space="preserve"> </w:t>
      </w:r>
      <w:r w:rsidR="002822E1">
        <w:rPr>
          <w:rFonts w:ascii="Calibri" w:hAnsi="Calibri" w:cs="Calibri"/>
          <w:szCs w:val="24"/>
          <w:lang w:val="pt-BR"/>
        </w:rPr>
        <w:t>1</w:t>
      </w:r>
      <w:r w:rsidR="004B5133">
        <w:rPr>
          <w:rFonts w:ascii="Calibri" w:hAnsi="Calibri" w:cs="Calibri"/>
          <w:szCs w:val="24"/>
          <w:lang w:val="pt-BR"/>
        </w:rPr>
        <w:t>ª Vara Cível do Rio de Janeiro</w:t>
      </w:r>
    </w:p>
    <w:p w:rsidR="008B41D5" w:rsidRDefault="008B41D5" w:rsidP="00C16DDB">
      <w:pPr>
        <w:pStyle w:val="Recuodecorpodetexto"/>
        <w:widowControl/>
        <w:autoSpaceDE w:val="0"/>
        <w:autoSpaceDN w:val="0"/>
        <w:ind w:left="0"/>
        <w:rPr>
          <w:rFonts w:ascii="Calibri" w:hAnsi="Calibri" w:cs="Calibri"/>
          <w:szCs w:val="24"/>
          <w:lang w:val="pt-BR"/>
        </w:rPr>
      </w:pPr>
    </w:p>
    <w:p w:rsidR="002822E1" w:rsidRDefault="002822E1" w:rsidP="00C16DDB">
      <w:pPr>
        <w:pStyle w:val="Recuodecorpodetexto"/>
        <w:widowControl/>
        <w:autoSpaceDE w:val="0"/>
        <w:autoSpaceDN w:val="0"/>
        <w:ind w:left="0"/>
        <w:rPr>
          <w:rFonts w:ascii="Calibri" w:hAnsi="Calibri" w:cs="Calibri"/>
          <w:szCs w:val="24"/>
          <w:lang w:val="pt-BR"/>
        </w:rPr>
      </w:pPr>
      <w:r>
        <w:rPr>
          <w:rFonts w:ascii="Calibri" w:hAnsi="Calibri" w:cs="Calibri"/>
          <w:b/>
          <w:szCs w:val="24"/>
          <w:lang w:val="pt-BR"/>
        </w:rPr>
        <w:t xml:space="preserve">Ações Judiciais – VPNI </w:t>
      </w:r>
      <w:r w:rsidR="004D2CAA">
        <w:rPr>
          <w:rFonts w:ascii="Calibri" w:hAnsi="Calibri" w:cs="Calibri"/>
          <w:szCs w:val="24"/>
          <w:lang w:val="pt-BR"/>
        </w:rPr>
        <w:t xml:space="preserve">compreendem </w:t>
      </w:r>
      <w:r w:rsidR="004B5133">
        <w:rPr>
          <w:rFonts w:ascii="Calibri" w:hAnsi="Calibri" w:cs="Calibri"/>
          <w:szCs w:val="24"/>
          <w:lang w:val="pt-BR"/>
        </w:rPr>
        <w:t xml:space="preserve">os depósitos judiciais </w:t>
      </w:r>
      <w:r w:rsidR="009703B0">
        <w:rPr>
          <w:rFonts w:ascii="Calibri" w:hAnsi="Calibri" w:cs="Calibri"/>
          <w:szCs w:val="24"/>
          <w:lang w:val="pt-BR"/>
        </w:rPr>
        <w:t xml:space="preserve">no processo </w:t>
      </w:r>
      <w:r>
        <w:rPr>
          <w:rFonts w:ascii="Calibri" w:hAnsi="Calibri" w:cs="Calibri"/>
          <w:szCs w:val="24"/>
          <w:lang w:val="pt-BR"/>
        </w:rPr>
        <w:t>0100626-70.2017.5.01.0004, em trâmite na 4ª Vara do Trabalho do Rio de Janeiro</w:t>
      </w:r>
      <w:r w:rsidR="00781D86">
        <w:rPr>
          <w:rFonts w:ascii="Calibri" w:hAnsi="Calibri" w:cs="Calibri"/>
          <w:szCs w:val="24"/>
          <w:lang w:val="pt-BR"/>
        </w:rPr>
        <w:t>, relativo à rubrica salarial denominada VPNI – Vantagem Pessoal Nominal Individual.</w:t>
      </w:r>
    </w:p>
    <w:p w:rsidR="002822E1" w:rsidRDefault="002822E1" w:rsidP="00C16DDB">
      <w:pPr>
        <w:pStyle w:val="Recuodecorpodetexto"/>
        <w:widowControl/>
        <w:autoSpaceDE w:val="0"/>
        <w:autoSpaceDN w:val="0"/>
        <w:ind w:left="0"/>
        <w:rPr>
          <w:rFonts w:ascii="Calibri" w:hAnsi="Calibri" w:cs="Calibri"/>
          <w:szCs w:val="24"/>
          <w:lang w:val="pt-BR"/>
        </w:rPr>
      </w:pPr>
    </w:p>
    <w:p w:rsidR="002822E1" w:rsidRDefault="002822E1" w:rsidP="002822E1">
      <w:pPr>
        <w:pStyle w:val="Recuodecorpodetexto"/>
        <w:widowControl/>
        <w:autoSpaceDE w:val="0"/>
        <w:autoSpaceDN w:val="0"/>
        <w:ind w:left="0"/>
        <w:rPr>
          <w:rFonts w:ascii="Calibri" w:hAnsi="Calibri" w:cs="Calibri"/>
          <w:szCs w:val="24"/>
          <w:lang w:val="pt-BR"/>
        </w:rPr>
      </w:pPr>
      <w:r w:rsidRPr="001E11CE">
        <w:rPr>
          <w:rFonts w:ascii="Calibri" w:hAnsi="Calibri" w:cs="Calibri"/>
          <w:b/>
          <w:szCs w:val="24"/>
          <w:lang w:val="pt-BR"/>
        </w:rPr>
        <w:lastRenderedPageBreak/>
        <w:t>Outras Ações Judiciais</w:t>
      </w:r>
      <w:r>
        <w:rPr>
          <w:rFonts w:ascii="Calibri" w:hAnsi="Calibri" w:cs="Calibri"/>
          <w:szCs w:val="24"/>
          <w:lang w:val="pt-BR"/>
        </w:rPr>
        <w:t xml:space="preserve"> compreendem os depósitos judiciais </w:t>
      </w:r>
      <w:r w:rsidR="00C40EB4">
        <w:rPr>
          <w:rFonts w:ascii="Calibri" w:hAnsi="Calibri" w:cs="Calibri"/>
          <w:szCs w:val="24"/>
          <w:lang w:val="pt-BR"/>
        </w:rPr>
        <w:t>nos demais</w:t>
      </w:r>
      <w:r>
        <w:rPr>
          <w:rFonts w:ascii="Calibri" w:hAnsi="Calibri" w:cs="Calibri"/>
          <w:szCs w:val="24"/>
          <w:lang w:val="pt-BR"/>
        </w:rPr>
        <w:t xml:space="preserve"> processos cív</w:t>
      </w:r>
      <w:r w:rsidR="00286C86">
        <w:rPr>
          <w:rFonts w:ascii="Calibri" w:hAnsi="Calibri" w:cs="Calibri"/>
          <w:szCs w:val="24"/>
          <w:lang w:val="pt-BR"/>
        </w:rPr>
        <w:t>eis, trabalhistas e tributários</w:t>
      </w:r>
      <w:r w:rsidR="00781D86">
        <w:rPr>
          <w:rFonts w:ascii="Calibri" w:hAnsi="Calibri" w:cs="Calibri"/>
          <w:szCs w:val="24"/>
          <w:lang w:val="pt-BR"/>
        </w:rPr>
        <w:t>.</w:t>
      </w:r>
    </w:p>
    <w:p w:rsidR="00E01EC6" w:rsidRDefault="00E01EC6" w:rsidP="00C16DDB">
      <w:pPr>
        <w:pStyle w:val="Recuodecorpodetexto"/>
        <w:widowControl/>
        <w:autoSpaceDE w:val="0"/>
        <w:autoSpaceDN w:val="0"/>
        <w:ind w:left="0"/>
        <w:rPr>
          <w:rFonts w:ascii="Calibri" w:hAnsi="Calibri" w:cs="Calibri"/>
          <w:b/>
          <w:szCs w:val="24"/>
          <w:lang w:val="pt-BR"/>
        </w:rPr>
      </w:pPr>
    </w:p>
    <w:p w:rsidR="00C16DDB" w:rsidRPr="00312424" w:rsidRDefault="0043773C" w:rsidP="00C16DDB">
      <w:pPr>
        <w:pStyle w:val="Recuodecorpodetexto"/>
        <w:widowControl/>
        <w:autoSpaceDE w:val="0"/>
        <w:autoSpaceDN w:val="0"/>
        <w:ind w:left="0"/>
        <w:rPr>
          <w:rFonts w:ascii="Calibri" w:hAnsi="Calibri" w:cs="Calibri"/>
          <w:b/>
          <w:szCs w:val="24"/>
          <w:highlight w:val="yellow"/>
          <w:lang w:val="pt-BR"/>
        </w:rPr>
      </w:pPr>
      <w:r>
        <w:rPr>
          <w:rFonts w:ascii="Calibri" w:hAnsi="Calibri" w:cs="Calibri"/>
          <w:b/>
          <w:szCs w:val="24"/>
          <w:lang w:val="pt-BR"/>
        </w:rPr>
        <w:t>9</w:t>
      </w:r>
      <w:r w:rsidR="00C16DDB" w:rsidRPr="00312424">
        <w:rPr>
          <w:rFonts w:ascii="Calibri" w:hAnsi="Calibri" w:cs="Calibri"/>
          <w:b/>
          <w:szCs w:val="24"/>
          <w:lang w:val="pt-BR"/>
        </w:rPr>
        <w:t xml:space="preserve"> </w:t>
      </w:r>
      <w:r w:rsidR="00C16DDB" w:rsidRPr="00312424">
        <w:rPr>
          <w:rFonts w:ascii="Calibri" w:hAnsi="Calibri" w:cs="Calibri"/>
          <w:b/>
          <w:szCs w:val="24"/>
        </w:rPr>
        <w:t>–</w:t>
      </w:r>
      <w:r w:rsidR="00C16DDB" w:rsidRPr="00312424">
        <w:rPr>
          <w:rFonts w:ascii="Calibri" w:hAnsi="Calibri" w:cs="Calibri"/>
          <w:b/>
          <w:szCs w:val="24"/>
          <w:lang w:val="pt-BR"/>
        </w:rPr>
        <w:t xml:space="preserve"> </w:t>
      </w:r>
      <w:r w:rsidR="00E875D1">
        <w:rPr>
          <w:rFonts w:ascii="Calibri" w:hAnsi="Calibri" w:cs="Calibri"/>
          <w:b/>
          <w:szCs w:val="24"/>
          <w:u w:val="single"/>
          <w:lang w:val="pt-BR"/>
        </w:rPr>
        <w:t>CONTAS A RECEBER DE P</w:t>
      </w:r>
      <w:r w:rsidR="00C16DDB" w:rsidRPr="00312424">
        <w:rPr>
          <w:rFonts w:ascii="Calibri" w:hAnsi="Calibri" w:cs="Calibri"/>
          <w:b/>
          <w:szCs w:val="24"/>
          <w:u w:val="single"/>
          <w:lang w:val="pt-BR"/>
        </w:rPr>
        <w:t>ARTES RELACIONADAS</w:t>
      </w:r>
      <w:r w:rsidR="00C16DDB" w:rsidRPr="00312424">
        <w:rPr>
          <w:rFonts w:ascii="Calibri" w:hAnsi="Calibri" w:cs="Calibri"/>
          <w:b/>
          <w:szCs w:val="24"/>
          <w:highlight w:val="yellow"/>
        </w:rPr>
        <w:t xml:space="preserve"> </w:t>
      </w:r>
    </w:p>
    <w:p w:rsidR="00C16DDB" w:rsidRPr="00312424" w:rsidRDefault="00C16DDB" w:rsidP="00C16DDB">
      <w:pPr>
        <w:pStyle w:val="Recuodecorpodetexto"/>
        <w:widowControl/>
        <w:autoSpaceDE w:val="0"/>
        <w:autoSpaceDN w:val="0"/>
        <w:ind w:left="0"/>
        <w:rPr>
          <w:rFonts w:ascii="Calibri" w:hAnsi="Calibri" w:cs="Calibri"/>
          <w:b/>
          <w:szCs w:val="24"/>
          <w:highlight w:val="yellow"/>
          <w:lang w:val="pt-BR"/>
        </w:rPr>
      </w:pPr>
    </w:p>
    <w:p w:rsidR="00C16DDB" w:rsidRPr="00312424" w:rsidRDefault="009703B0" w:rsidP="00C16DDB">
      <w:pPr>
        <w:pStyle w:val="Recuodecorpodetexto"/>
        <w:widowControl/>
        <w:autoSpaceDE w:val="0"/>
        <w:autoSpaceDN w:val="0"/>
        <w:ind w:left="0"/>
        <w:rPr>
          <w:rFonts w:ascii="Calibri" w:hAnsi="Calibri" w:cs="Calibri"/>
          <w:b/>
          <w:szCs w:val="24"/>
          <w:highlight w:val="yellow"/>
          <w:lang w:val="pt-BR"/>
        </w:rPr>
      </w:pPr>
      <w:r>
        <w:rPr>
          <w:rFonts w:ascii="Calibri" w:hAnsi="Calibri" w:cs="Calibri"/>
          <w:szCs w:val="24"/>
          <w:lang w:val="pt-BR"/>
        </w:rPr>
        <w:t xml:space="preserve">A </w:t>
      </w:r>
      <w:r w:rsidR="00C16DDB" w:rsidRPr="00312424">
        <w:rPr>
          <w:rFonts w:ascii="Calibri" w:hAnsi="Calibri" w:cs="Calibri"/>
          <w:szCs w:val="24"/>
          <w:lang w:val="pt-BR"/>
        </w:rPr>
        <w:t xml:space="preserve">Companhia mantém recursos </w:t>
      </w:r>
      <w:r>
        <w:rPr>
          <w:rFonts w:ascii="Calibri" w:hAnsi="Calibri" w:cs="Calibri"/>
          <w:szCs w:val="24"/>
          <w:lang w:val="pt-BR"/>
        </w:rPr>
        <w:t xml:space="preserve">em conta específica pertencente ao </w:t>
      </w:r>
      <w:r w:rsidR="00C16DDB" w:rsidRPr="00312424">
        <w:rPr>
          <w:rFonts w:ascii="Calibri" w:hAnsi="Calibri" w:cs="Calibri"/>
          <w:szCs w:val="24"/>
          <w:lang w:val="pt-BR"/>
        </w:rPr>
        <w:t>Sistema Integrado de Administração Financeira – SIAFI</w:t>
      </w:r>
      <w:r w:rsidR="00C40EB4">
        <w:rPr>
          <w:rFonts w:ascii="Calibri" w:hAnsi="Calibri" w:cs="Calibri"/>
          <w:szCs w:val="24"/>
          <w:lang w:val="pt-BR"/>
        </w:rPr>
        <w:t>.</w:t>
      </w:r>
      <w:r>
        <w:rPr>
          <w:rFonts w:ascii="Calibri" w:hAnsi="Calibri" w:cs="Calibri"/>
          <w:szCs w:val="24"/>
          <w:lang w:val="pt-BR"/>
        </w:rPr>
        <w:t xml:space="preserve"> Entretanto, </w:t>
      </w:r>
      <w:r w:rsidR="00C16DDB" w:rsidRPr="00312424">
        <w:rPr>
          <w:rFonts w:ascii="Calibri" w:hAnsi="Calibri" w:cs="Calibri"/>
          <w:szCs w:val="24"/>
          <w:lang w:val="pt-BR"/>
        </w:rPr>
        <w:t>por solicitação d</w:t>
      </w:r>
      <w:r>
        <w:rPr>
          <w:rFonts w:ascii="Calibri" w:hAnsi="Calibri" w:cs="Calibri"/>
          <w:szCs w:val="24"/>
          <w:lang w:val="pt-BR"/>
        </w:rPr>
        <w:t>e</w:t>
      </w:r>
      <w:r w:rsidR="00C16DDB" w:rsidRPr="00312424">
        <w:rPr>
          <w:rFonts w:ascii="Calibri" w:hAnsi="Calibri" w:cs="Calibri"/>
          <w:szCs w:val="24"/>
          <w:lang w:val="pt-BR"/>
        </w:rPr>
        <w:t xml:space="preserve"> </w:t>
      </w:r>
      <w:r>
        <w:rPr>
          <w:rFonts w:ascii="Calibri" w:hAnsi="Calibri" w:cs="Calibri"/>
          <w:szCs w:val="24"/>
          <w:lang w:val="pt-BR"/>
        </w:rPr>
        <w:t xml:space="preserve">sua </w:t>
      </w:r>
      <w:r w:rsidR="00C16DDB" w:rsidRPr="00312424">
        <w:rPr>
          <w:rFonts w:ascii="Calibri" w:hAnsi="Calibri" w:cs="Calibri"/>
          <w:szCs w:val="24"/>
          <w:lang w:val="pt-BR"/>
        </w:rPr>
        <w:t>controlador</w:t>
      </w:r>
      <w:r>
        <w:rPr>
          <w:rFonts w:ascii="Calibri" w:hAnsi="Calibri" w:cs="Calibri"/>
          <w:szCs w:val="24"/>
          <w:lang w:val="pt-BR"/>
        </w:rPr>
        <w:t>a</w:t>
      </w:r>
      <w:r w:rsidR="00C16DDB" w:rsidRPr="00312424">
        <w:rPr>
          <w:rFonts w:ascii="Calibri" w:hAnsi="Calibri" w:cs="Calibri"/>
          <w:szCs w:val="24"/>
          <w:lang w:val="pt-BR"/>
        </w:rPr>
        <w:t xml:space="preserve">, foram </w:t>
      </w:r>
      <w:r w:rsidR="00BD3CB0">
        <w:rPr>
          <w:rFonts w:ascii="Calibri" w:hAnsi="Calibri" w:cs="Calibri"/>
          <w:szCs w:val="24"/>
          <w:lang w:val="pt-BR"/>
        </w:rPr>
        <w:t>devolvidos</w:t>
      </w:r>
      <w:r w:rsidR="00C16DDB" w:rsidRPr="00312424">
        <w:rPr>
          <w:rFonts w:ascii="Calibri" w:hAnsi="Calibri" w:cs="Calibri"/>
          <w:szCs w:val="24"/>
          <w:lang w:val="pt-BR"/>
        </w:rPr>
        <w:t xml:space="preserve"> os montantes de R$ 279.900</w:t>
      </w:r>
      <w:r w:rsidR="001F62A0">
        <w:rPr>
          <w:rFonts w:ascii="Calibri" w:hAnsi="Calibri" w:cs="Calibri"/>
          <w:szCs w:val="24"/>
          <w:lang w:val="pt-BR"/>
        </w:rPr>
        <w:t xml:space="preserve"> mil</w:t>
      </w:r>
      <w:r w:rsidR="00790F34">
        <w:rPr>
          <w:rFonts w:ascii="Calibri" w:hAnsi="Calibri" w:cs="Calibri"/>
          <w:szCs w:val="24"/>
          <w:lang w:val="pt-BR"/>
        </w:rPr>
        <w:t xml:space="preserve"> </w:t>
      </w:r>
      <w:r w:rsidR="00B00D0B">
        <w:rPr>
          <w:rFonts w:ascii="Calibri" w:hAnsi="Calibri" w:cs="Calibri"/>
          <w:szCs w:val="24"/>
          <w:lang w:val="pt-BR"/>
        </w:rPr>
        <w:t>e R$ 13.31</w:t>
      </w:r>
      <w:r w:rsidR="00790F34">
        <w:rPr>
          <w:rFonts w:ascii="Calibri" w:hAnsi="Calibri" w:cs="Calibri"/>
          <w:szCs w:val="24"/>
          <w:lang w:val="pt-BR"/>
        </w:rPr>
        <w:t>5</w:t>
      </w:r>
      <w:r w:rsidR="00B00D0B">
        <w:rPr>
          <w:rFonts w:ascii="Calibri" w:hAnsi="Calibri" w:cs="Calibri"/>
          <w:szCs w:val="24"/>
          <w:lang w:val="pt-BR"/>
        </w:rPr>
        <w:t xml:space="preserve"> </w:t>
      </w:r>
      <w:r w:rsidR="00E01EC6">
        <w:rPr>
          <w:rFonts w:ascii="Calibri" w:hAnsi="Calibri" w:cs="Calibri"/>
          <w:szCs w:val="24"/>
          <w:lang w:val="pt-BR"/>
        </w:rPr>
        <w:t xml:space="preserve">mil </w:t>
      </w:r>
      <w:r w:rsidR="00C16DDB" w:rsidRPr="00312424">
        <w:rPr>
          <w:rFonts w:ascii="Calibri" w:hAnsi="Calibri" w:cs="Calibri"/>
          <w:szCs w:val="24"/>
          <w:lang w:val="pt-BR"/>
        </w:rPr>
        <w:t>aos cofres do Governo Federal, em 2014 e 2015, respectivamente.</w:t>
      </w:r>
    </w:p>
    <w:p w:rsidR="002A2E73" w:rsidRDefault="002A2E73" w:rsidP="00C16DDB">
      <w:pPr>
        <w:pStyle w:val="Recuodecorpodetexto"/>
        <w:widowControl/>
        <w:autoSpaceDE w:val="0"/>
        <w:autoSpaceDN w:val="0"/>
        <w:ind w:left="0"/>
        <w:rPr>
          <w:rFonts w:ascii="Calibri" w:hAnsi="Calibri" w:cs="Calibri"/>
          <w:b/>
          <w:szCs w:val="24"/>
          <w:lang w:val="pt-BR"/>
        </w:rPr>
      </w:pPr>
    </w:p>
    <w:p w:rsidR="00BD3CB0" w:rsidRDefault="00BD3CB0" w:rsidP="00C16DDB">
      <w:pPr>
        <w:pStyle w:val="Recuodecorpodetexto"/>
        <w:widowControl/>
        <w:autoSpaceDE w:val="0"/>
        <w:autoSpaceDN w:val="0"/>
        <w:ind w:left="0"/>
        <w:rPr>
          <w:rFonts w:ascii="Calibri" w:hAnsi="Calibri" w:cs="Calibri"/>
          <w:b/>
          <w:szCs w:val="24"/>
          <w:lang w:val="pt-BR"/>
        </w:rPr>
      </w:pPr>
    </w:p>
    <w:p w:rsidR="00C16DDB" w:rsidRPr="00312424" w:rsidRDefault="0043773C" w:rsidP="00C16DDB">
      <w:pPr>
        <w:pStyle w:val="Recuodecorpodetexto"/>
        <w:widowControl/>
        <w:autoSpaceDE w:val="0"/>
        <w:autoSpaceDN w:val="0"/>
        <w:ind w:left="0"/>
        <w:rPr>
          <w:rFonts w:ascii="Calibri" w:hAnsi="Calibri" w:cs="Calibri"/>
          <w:b/>
          <w:szCs w:val="24"/>
        </w:rPr>
      </w:pPr>
      <w:r>
        <w:rPr>
          <w:rFonts w:ascii="Calibri" w:hAnsi="Calibri" w:cs="Calibri"/>
          <w:b/>
          <w:szCs w:val="24"/>
          <w:lang w:val="pt-BR"/>
        </w:rPr>
        <w:t>10</w:t>
      </w:r>
      <w:r w:rsidR="00C16DDB" w:rsidRPr="00312424">
        <w:rPr>
          <w:rFonts w:ascii="Calibri" w:hAnsi="Calibri" w:cs="Calibri"/>
          <w:b/>
          <w:szCs w:val="24"/>
          <w:lang w:val="pt-BR"/>
        </w:rPr>
        <w:t xml:space="preserve"> – </w:t>
      </w:r>
      <w:r w:rsidR="00C16DDB" w:rsidRPr="00312424">
        <w:rPr>
          <w:rFonts w:ascii="Calibri" w:hAnsi="Calibri" w:cs="Calibri"/>
          <w:b/>
          <w:szCs w:val="24"/>
          <w:u w:val="single"/>
        </w:rPr>
        <w:t xml:space="preserve">BENS EM PROCESSO DE </w:t>
      </w:r>
      <w:r w:rsidR="00C16DDB" w:rsidRPr="00312424">
        <w:rPr>
          <w:rFonts w:ascii="Calibri" w:hAnsi="Calibri" w:cs="Calibri"/>
          <w:b/>
          <w:szCs w:val="24"/>
          <w:u w:val="single"/>
          <w:lang w:val="pt-BR"/>
        </w:rPr>
        <w:t>CESSÃO</w:t>
      </w:r>
    </w:p>
    <w:p w:rsidR="00C16DDB" w:rsidRPr="00312424" w:rsidRDefault="00C16DDB" w:rsidP="00C16DDB">
      <w:pPr>
        <w:pStyle w:val="Recuodecorpodetexto"/>
        <w:widowControl/>
        <w:autoSpaceDE w:val="0"/>
        <w:autoSpaceDN w:val="0"/>
        <w:ind w:left="993"/>
        <w:rPr>
          <w:rFonts w:ascii="Calibri" w:hAnsi="Calibri" w:cs="Calibri"/>
          <w:b/>
          <w:szCs w:val="24"/>
        </w:rPr>
      </w:pPr>
      <w:r w:rsidRPr="00312424">
        <w:rPr>
          <w:rFonts w:ascii="Calibri" w:hAnsi="Calibri" w:cs="Calibri"/>
          <w:b/>
          <w:szCs w:val="24"/>
        </w:rPr>
        <w:tab/>
      </w:r>
    </w:p>
    <w:p w:rsidR="00C16DDB" w:rsidRDefault="003E7F3A" w:rsidP="00C16DDB">
      <w:pPr>
        <w:pStyle w:val="Recuodecorpodetexto"/>
        <w:widowControl/>
        <w:autoSpaceDE w:val="0"/>
        <w:autoSpaceDN w:val="0"/>
        <w:ind w:left="0"/>
        <w:rPr>
          <w:rFonts w:ascii="Calibri" w:hAnsi="Calibri" w:cs="Calibri"/>
          <w:szCs w:val="24"/>
        </w:rPr>
      </w:pPr>
      <w:r>
        <w:rPr>
          <w:rFonts w:ascii="Calibri" w:hAnsi="Calibri" w:cs="Calibri"/>
          <w:szCs w:val="24"/>
          <w:lang w:val="pt-BR"/>
        </w:rPr>
        <w:t>São</w:t>
      </w:r>
      <w:r w:rsidR="00B00D0B">
        <w:rPr>
          <w:rFonts w:ascii="Calibri" w:hAnsi="Calibri" w:cs="Calibri"/>
          <w:szCs w:val="24"/>
        </w:rPr>
        <w:t xml:space="preserve"> terrenos na área do porto organizado</w:t>
      </w:r>
      <w:r w:rsidR="00C16DDB" w:rsidRPr="00312424">
        <w:rPr>
          <w:rFonts w:ascii="Calibri" w:hAnsi="Calibri" w:cs="Calibri"/>
          <w:szCs w:val="24"/>
        </w:rPr>
        <w:t xml:space="preserve"> de Itaguaí, baixados para cessão à União</w:t>
      </w:r>
      <w:r w:rsidR="00F10FEB">
        <w:rPr>
          <w:rFonts w:ascii="Calibri" w:hAnsi="Calibri" w:cs="Calibri"/>
          <w:szCs w:val="24"/>
          <w:lang w:val="pt-BR"/>
        </w:rPr>
        <w:t xml:space="preserve"> para utilização</w:t>
      </w:r>
      <w:r w:rsidR="00C16DDB" w:rsidRPr="00312424">
        <w:rPr>
          <w:rFonts w:ascii="Calibri" w:hAnsi="Calibri" w:cs="Calibri"/>
          <w:szCs w:val="24"/>
        </w:rPr>
        <w:t xml:space="preserve"> no programa de construção da Base </w:t>
      </w:r>
      <w:r w:rsidR="00F10FEB">
        <w:rPr>
          <w:rFonts w:ascii="Calibri" w:hAnsi="Calibri" w:cs="Calibri"/>
          <w:szCs w:val="24"/>
          <w:lang w:val="pt-BR"/>
        </w:rPr>
        <w:t xml:space="preserve">e </w:t>
      </w:r>
      <w:r w:rsidR="00C16DDB" w:rsidRPr="00312424">
        <w:rPr>
          <w:rFonts w:ascii="Calibri" w:hAnsi="Calibri" w:cs="Calibri"/>
          <w:szCs w:val="24"/>
        </w:rPr>
        <w:t>Estaleiro Naval e área de apoio para submarinos convencionais e nucleares para a Marinha do Brasil, através do Protocolo de Intenções firmado entre SEP/PR, Ministério da Defesa, Ministério do Planejamento, Orçamento e Gestão - MPOG, Comando da Marinha e Companhia Docas do Rio de Janeiro, datado de 17/03/2010 e Contrato C-SUPJUR nº 50, de 10/08/2010. O valor encontra-se registrado nesta conta aguardando o encerramento do processo de dação dos bens, que terá como contrapartida a redução da participação da União no Capital Social da Companhia.</w:t>
      </w:r>
    </w:p>
    <w:p w:rsidR="00085185" w:rsidRPr="00312424" w:rsidRDefault="00085185" w:rsidP="00C16DDB">
      <w:pPr>
        <w:pStyle w:val="Recuodecorpodetexto"/>
        <w:widowControl/>
        <w:autoSpaceDE w:val="0"/>
        <w:autoSpaceDN w:val="0"/>
        <w:ind w:left="0"/>
        <w:rPr>
          <w:rFonts w:ascii="Calibri" w:hAnsi="Calibri" w:cs="Calibri"/>
          <w:b/>
          <w:szCs w:val="24"/>
          <w:lang w:val="pt-BR"/>
        </w:rPr>
      </w:pPr>
    </w:p>
    <w:p w:rsidR="00C16DDB" w:rsidRPr="00312424" w:rsidRDefault="00C16DDB" w:rsidP="00C16DDB">
      <w:pPr>
        <w:pStyle w:val="Recuodecorpodetexto"/>
        <w:widowControl/>
        <w:autoSpaceDE w:val="0"/>
        <w:autoSpaceDN w:val="0"/>
        <w:ind w:left="0"/>
        <w:rPr>
          <w:rFonts w:ascii="Calibri" w:hAnsi="Calibri" w:cs="Calibri"/>
          <w:b/>
          <w:szCs w:val="24"/>
          <w:lang w:val="pt-BR"/>
        </w:rPr>
      </w:pPr>
    </w:p>
    <w:p w:rsidR="00C16DDB" w:rsidRPr="00312424" w:rsidRDefault="0043773C" w:rsidP="00C16DDB">
      <w:pPr>
        <w:pStyle w:val="Recuodecorpodetexto"/>
        <w:widowControl/>
        <w:autoSpaceDE w:val="0"/>
        <w:autoSpaceDN w:val="0"/>
        <w:ind w:left="0"/>
        <w:rPr>
          <w:rFonts w:ascii="Calibri" w:hAnsi="Calibri" w:cs="Calibri"/>
          <w:b/>
          <w:szCs w:val="24"/>
          <w:u w:val="single"/>
          <w:lang w:val="pt-BR"/>
        </w:rPr>
      </w:pPr>
      <w:r>
        <w:rPr>
          <w:rFonts w:ascii="Calibri" w:hAnsi="Calibri" w:cs="Calibri"/>
          <w:b/>
          <w:szCs w:val="24"/>
          <w:lang w:val="pt-BR"/>
        </w:rPr>
        <w:t>11</w:t>
      </w:r>
      <w:r w:rsidR="00C16DDB" w:rsidRPr="00312424">
        <w:rPr>
          <w:rFonts w:ascii="Calibri" w:hAnsi="Calibri" w:cs="Calibri"/>
          <w:b/>
          <w:szCs w:val="24"/>
          <w:lang w:val="pt-BR"/>
        </w:rPr>
        <w:t xml:space="preserve"> </w:t>
      </w:r>
      <w:r w:rsidR="00C16DDB" w:rsidRPr="00312424">
        <w:rPr>
          <w:rFonts w:ascii="Calibri" w:hAnsi="Calibri" w:cs="Calibri"/>
          <w:b/>
          <w:szCs w:val="24"/>
        </w:rPr>
        <w:t xml:space="preserve">– </w:t>
      </w:r>
      <w:r w:rsidR="00C16DDB" w:rsidRPr="00312424">
        <w:rPr>
          <w:rFonts w:ascii="Calibri" w:hAnsi="Calibri" w:cs="Calibri"/>
          <w:b/>
          <w:szCs w:val="24"/>
          <w:u w:val="single"/>
          <w:lang w:val="pt-BR"/>
        </w:rPr>
        <w:t>CAUÇÕES E DEPÓSITOS VINCULADOS</w:t>
      </w:r>
    </w:p>
    <w:p w:rsidR="00C16DDB" w:rsidRDefault="00C16DDB" w:rsidP="00C16DDB">
      <w:pPr>
        <w:pStyle w:val="Recuodecorpodetexto"/>
        <w:widowControl/>
        <w:autoSpaceDE w:val="0"/>
        <w:autoSpaceDN w:val="0"/>
        <w:ind w:left="0"/>
        <w:rPr>
          <w:rFonts w:ascii="Calibri" w:hAnsi="Calibri" w:cs="Calibri"/>
          <w:b/>
          <w:szCs w:val="24"/>
          <w:u w:val="single"/>
          <w:lang w:val="pt-BR"/>
        </w:rPr>
      </w:pPr>
    </w:p>
    <w:p w:rsidR="00B00D0B" w:rsidRDefault="00B00D0B" w:rsidP="00C16DDB">
      <w:pPr>
        <w:pStyle w:val="Recuodecorpodetexto"/>
        <w:widowControl/>
        <w:autoSpaceDE w:val="0"/>
        <w:autoSpaceDN w:val="0"/>
        <w:ind w:left="0"/>
        <w:rPr>
          <w:rFonts w:ascii="Calibri" w:hAnsi="Calibri" w:cs="Calibri"/>
          <w:szCs w:val="24"/>
          <w:lang w:val="pt-BR"/>
        </w:rPr>
      </w:pPr>
      <w:r w:rsidRPr="00B00D0B">
        <w:rPr>
          <w:rFonts w:ascii="Calibri" w:hAnsi="Calibri" w:cs="Calibri"/>
          <w:szCs w:val="24"/>
          <w:lang w:val="pt-BR"/>
        </w:rPr>
        <w:t>Os seguintes valores compõem o grupo:</w:t>
      </w:r>
    </w:p>
    <w:p w:rsidR="00790F34" w:rsidRDefault="00790F34" w:rsidP="00C16DDB">
      <w:pPr>
        <w:pStyle w:val="Recuodecorpodetexto"/>
        <w:widowControl/>
        <w:autoSpaceDE w:val="0"/>
        <w:autoSpaceDN w:val="0"/>
        <w:ind w:left="0"/>
        <w:rPr>
          <w:rFonts w:ascii="Calibri" w:hAnsi="Calibri" w:cs="Calibri"/>
          <w:szCs w:val="24"/>
          <w:lang w:val="pt-BR"/>
        </w:rPr>
      </w:pPr>
    </w:p>
    <w:tbl>
      <w:tblPr>
        <w:tblW w:w="6780" w:type="dxa"/>
        <w:jc w:val="center"/>
        <w:tblCellMar>
          <w:left w:w="70" w:type="dxa"/>
          <w:right w:w="70" w:type="dxa"/>
        </w:tblCellMar>
        <w:tblLook w:val="04A0" w:firstRow="1" w:lastRow="0" w:firstColumn="1" w:lastColumn="0" w:noHBand="0" w:noVBand="1"/>
      </w:tblPr>
      <w:tblGrid>
        <w:gridCol w:w="3260"/>
        <w:gridCol w:w="1760"/>
        <w:gridCol w:w="1760"/>
      </w:tblGrid>
      <w:tr w:rsidR="004B2EFF" w:rsidRPr="00790F34" w:rsidTr="004B2EFF">
        <w:trPr>
          <w:trHeight w:val="284"/>
          <w:jc w:val="center"/>
        </w:trPr>
        <w:tc>
          <w:tcPr>
            <w:tcW w:w="3260" w:type="dxa"/>
            <w:tcBorders>
              <w:top w:val="nil"/>
              <w:left w:val="nil"/>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snapToGrid/>
                <w:color w:val="000000"/>
                <w:sz w:val="24"/>
                <w:szCs w:val="24"/>
              </w:rPr>
            </w:pPr>
            <w:r w:rsidRPr="00790F34">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4B2EFF" w:rsidRPr="00790F34" w:rsidTr="004B2EFF">
        <w:trPr>
          <w:trHeight w:val="284"/>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snapToGrid/>
                <w:color w:val="000000"/>
                <w:sz w:val="24"/>
                <w:szCs w:val="24"/>
              </w:rPr>
            </w:pPr>
            <w:r w:rsidRPr="00790F34">
              <w:rPr>
                <w:rFonts w:ascii="Calibri" w:hAnsi="Calibri" w:cs="Calibri"/>
                <w:snapToGrid/>
                <w:color w:val="000000"/>
                <w:sz w:val="24"/>
                <w:szCs w:val="24"/>
              </w:rPr>
              <w:t>Recursos Bloqueados RSD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9.232</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9.232</w:t>
            </w:r>
          </w:p>
        </w:tc>
      </w:tr>
      <w:tr w:rsidR="004B2EFF" w:rsidRPr="00790F34" w:rsidTr="004B2EFF">
        <w:trPr>
          <w:trHeight w:val="284"/>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snapToGrid/>
                <w:color w:val="000000"/>
                <w:sz w:val="24"/>
                <w:szCs w:val="24"/>
              </w:rPr>
            </w:pPr>
            <w:r w:rsidRPr="00790F34">
              <w:rPr>
                <w:rFonts w:ascii="Calibri" w:hAnsi="Calibri" w:cs="Calibri"/>
                <w:snapToGrid/>
                <w:color w:val="000000"/>
                <w:sz w:val="24"/>
                <w:szCs w:val="24"/>
              </w:rPr>
              <w:t>Bloqueios em Conta Corrente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155.841</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151.278</w:t>
            </w:r>
          </w:p>
        </w:tc>
      </w:tr>
      <w:tr w:rsidR="004B2EFF" w:rsidRPr="00790F34" w:rsidTr="004B2EFF">
        <w:trPr>
          <w:trHeight w:val="284"/>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snapToGrid/>
                <w:color w:val="000000"/>
                <w:sz w:val="24"/>
                <w:szCs w:val="24"/>
              </w:rPr>
            </w:pPr>
            <w:r w:rsidRPr="00790F34">
              <w:rPr>
                <w:rFonts w:ascii="Calibri" w:hAnsi="Calibri" w:cs="Calibri"/>
                <w:snapToGrid/>
                <w:color w:val="000000"/>
                <w:sz w:val="24"/>
                <w:szCs w:val="24"/>
              </w:rPr>
              <w:t>Bloqueios em Ações do Leasing</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172.217</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164.146</w:t>
            </w:r>
          </w:p>
        </w:tc>
      </w:tr>
      <w:tr w:rsidR="004B2EFF" w:rsidRPr="00790F34" w:rsidTr="004B2EFF">
        <w:trPr>
          <w:trHeight w:val="284"/>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snapToGrid/>
                <w:color w:val="000000"/>
                <w:sz w:val="24"/>
                <w:szCs w:val="24"/>
              </w:rPr>
            </w:pPr>
            <w:r w:rsidRPr="00790F34">
              <w:rPr>
                <w:rFonts w:ascii="Calibri" w:hAnsi="Calibri" w:cs="Calibri"/>
                <w:snapToGrid/>
                <w:color w:val="000000"/>
                <w:sz w:val="24"/>
                <w:szCs w:val="24"/>
              </w:rPr>
              <w:t>Recursos Judiciais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13.781</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13.552</w:t>
            </w:r>
          </w:p>
        </w:tc>
      </w:tr>
      <w:tr w:rsidR="004B2EFF" w:rsidRPr="00790F34" w:rsidTr="004B2EFF">
        <w:trPr>
          <w:trHeight w:val="284"/>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790F34" w:rsidRDefault="004B2EFF" w:rsidP="004B2EFF">
            <w:pPr>
              <w:widowControl/>
              <w:rPr>
                <w:rFonts w:ascii="Calibri" w:hAnsi="Calibri" w:cs="Calibri"/>
                <w:b/>
                <w:bCs/>
                <w:snapToGrid/>
                <w:color w:val="000000"/>
                <w:sz w:val="24"/>
                <w:szCs w:val="24"/>
              </w:rPr>
            </w:pPr>
            <w:r w:rsidRPr="00790F34">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790F34"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351.071</w:t>
            </w:r>
          </w:p>
        </w:tc>
        <w:tc>
          <w:tcPr>
            <w:tcW w:w="1760" w:type="dxa"/>
            <w:tcBorders>
              <w:top w:val="single" w:sz="4" w:space="0" w:color="auto"/>
              <w:left w:val="single" w:sz="4" w:space="0" w:color="auto"/>
              <w:bottom w:val="single" w:sz="4" w:space="0" w:color="auto"/>
              <w:right w:val="single" w:sz="4" w:space="0" w:color="auto"/>
            </w:tcBorders>
            <w:vAlign w:val="bottom"/>
          </w:tcPr>
          <w:p w:rsidR="004B2EFF" w:rsidRPr="00790F34"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338.208</w:t>
            </w:r>
          </w:p>
        </w:tc>
      </w:tr>
    </w:tbl>
    <w:p w:rsidR="00790F34" w:rsidRPr="00312424" w:rsidRDefault="00790F34" w:rsidP="00C16DDB">
      <w:pPr>
        <w:jc w:val="both"/>
        <w:rPr>
          <w:rFonts w:ascii="Calibri" w:hAnsi="Calibri" w:cs="Calibri"/>
          <w:b/>
          <w:sz w:val="24"/>
          <w:szCs w:val="24"/>
        </w:rPr>
      </w:pPr>
    </w:p>
    <w:p w:rsidR="00F10FEB" w:rsidRDefault="00C16DDB" w:rsidP="00C16DDB">
      <w:pPr>
        <w:jc w:val="both"/>
        <w:rPr>
          <w:rFonts w:ascii="Calibri" w:hAnsi="Calibri" w:cs="Calibri"/>
          <w:sz w:val="24"/>
          <w:szCs w:val="24"/>
        </w:rPr>
      </w:pPr>
      <w:r w:rsidRPr="00312424">
        <w:rPr>
          <w:rFonts w:ascii="Calibri" w:hAnsi="Calibri" w:cs="Calibri"/>
          <w:b/>
          <w:sz w:val="24"/>
          <w:szCs w:val="24"/>
        </w:rPr>
        <w:t xml:space="preserve">Recursos Bloqueados RSD </w:t>
      </w:r>
      <w:r w:rsidR="001E11CE">
        <w:rPr>
          <w:rFonts w:ascii="Calibri" w:hAnsi="Calibri" w:cs="Calibri"/>
          <w:sz w:val="24"/>
          <w:szCs w:val="24"/>
        </w:rPr>
        <w:t>r</w:t>
      </w:r>
      <w:r w:rsidRPr="00312424">
        <w:rPr>
          <w:rFonts w:ascii="Calibri" w:hAnsi="Calibri" w:cs="Calibri"/>
          <w:sz w:val="24"/>
          <w:szCs w:val="24"/>
        </w:rPr>
        <w:t>efere</w:t>
      </w:r>
      <w:r w:rsidR="001E11CE">
        <w:rPr>
          <w:rFonts w:ascii="Calibri" w:hAnsi="Calibri" w:cs="Calibri"/>
          <w:sz w:val="24"/>
          <w:szCs w:val="24"/>
        </w:rPr>
        <w:t>m</w:t>
      </w:r>
      <w:r w:rsidRPr="00312424">
        <w:rPr>
          <w:rFonts w:ascii="Calibri" w:hAnsi="Calibri" w:cs="Calibri"/>
          <w:sz w:val="24"/>
          <w:szCs w:val="24"/>
        </w:rPr>
        <w:t>-se ao</w:t>
      </w:r>
      <w:r w:rsidR="001E11CE">
        <w:rPr>
          <w:rFonts w:ascii="Calibri" w:hAnsi="Calibri" w:cs="Calibri"/>
          <w:sz w:val="24"/>
          <w:szCs w:val="24"/>
        </w:rPr>
        <w:t>s valores de</w:t>
      </w:r>
      <w:r w:rsidRPr="00312424">
        <w:rPr>
          <w:rFonts w:ascii="Calibri" w:hAnsi="Calibri" w:cs="Calibri"/>
          <w:sz w:val="24"/>
          <w:szCs w:val="24"/>
        </w:rPr>
        <w:t xml:space="preserve"> Reembolso de Serviço de Dragagem depositado</w:t>
      </w:r>
      <w:r w:rsidR="001E11CE">
        <w:rPr>
          <w:rFonts w:ascii="Calibri" w:hAnsi="Calibri" w:cs="Calibri"/>
          <w:sz w:val="24"/>
          <w:szCs w:val="24"/>
        </w:rPr>
        <w:t>s</w:t>
      </w:r>
      <w:r w:rsidRPr="00312424">
        <w:rPr>
          <w:rFonts w:ascii="Calibri" w:hAnsi="Calibri" w:cs="Calibri"/>
          <w:sz w:val="24"/>
          <w:szCs w:val="24"/>
        </w:rPr>
        <w:t xml:space="preserve"> no BNDES como garantia aos contratos de </w:t>
      </w:r>
      <w:r w:rsidRPr="00312424">
        <w:rPr>
          <w:rFonts w:ascii="Calibri" w:hAnsi="Calibri" w:cs="Calibri"/>
          <w:i/>
          <w:sz w:val="24"/>
          <w:szCs w:val="24"/>
        </w:rPr>
        <w:t>Leasing</w:t>
      </w:r>
      <w:r w:rsidRPr="00312424">
        <w:rPr>
          <w:rFonts w:ascii="Calibri" w:hAnsi="Calibri" w:cs="Calibri"/>
          <w:sz w:val="24"/>
          <w:szCs w:val="24"/>
        </w:rPr>
        <w:t xml:space="preserve"> da extinta Empresa de Portos do Brasil – PORTOBRÁS. Tais recursos encontram-se bloqueados em Juízo na 3ª Vara Federal do Rio de Janeiro</w:t>
      </w:r>
      <w:r w:rsidR="00F10FEB">
        <w:rPr>
          <w:rFonts w:ascii="Calibri" w:hAnsi="Calibri" w:cs="Calibri"/>
          <w:sz w:val="24"/>
          <w:szCs w:val="24"/>
        </w:rPr>
        <w:t>.</w:t>
      </w:r>
    </w:p>
    <w:p w:rsidR="00C16DDB" w:rsidRDefault="00F10FEB" w:rsidP="00C16DDB">
      <w:pPr>
        <w:jc w:val="both"/>
        <w:rPr>
          <w:rFonts w:ascii="Calibri" w:hAnsi="Calibri" w:cs="Calibri"/>
          <w:b/>
          <w:sz w:val="24"/>
          <w:szCs w:val="24"/>
        </w:rPr>
      </w:pPr>
      <w:r>
        <w:rPr>
          <w:rFonts w:ascii="Calibri" w:hAnsi="Calibri" w:cs="Calibri"/>
          <w:b/>
          <w:sz w:val="24"/>
          <w:szCs w:val="24"/>
        </w:rPr>
        <w:t xml:space="preserve"> </w:t>
      </w:r>
    </w:p>
    <w:p w:rsidR="001E11CE" w:rsidRPr="00312424" w:rsidRDefault="001E11CE" w:rsidP="001E11CE">
      <w:pPr>
        <w:pStyle w:val="Recuodecorpodetexto"/>
        <w:widowControl/>
        <w:autoSpaceDE w:val="0"/>
        <w:autoSpaceDN w:val="0"/>
        <w:ind w:left="0"/>
        <w:rPr>
          <w:rFonts w:ascii="Calibri" w:hAnsi="Calibri" w:cs="Calibri"/>
          <w:szCs w:val="24"/>
        </w:rPr>
      </w:pPr>
      <w:r w:rsidRPr="00312424">
        <w:rPr>
          <w:rFonts w:ascii="Calibri" w:hAnsi="Calibri" w:cs="Calibri"/>
          <w:b/>
          <w:szCs w:val="24"/>
        </w:rPr>
        <w:t xml:space="preserve">Bloqueios em </w:t>
      </w:r>
      <w:r>
        <w:rPr>
          <w:rFonts w:ascii="Calibri" w:hAnsi="Calibri" w:cs="Calibri"/>
          <w:b/>
          <w:szCs w:val="24"/>
          <w:lang w:val="pt-BR"/>
        </w:rPr>
        <w:t xml:space="preserve">Conta </w:t>
      </w:r>
      <w:r w:rsidRPr="00312424">
        <w:rPr>
          <w:rFonts w:ascii="Calibri" w:hAnsi="Calibri" w:cs="Calibri"/>
          <w:b/>
          <w:szCs w:val="24"/>
        </w:rPr>
        <w:t xml:space="preserve">Corrente </w:t>
      </w:r>
      <w:r w:rsidRPr="00312424">
        <w:rPr>
          <w:rFonts w:ascii="Calibri" w:hAnsi="Calibri" w:cs="Calibri"/>
          <w:szCs w:val="24"/>
          <w:lang w:val="pt-BR"/>
        </w:rPr>
        <w:t xml:space="preserve"> </w:t>
      </w:r>
      <w:r>
        <w:rPr>
          <w:rFonts w:ascii="Calibri" w:hAnsi="Calibri" w:cs="Calibri"/>
          <w:szCs w:val="24"/>
          <w:lang w:val="pt-BR"/>
        </w:rPr>
        <w:t xml:space="preserve">são relativos a </w:t>
      </w:r>
      <w:r w:rsidRPr="00312424">
        <w:rPr>
          <w:rFonts w:ascii="Calibri" w:hAnsi="Calibri" w:cs="Calibri"/>
          <w:szCs w:val="24"/>
          <w:lang w:val="pt-BR"/>
        </w:rPr>
        <w:t>diversas ações trabalhistas</w:t>
      </w:r>
      <w:r w:rsidR="00333F79">
        <w:rPr>
          <w:rFonts w:ascii="Calibri" w:hAnsi="Calibri" w:cs="Calibri"/>
          <w:szCs w:val="24"/>
          <w:lang w:val="pt-BR"/>
        </w:rPr>
        <w:t>,</w:t>
      </w:r>
      <w:r>
        <w:rPr>
          <w:rFonts w:ascii="Calibri" w:hAnsi="Calibri" w:cs="Calibri"/>
          <w:szCs w:val="24"/>
          <w:lang w:val="pt-BR"/>
        </w:rPr>
        <w:t xml:space="preserve"> cíveis</w:t>
      </w:r>
      <w:r w:rsidR="00333F79">
        <w:rPr>
          <w:rFonts w:ascii="Calibri" w:hAnsi="Calibri" w:cs="Calibri"/>
          <w:szCs w:val="24"/>
          <w:lang w:val="pt-BR"/>
        </w:rPr>
        <w:t xml:space="preserve"> e tributárias</w:t>
      </w:r>
      <w:r>
        <w:rPr>
          <w:rFonts w:ascii="Calibri" w:hAnsi="Calibri" w:cs="Calibri"/>
          <w:szCs w:val="24"/>
          <w:lang w:val="pt-BR"/>
        </w:rPr>
        <w:t xml:space="preserve">, </w:t>
      </w:r>
      <w:r w:rsidRPr="00312424">
        <w:rPr>
          <w:rFonts w:ascii="Calibri" w:hAnsi="Calibri" w:cs="Calibri"/>
          <w:szCs w:val="24"/>
          <w:lang w:val="pt-BR"/>
        </w:rPr>
        <w:t>c</w:t>
      </w:r>
      <w:r>
        <w:rPr>
          <w:rFonts w:ascii="Calibri" w:hAnsi="Calibri" w:cs="Calibri"/>
          <w:szCs w:val="24"/>
          <w:lang w:val="pt-BR"/>
        </w:rPr>
        <w:t>om pedido de penhora judicial em conta bancária.</w:t>
      </w:r>
    </w:p>
    <w:p w:rsidR="001E11CE" w:rsidRPr="00312424" w:rsidRDefault="001E11CE" w:rsidP="00C16DDB">
      <w:pPr>
        <w:jc w:val="both"/>
        <w:rPr>
          <w:rFonts w:ascii="Calibri" w:hAnsi="Calibri" w:cs="Calibri"/>
          <w:b/>
          <w:sz w:val="24"/>
          <w:szCs w:val="24"/>
        </w:rPr>
      </w:pPr>
    </w:p>
    <w:p w:rsidR="00333F79" w:rsidRDefault="001E11CE" w:rsidP="00C16DDB">
      <w:pPr>
        <w:jc w:val="both"/>
        <w:rPr>
          <w:rFonts w:ascii="Calibri" w:hAnsi="Calibri" w:cs="Calibri"/>
          <w:sz w:val="24"/>
          <w:szCs w:val="24"/>
        </w:rPr>
      </w:pPr>
      <w:r w:rsidRPr="001E11CE">
        <w:rPr>
          <w:rFonts w:ascii="Calibri" w:hAnsi="Calibri" w:cs="Calibri"/>
          <w:b/>
          <w:sz w:val="24"/>
          <w:szCs w:val="24"/>
        </w:rPr>
        <w:t xml:space="preserve">Bloqueios nas Ações do </w:t>
      </w:r>
      <w:r w:rsidR="00C16DDB" w:rsidRPr="00312424">
        <w:rPr>
          <w:rFonts w:ascii="Calibri" w:hAnsi="Calibri" w:cs="Calibri"/>
          <w:b/>
          <w:i/>
          <w:sz w:val="24"/>
          <w:szCs w:val="24"/>
        </w:rPr>
        <w:t>Leasing</w:t>
      </w:r>
      <w:r w:rsidR="00C16DDB" w:rsidRPr="00312424">
        <w:rPr>
          <w:rFonts w:ascii="Calibri" w:hAnsi="Calibri" w:cs="Calibri"/>
          <w:b/>
          <w:sz w:val="24"/>
          <w:szCs w:val="24"/>
        </w:rPr>
        <w:t xml:space="preserve"> </w:t>
      </w:r>
      <w:proofErr w:type="spellStart"/>
      <w:r w:rsidR="00C16DDB" w:rsidRPr="00312424">
        <w:rPr>
          <w:rFonts w:ascii="Calibri" w:hAnsi="Calibri" w:cs="Calibri"/>
          <w:b/>
          <w:sz w:val="24"/>
          <w:szCs w:val="24"/>
        </w:rPr>
        <w:t>Portobrás</w:t>
      </w:r>
      <w:proofErr w:type="spellEnd"/>
      <w:r w:rsidR="00C16DDB" w:rsidRPr="00312424">
        <w:rPr>
          <w:rFonts w:ascii="Calibri" w:hAnsi="Calibri" w:cs="Calibri"/>
          <w:b/>
          <w:sz w:val="24"/>
          <w:szCs w:val="24"/>
        </w:rPr>
        <w:t xml:space="preserve"> </w:t>
      </w:r>
      <w:r>
        <w:rPr>
          <w:rFonts w:ascii="Calibri" w:hAnsi="Calibri" w:cs="Calibri"/>
          <w:sz w:val="24"/>
          <w:szCs w:val="24"/>
        </w:rPr>
        <w:t>são penhoras na</w:t>
      </w:r>
      <w:r w:rsidR="00C16DDB" w:rsidRPr="00312424">
        <w:rPr>
          <w:rFonts w:ascii="Calibri" w:hAnsi="Calibri" w:cs="Calibri"/>
          <w:sz w:val="24"/>
          <w:szCs w:val="24"/>
        </w:rPr>
        <w:t xml:space="preserve"> receita </w:t>
      </w:r>
      <w:r>
        <w:rPr>
          <w:rFonts w:ascii="Calibri" w:hAnsi="Calibri" w:cs="Calibri"/>
          <w:sz w:val="24"/>
          <w:szCs w:val="24"/>
        </w:rPr>
        <w:t xml:space="preserve">da CDRJ </w:t>
      </w:r>
      <w:r w:rsidR="00C16DDB" w:rsidRPr="00312424">
        <w:rPr>
          <w:rFonts w:ascii="Calibri" w:hAnsi="Calibri" w:cs="Calibri"/>
          <w:sz w:val="24"/>
          <w:szCs w:val="24"/>
        </w:rPr>
        <w:t xml:space="preserve">para garantia dos </w:t>
      </w:r>
      <w:r w:rsidR="00333F79">
        <w:rPr>
          <w:rFonts w:ascii="Calibri" w:hAnsi="Calibri" w:cs="Calibri"/>
          <w:sz w:val="24"/>
          <w:szCs w:val="24"/>
        </w:rPr>
        <w:t xml:space="preserve">seguintes </w:t>
      </w:r>
      <w:r w:rsidR="00C16DDB" w:rsidRPr="00312424">
        <w:rPr>
          <w:rFonts w:ascii="Calibri" w:hAnsi="Calibri" w:cs="Calibri"/>
          <w:sz w:val="24"/>
          <w:szCs w:val="24"/>
        </w:rPr>
        <w:t>processos</w:t>
      </w:r>
      <w:r w:rsidR="00333F79">
        <w:rPr>
          <w:rFonts w:ascii="Calibri" w:hAnsi="Calibri" w:cs="Calibri"/>
          <w:sz w:val="24"/>
          <w:szCs w:val="24"/>
        </w:rPr>
        <w:t>:</w:t>
      </w:r>
      <w:r w:rsidR="00E64364">
        <w:rPr>
          <w:rFonts w:ascii="Calibri" w:hAnsi="Calibri" w:cs="Calibri"/>
          <w:sz w:val="24"/>
          <w:szCs w:val="24"/>
        </w:rPr>
        <w:tab/>
      </w:r>
    </w:p>
    <w:p w:rsidR="00333F79" w:rsidRDefault="003E36CA" w:rsidP="00C16DDB">
      <w:pPr>
        <w:jc w:val="both"/>
        <w:rPr>
          <w:rFonts w:ascii="Calibri" w:hAnsi="Calibri" w:cs="Calibri"/>
          <w:sz w:val="24"/>
          <w:szCs w:val="24"/>
        </w:rPr>
      </w:pPr>
      <w:r>
        <w:rPr>
          <w:rFonts w:ascii="Calibri" w:hAnsi="Calibri" w:cs="Calibri"/>
          <w:sz w:val="24"/>
          <w:szCs w:val="24"/>
        </w:rPr>
        <w:t>0190316-36.1998.8.19.0001 – 11ª Vara Cível do Rio de Janeiro</w:t>
      </w:r>
    </w:p>
    <w:p w:rsidR="003E36CA" w:rsidRDefault="003E36CA" w:rsidP="00C16DDB">
      <w:pPr>
        <w:jc w:val="both"/>
        <w:rPr>
          <w:rFonts w:ascii="Calibri" w:hAnsi="Calibri" w:cs="Calibri"/>
          <w:sz w:val="24"/>
          <w:szCs w:val="24"/>
        </w:rPr>
      </w:pPr>
      <w:r>
        <w:rPr>
          <w:rFonts w:ascii="Calibri" w:hAnsi="Calibri" w:cs="Calibri"/>
          <w:sz w:val="24"/>
          <w:szCs w:val="24"/>
        </w:rPr>
        <w:t>0102697-82.2009.8.19.0001 – 19ª Vara Cível do Rio de Janeiro</w:t>
      </w:r>
    </w:p>
    <w:p w:rsidR="003E36CA" w:rsidRDefault="003E36CA" w:rsidP="00C16DDB">
      <w:pPr>
        <w:jc w:val="both"/>
        <w:rPr>
          <w:rFonts w:ascii="Calibri" w:hAnsi="Calibri" w:cs="Calibri"/>
          <w:sz w:val="24"/>
          <w:szCs w:val="24"/>
        </w:rPr>
      </w:pPr>
      <w:r>
        <w:rPr>
          <w:rFonts w:ascii="Calibri" w:hAnsi="Calibri" w:cs="Calibri"/>
          <w:sz w:val="24"/>
          <w:szCs w:val="24"/>
        </w:rPr>
        <w:t>0044608-27.1994.4.02.5101 – 3ª Vara Federal da Seção Judiciária do Rio de Janeiro</w:t>
      </w:r>
    </w:p>
    <w:p w:rsidR="003E36CA" w:rsidRDefault="003E36CA" w:rsidP="00C16DDB">
      <w:pPr>
        <w:jc w:val="both"/>
        <w:rPr>
          <w:rFonts w:ascii="Calibri" w:hAnsi="Calibri" w:cs="Calibri"/>
          <w:sz w:val="24"/>
          <w:szCs w:val="24"/>
        </w:rPr>
      </w:pPr>
      <w:r>
        <w:rPr>
          <w:rFonts w:ascii="Calibri" w:hAnsi="Calibri" w:cs="Calibri"/>
          <w:sz w:val="24"/>
          <w:szCs w:val="24"/>
        </w:rPr>
        <w:t>0005985-83.1997.4.02.5101 – 3ª Vara Federal da Seção Judiciária do Rio de Janeiro</w:t>
      </w:r>
    </w:p>
    <w:p w:rsidR="00994937" w:rsidRPr="00312424" w:rsidRDefault="00994937" w:rsidP="00994937">
      <w:pPr>
        <w:pStyle w:val="Recuodecorpodetexto"/>
        <w:widowControl/>
        <w:autoSpaceDE w:val="0"/>
        <w:autoSpaceDN w:val="0"/>
        <w:ind w:left="0"/>
        <w:rPr>
          <w:rFonts w:ascii="Calibri" w:hAnsi="Calibri" w:cs="Calibri"/>
          <w:szCs w:val="24"/>
        </w:rPr>
      </w:pPr>
      <w:r>
        <w:rPr>
          <w:rFonts w:ascii="Calibri" w:hAnsi="Calibri" w:cs="Calibri"/>
          <w:b/>
          <w:szCs w:val="24"/>
          <w:lang w:val="pt-BR"/>
        </w:rPr>
        <w:lastRenderedPageBreak/>
        <w:t>Recursos Judiciais</w:t>
      </w:r>
      <w:r w:rsidRPr="00312424">
        <w:rPr>
          <w:rFonts w:ascii="Calibri" w:hAnsi="Calibri" w:cs="Calibri"/>
          <w:b/>
          <w:szCs w:val="24"/>
        </w:rPr>
        <w:t xml:space="preserve"> </w:t>
      </w:r>
      <w:r w:rsidRPr="00994937">
        <w:rPr>
          <w:rFonts w:ascii="Calibri" w:hAnsi="Calibri" w:cs="Calibri"/>
          <w:szCs w:val="24"/>
          <w:lang w:val="pt-BR"/>
        </w:rPr>
        <w:t>registra</w:t>
      </w:r>
      <w:r w:rsidRPr="00312424">
        <w:rPr>
          <w:rFonts w:ascii="Calibri" w:hAnsi="Calibri" w:cs="Calibri"/>
          <w:szCs w:val="24"/>
          <w:lang w:val="pt-BR"/>
        </w:rPr>
        <w:t xml:space="preserve"> </w:t>
      </w:r>
      <w:r>
        <w:rPr>
          <w:rFonts w:ascii="Calibri" w:hAnsi="Calibri" w:cs="Calibri"/>
          <w:szCs w:val="24"/>
          <w:lang w:val="pt-BR"/>
        </w:rPr>
        <w:t xml:space="preserve">os pagamentos de interposição de recursos </w:t>
      </w:r>
      <w:r w:rsidR="008A2B39">
        <w:rPr>
          <w:rFonts w:ascii="Calibri" w:hAnsi="Calibri" w:cs="Calibri"/>
          <w:szCs w:val="24"/>
          <w:lang w:val="pt-BR"/>
        </w:rPr>
        <w:t>ordinários, embargos de declaração, recurso de revista</w:t>
      </w:r>
      <w:r w:rsidR="00D014D7">
        <w:rPr>
          <w:rFonts w:ascii="Calibri" w:hAnsi="Calibri" w:cs="Calibri"/>
          <w:szCs w:val="24"/>
          <w:lang w:val="pt-BR"/>
        </w:rPr>
        <w:t>,</w:t>
      </w:r>
      <w:r>
        <w:rPr>
          <w:rFonts w:ascii="Calibri" w:hAnsi="Calibri" w:cs="Calibri"/>
          <w:szCs w:val="24"/>
          <w:lang w:val="pt-BR"/>
        </w:rPr>
        <w:t xml:space="preserve"> agravo</w:t>
      </w:r>
      <w:r w:rsidR="00D014D7">
        <w:rPr>
          <w:rFonts w:ascii="Calibri" w:hAnsi="Calibri" w:cs="Calibri"/>
          <w:szCs w:val="24"/>
          <w:lang w:val="pt-BR"/>
        </w:rPr>
        <w:t xml:space="preserve"> de instrumento</w:t>
      </w:r>
      <w:r w:rsidR="00A662AB">
        <w:rPr>
          <w:rFonts w:ascii="Calibri" w:hAnsi="Calibri" w:cs="Calibri"/>
          <w:szCs w:val="24"/>
          <w:lang w:val="pt-BR"/>
        </w:rPr>
        <w:t>, agravo interno</w:t>
      </w:r>
      <w:r w:rsidR="00D014D7">
        <w:rPr>
          <w:rFonts w:ascii="Calibri" w:hAnsi="Calibri" w:cs="Calibri"/>
          <w:szCs w:val="24"/>
          <w:lang w:val="pt-BR"/>
        </w:rPr>
        <w:t xml:space="preserve"> e demais medidas jurídicas</w:t>
      </w:r>
      <w:r w:rsidR="005668D8">
        <w:rPr>
          <w:rFonts w:ascii="Calibri" w:hAnsi="Calibri" w:cs="Calibri"/>
          <w:szCs w:val="24"/>
          <w:lang w:val="pt-BR"/>
        </w:rPr>
        <w:t xml:space="preserve"> de interesse da CDRJ.</w:t>
      </w:r>
    </w:p>
    <w:p w:rsidR="000831FD" w:rsidRDefault="000831FD" w:rsidP="00C16DDB">
      <w:pPr>
        <w:jc w:val="both"/>
        <w:rPr>
          <w:rFonts w:ascii="Calibri" w:hAnsi="Calibri" w:cs="Calibri"/>
          <w:b/>
          <w:sz w:val="24"/>
          <w:szCs w:val="24"/>
        </w:rPr>
      </w:pPr>
    </w:p>
    <w:p w:rsidR="000831FD" w:rsidRDefault="000831FD" w:rsidP="00C16DDB">
      <w:pPr>
        <w:jc w:val="both"/>
        <w:rPr>
          <w:rFonts w:ascii="Calibri" w:hAnsi="Calibri" w:cs="Calibri"/>
          <w:b/>
          <w:sz w:val="24"/>
          <w:szCs w:val="24"/>
        </w:rPr>
      </w:pPr>
    </w:p>
    <w:p w:rsidR="007A2507" w:rsidRPr="00312424" w:rsidRDefault="0043773C" w:rsidP="007A2507">
      <w:pPr>
        <w:pStyle w:val="Recuodecorpodetexto"/>
        <w:widowControl/>
        <w:autoSpaceDE w:val="0"/>
        <w:autoSpaceDN w:val="0"/>
        <w:ind w:left="0"/>
        <w:rPr>
          <w:rFonts w:ascii="Calibri" w:hAnsi="Calibri" w:cs="Calibri"/>
          <w:b/>
          <w:szCs w:val="24"/>
          <w:u w:val="single"/>
          <w:lang w:val="pt-BR"/>
        </w:rPr>
      </w:pPr>
      <w:r>
        <w:rPr>
          <w:rFonts w:ascii="Calibri" w:hAnsi="Calibri" w:cs="Calibri"/>
          <w:b/>
          <w:szCs w:val="24"/>
          <w:lang w:val="pt-BR"/>
        </w:rPr>
        <w:t>12</w:t>
      </w:r>
      <w:r w:rsidR="007A2507" w:rsidRPr="00312424">
        <w:rPr>
          <w:rFonts w:ascii="Calibri" w:hAnsi="Calibri" w:cs="Calibri"/>
          <w:b/>
          <w:szCs w:val="24"/>
          <w:lang w:val="pt-BR"/>
        </w:rPr>
        <w:t xml:space="preserve"> </w:t>
      </w:r>
      <w:r w:rsidR="007A2507" w:rsidRPr="00312424">
        <w:rPr>
          <w:rFonts w:ascii="Calibri" w:hAnsi="Calibri" w:cs="Calibri"/>
          <w:b/>
          <w:szCs w:val="24"/>
        </w:rPr>
        <w:t xml:space="preserve">– </w:t>
      </w:r>
      <w:r w:rsidR="007A2507">
        <w:rPr>
          <w:rFonts w:ascii="Calibri" w:hAnsi="Calibri" w:cs="Calibri"/>
          <w:b/>
          <w:szCs w:val="24"/>
          <w:u w:val="single"/>
          <w:lang w:val="pt-BR"/>
        </w:rPr>
        <w:t>PROPRIEDADES PARA INVESTIMENTOS</w:t>
      </w:r>
    </w:p>
    <w:p w:rsidR="007A2507" w:rsidRDefault="007A2507" w:rsidP="007A2507">
      <w:pPr>
        <w:pStyle w:val="Recuodecorpodetexto"/>
        <w:widowControl/>
        <w:autoSpaceDE w:val="0"/>
        <w:autoSpaceDN w:val="0"/>
        <w:ind w:left="0"/>
        <w:rPr>
          <w:rFonts w:ascii="Calibri" w:hAnsi="Calibri" w:cs="Calibri"/>
          <w:b/>
          <w:szCs w:val="24"/>
          <w:u w:val="single"/>
          <w:lang w:val="pt-BR"/>
        </w:rPr>
      </w:pPr>
    </w:p>
    <w:p w:rsidR="00085185" w:rsidRDefault="0012521A" w:rsidP="007A2507">
      <w:pPr>
        <w:pStyle w:val="Recuodecorpodetexto"/>
        <w:widowControl/>
        <w:autoSpaceDE w:val="0"/>
        <w:autoSpaceDN w:val="0"/>
        <w:ind w:left="0"/>
        <w:rPr>
          <w:rFonts w:ascii="Calibri" w:hAnsi="Calibri" w:cs="Calibri"/>
          <w:szCs w:val="24"/>
          <w:lang w:val="pt-BR"/>
        </w:rPr>
      </w:pPr>
      <w:r>
        <w:rPr>
          <w:rFonts w:ascii="Calibri" w:hAnsi="Calibri" w:cs="Calibri"/>
          <w:szCs w:val="24"/>
          <w:lang w:val="pt-BR"/>
        </w:rPr>
        <w:t>Trata-se de 75 (setenta e cinco) imóveis externos (Edificações e Terrenos)</w:t>
      </w:r>
      <w:r w:rsidR="00085185">
        <w:rPr>
          <w:rFonts w:ascii="Calibri" w:hAnsi="Calibri" w:cs="Calibri"/>
          <w:szCs w:val="24"/>
          <w:lang w:val="pt-BR"/>
        </w:rPr>
        <w:t xml:space="preserve"> de propriedade da CDRJ,</w:t>
      </w:r>
      <w:r>
        <w:rPr>
          <w:rFonts w:ascii="Calibri" w:hAnsi="Calibri" w:cs="Calibri"/>
          <w:szCs w:val="24"/>
          <w:lang w:val="pt-BR"/>
        </w:rPr>
        <w:t xml:space="preserve"> mantidos para auferir aluguel ou para valorização de capital ou para ambas, registrados pelo valor de aquisição (custo histórico)</w:t>
      </w:r>
      <w:r w:rsidR="00061761">
        <w:rPr>
          <w:rFonts w:ascii="Calibri" w:hAnsi="Calibri" w:cs="Calibri"/>
          <w:szCs w:val="24"/>
          <w:lang w:val="pt-BR"/>
        </w:rPr>
        <w:t xml:space="preserve">. </w:t>
      </w:r>
    </w:p>
    <w:p w:rsidR="00085185" w:rsidRDefault="00085185" w:rsidP="007A2507">
      <w:pPr>
        <w:pStyle w:val="Recuodecorpodetexto"/>
        <w:widowControl/>
        <w:autoSpaceDE w:val="0"/>
        <w:autoSpaceDN w:val="0"/>
        <w:ind w:left="0"/>
        <w:rPr>
          <w:rFonts w:ascii="Calibri" w:hAnsi="Calibri" w:cs="Calibri"/>
          <w:szCs w:val="24"/>
          <w:lang w:val="pt-BR"/>
        </w:rPr>
      </w:pPr>
    </w:p>
    <w:p w:rsidR="007A2507" w:rsidRDefault="00061761" w:rsidP="007A2507">
      <w:pPr>
        <w:pStyle w:val="Recuodecorpodetexto"/>
        <w:widowControl/>
        <w:autoSpaceDE w:val="0"/>
        <w:autoSpaceDN w:val="0"/>
        <w:ind w:left="0"/>
        <w:rPr>
          <w:rFonts w:ascii="Calibri" w:hAnsi="Calibri" w:cs="Calibri"/>
          <w:szCs w:val="24"/>
          <w:lang w:val="pt-BR"/>
        </w:rPr>
      </w:pPr>
      <w:r>
        <w:rPr>
          <w:rFonts w:ascii="Calibri" w:hAnsi="Calibri" w:cs="Calibri"/>
          <w:szCs w:val="24"/>
          <w:lang w:val="pt-BR"/>
        </w:rPr>
        <w:t xml:space="preserve">Segundo laudo de determinação de valor de mercado, realizado pela empresa </w:t>
      </w:r>
      <w:proofErr w:type="spellStart"/>
      <w:r>
        <w:rPr>
          <w:rFonts w:ascii="Calibri" w:hAnsi="Calibri" w:cs="Calibri"/>
          <w:szCs w:val="24"/>
          <w:lang w:val="pt-BR"/>
        </w:rPr>
        <w:t>Convergy</w:t>
      </w:r>
      <w:proofErr w:type="spellEnd"/>
      <w:r>
        <w:rPr>
          <w:rFonts w:ascii="Calibri" w:hAnsi="Calibri" w:cs="Calibri"/>
          <w:szCs w:val="24"/>
          <w:lang w:val="pt-BR"/>
        </w:rPr>
        <w:t xml:space="preserve"> Serviços e Contabilidade Ltda., observados os métodos de análise e de avaliação empregados, com considerações feitas aos bens em estudo quanto às suas características, estado de conservação e manutenção, os imóveis registrados em Propriedade para Investimentos foram avaliados em R$ 547.499 mil.</w:t>
      </w:r>
    </w:p>
    <w:p w:rsidR="00994937" w:rsidRDefault="00994937" w:rsidP="00C16DDB">
      <w:pPr>
        <w:jc w:val="both"/>
        <w:rPr>
          <w:rFonts w:ascii="Calibri" w:hAnsi="Calibri" w:cs="Calibri"/>
          <w:b/>
          <w:color w:val="FF0000"/>
          <w:sz w:val="24"/>
          <w:szCs w:val="24"/>
        </w:rPr>
      </w:pPr>
    </w:p>
    <w:p w:rsidR="00085185" w:rsidRPr="00DB7CEF" w:rsidRDefault="00085185" w:rsidP="00C16DDB">
      <w:pPr>
        <w:jc w:val="both"/>
        <w:rPr>
          <w:rFonts w:ascii="Calibri" w:hAnsi="Calibri" w:cs="Calibri"/>
          <w:b/>
          <w:color w:val="FF0000"/>
          <w:sz w:val="24"/>
          <w:szCs w:val="24"/>
        </w:rPr>
      </w:pPr>
    </w:p>
    <w:p w:rsidR="00C16DDB" w:rsidRPr="00312424" w:rsidRDefault="0043773C" w:rsidP="00C16DDB">
      <w:pPr>
        <w:jc w:val="both"/>
        <w:rPr>
          <w:rFonts w:ascii="Calibri" w:hAnsi="Calibri" w:cs="Calibri"/>
          <w:b/>
          <w:sz w:val="24"/>
          <w:szCs w:val="24"/>
        </w:rPr>
      </w:pPr>
      <w:r>
        <w:rPr>
          <w:rFonts w:ascii="Calibri" w:hAnsi="Calibri" w:cs="Calibri"/>
          <w:b/>
          <w:sz w:val="24"/>
          <w:szCs w:val="24"/>
        </w:rPr>
        <w:t>13</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IMOBILIZADO</w:t>
      </w:r>
    </w:p>
    <w:p w:rsidR="00C16DDB" w:rsidRPr="00312424" w:rsidRDefault="00C16DDB" w:rsidP="00C16DDB">
      <w:pPr>
        <w:jc w:val="both"/>
        <w:rPr>
          <w:rFonts w:ascii="Calibri" w:hAnsi="Calibri" w:cs="Calibri"/>
          <w:b/>
          <w:sz w:val="24"/>
          <w:szCs w:val="24"/>
          <w:u w:val="single"/>
        </w:rPr>
      </w:pPr>
    </w:p>
    <w:p w:rsidR="00C16DDB" w:rsidRPr="00312424" w:rsidRDefault="00C16DDB" w:rsidP="00C16DDB">
      <w:pPr>
        <w:jc w:val="both"/>
        <w:rPr>
          <w:rFonts w:ascii="Calibri" w:hAnsi="Calibri" w:cs="Calibri"/>
          <w:sz w:val="24"/>
          <w:szCs w:val="24"/>
        </w:rPr>
      </w:pPr>
      <w:r w:rsidRPr="00312424">
        <w:rPr>
          <w:rFonts w:ascii="Calibri" w:hAnsi="Calibri" w:cs="Calibri"/>
          <w:sz w:val="24"/>
          <w:szCs w:val="24"/>
        </w:rPr>
        <w:t xml:space="preserve">O </w:t>
      </w:r>
      <w:r w:rsidR="00DA6CEE">
        <w:rPr>
          <w:rFonts w:ascii="Calibri" w:hAnsi="Calibri" w:cs="Calibri"/>
          <w:sz w:val="24"/>
          <w:szCs w:val="24"/>
        </w:rPr>
        <w:t xml:space="preserve">ativo </w:t>
      </w:r>
      <w:r w:rsidRPr="00312424">
        <w:rPr>
          <w:rFonts w:ascii="Calibri" w:hAnsi="Calibri" w:cs="Calibri"/>
          <w:sz w:val="24"/>
          <w:szCs w:val="24"/>
        </w:rPr>
        <w:t>imobilizado</w:t>
      </w:r>
      <w:r w:rsidR="00DA6CEE">
        <w:rPr>
          <w:rFonts w:ascii="Calibri" w:hAnsi="Calibri" w:cs="Calibri"/>
          <w:sz w:val="24"/>
          <w:szCs w:val="24"/>
        </w:rPr>
        <w:t xml:space="preserve"> </w:t>
      </w:r>
      <w:r w:rsidRPr="00312424">
        <w:rPr>
          <w:rFonts w:ascii="Calibri" w:hAnsi="Calibri" w:cs="Calibri"/>
          <w:sz w:val="24"/>
          <w:szCs w:val="24"/>
        </w:rPr>
        <w:t>está assim composto:</w:t>
      </w:r>
    </w:p>
    <w:p w:rsidR="00C16DDB" w:rsidRDefault="00C16DDB" w:rsidP="00C16DDB">
      <w:pPr>
        <w:jc w:val="both"/>
        <w:rPr>
          <w:rFonts w:ascii="Calibri" w:hAnsi="Calibri" w:cs="Calibri"/>
          <w:b/>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2E7F4A" w:rsidRPr="002E7F4A" w:rsidTr="00697525">
        <w:trPr>
          <w:trHeight w:val="284"/>
        </w:trPr>
        <w:tc>
          <w:tcPr>
            <w:tcW w:w="2860" w:type="dxa"/>
            <w:tcBorders>
              <w:top w:val="nil"/>
              <w:left w:val="nil"/>
              <w:bottom w:val="nil"/>
              <w:right w:val="single" w:sz="4" w:space="0" w:color="auto"/>
            </w:tcBorders>
            <w:shd w:val="clear" w:color="auto" w:fill="auto"/>
            <w:noWrap/>
            <w:vAlign w:val="bottom"/>
            <w:hideMark/>
          </w:tcPr>
          <w:p w:rsidR="002E7F4A" w:rsidRPr="002E7F4A" w:rsidRDefault="002E7F4A" w:rsidP="002E7F4A">
            <w:pPr>
              <w:widowControl/>
              <w:rPr>
                <w:rFonts w:ascii="Calibri" w:hAnsi="Calibri" w:cs="Calibri"/>
                <w:snapToGrid/>
                <w:color w:val="000000"/>
                <w:sz w:val="24"/>
                <w:szCs w:val="24"/>
              </w:rPr>
            </w:pP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4A" w:rsidRPr="002E7F4A" w:rsidRDefault="002E7F4A" w:rsidP="002E7F4A">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Custo</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4A" w:rsidRPr="002E7F4A" w:rsidRDefault="002E7F4A" w:rsidP="002E7F4A">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Depreciação Acumulada</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4A" w:rsidRPr="002E7F4A" w:rsidRDefault="002E7F4A" w:rsidP="004B2EFF">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 xml:space="preserve">Líquido </w:t>
            </w:r>
            <w:r w:rsidR="00D0760C">
              <w:rPr>
                <w:rFonts w:ascii="Calibri" w:hAnsi="Calibri" w:cs="Calibri"/>
                <w:b/>
                <w:bCs/>
                <w:snapToGrid/>
                <w:color w:val="000000"/>
                <w:sz w:val="24"/>
                <w:szCs w:val="24"/>
              </w:rPr>
              <w:t>31/</w:t>
            </w:r>
            <w:r w:rsidR="004B2EFF">
              <w:rPr>
                <w:rFonts w:ascii="Calibri" w:hAnsi="Calibri" w:cs="Calibri"/>
                <w:b/>
                <w:bCs/>
                <w:snapToGrid/>
                <w:color w:val="000000"/>
                <w:sz w:val="24"/>
                <w:szCs w:val="24"/>
              </w:rPr>
              <w:t>03</w:t>
            </w:r>
            <w:r w:rsidR="00D0760C">
              <w:rPr>
                <w:rFonts w:ascii="Calibri" w:hAnsi="Calibri" w:cs="Calibri"/>
                <w:b/>
                <w:bCs/>
                <w:snapToGrid/>
                <w:color w:val="000000"/>
                <w:sz w:val="24"/>
                <w:szCs w:val="24"/>
              </w:rPr>
              <w:t>/20</w:t>
            </w:r>
            <w:r w:rsidR="004B2EFF">
              <w:rPr>
                <w:rFonts w:ascii="Calibri" w:hAnsi="Calibri" w:cs="Calibri"/>
                <w:b/>
                <w:bCs/>
                <w:snapToGrid/>
                <w:color w:val="000000"/>
                <w:sz w:val="24"/>
                <w:szCs w:val="24"/>
              </w:rPr>
              <w:t>20</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4A" w:rsidRPr="002E7F4A" w:rsidRDefault="004B2EFF" w:rsidP="002E7F4A">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 xml:space="preserve">Líquido </w:t>
            </w:r>
            <w:r>
              <w:rPr>
                <w:rFonts w:ascii="Calibri" w:hAnsi="Calibri" w:cs="Calibri"/>
                <w:b/>
                <w:bCs/>
                <w:snapToGrid/>
                <w:color w:val="000000"/>
                <w:sz w:val="24"/>
                <w:szCs w:val="24"/>
              </w:rPr>
              <w:t>31/12/2019</w:t>
            </w:r>
          </w:p>
        </w:tc>
      </w:tr>
      <w:tr w:rsidR="002E7F4A" w:rsidRPr="002E7F4A" w:rsidTr="00697525">
        <w:trPr>
          <w:trHeight w:val="284"/>
        </w:trPr>
        <w:tc>
          <w:tcPr>
            <w:tcW w:w="2860" w:type="dxa"/>
            <w:tcBorders>
              <w:top w:val="nil"/>
              <w:left w:val="nil"/>
              <w:bottom w:val="single" w:sz="4" w:space="0" w:color="auto"/>
              <w:right w:val="single" w:sz="4" w:space="0" w:color="auto"/>
            </w:tcBorders>
            <w:shd w:val="clear" w:color="auto" w:fill="auto"/>
            <w:noWrap/>
            <w:vAlign w:val="bottom"/>
            <w:hideMark/>
          </w:tcPr>
          <w:p w:rsidR="002E7F4A" w:rsidRPr="002E7F4A" w:rsidRDefault="002E7F4A" w:rsidP="002E7F4A">
            <w:pPr>
              <w:widowControl/>
              <w:rPr>
                <w:rFonts w:ascii="Calibri" w:hAnsi="Calibri" w:cs="Calibri"/>
                <w:snapToGrid/>
                <w:color w:val="000000"/>
                <w:sz w:val="24"/>
                <w:szCs w:val="24"/>
              </w:rPr>
            </w:pPr>
            <w:r w:rsidRPr="002E7F4A">
              <w:rPr>
                <w:rFonts w:ascii="Calibri" w:hAnsi="Calibri" w:cs="Calibri"/>
                <w:snapToGrid/>
                <w:color w:val="000000"/>
                <w:sz w:val="24"/>
                <w:szCs w:val="24"/>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2E7F4A" w:rsidRPr="002E7F4A" w:rsidRDefault="002E7F4A" w:rsidP="002E7F4A">
            <w:pPr>
              <w:widowControl/>
              <w:rPr>
                <w:rFonts w:ascii="Calibri" w:hAnsi="Calibri" w:cs="Calibri"/>
                <w:b/>
                <w:bCs/>
                <w:snapToGrid/>
                <w:color w:val="00000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2E7F4A" w:rsidRPr="002E7F4A" w:rsidRDefault="002E7F4A" w:rsidP="002E7F4A">
            <w:pPr>
              <w:widowControl/>
              <w:rPr>
                <w:rFonts w:ascii="Calibri" w:hAnsi="Calibri" w:cs="Calibri"/>
                <w:b/>
                <w:bCs/>
                <w:snapToGrid/>
                <w:color w:val="00000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2E7F4A" w:rsidRPr="002E7F4A" w:rsidRDefault="002E7F4A" w:rsidP="002E7F4A">
            <w:pPr>
              <w:widowControl/>
              <w:rPr>
                <w:rFonts w:ascii="Calibri" w:hAnsi="Calibri" w:cs="Calibri"/>
                <w:b/>
                <w:bCs/>
                <w:snapToGrid/>
                <w:color w:val="00000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2E7F4A" w:rsidRPr="002E7F4A" w:rsidRDefault="002E7F4A" w:rsidP="002E7F4A">
            <w:pPr>
              <w:widowControl/>
              <w:rPr>
                <w:rFonts w:ascii="Calibri" w:hAnsi="Calibri" w:cs="Calibri"/>
                <w:b/>
                <w:bCs/>
                <w:snapToGrid/>
                <w:color w:val="000000"/>
                <w:sz w:val="24"/>
                <w:szCs w:val="24"/>
              </w:rPr>
            </w:pPr>
          </w:p>
        </w:tc>
      </w:tr>
      <w:tr w:rsidR="004B2EFF" w:rsidRPr="002E7F4A"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rPr>
                <w:rFonts w:ascii="Calibri" w:hAnsi="Calibri" w:cs="Calibri"/>
                <w:snapToGrid/>
                <w:color w:val="000000"/>
                <w:sz w:val="24"/>
                <w:szCs w:val="24"/>
              </w:rPr>
            </w:pPr>
            <w:r w:rsidRPr="002E7F4A">
              <w:rPr>
                <w:rFonts w:ascii="Calibri" w:hAnsi="Calibri" w:cs="Calibri"/>
                <w:snapToGrid/>
                <w:color w:val="000000"/>
                <w:sz w:val="24"/>
                <w:szCs w:val="24"/>
              </w:rPr>
              <w:t>Bens em Operação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949.562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(189.043)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760.519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771.388</w:t>
            </w:r>
          </w:p>
        </w:tc>
      </w:tr>
      <w:tr w:rsidR="004B2EFF" w:rsidRPr="002E7F4A"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rPr>
                <w:rFonts w:ascii="Calibri" w:hAnsi="Calibri" w:cs="Calibri"/>
                <w:snapToGrid/>
                <w:color w:val="000000"/>
                <w:sz w:val="24"/>
                <w:szCs w:val="24"/>
              </w:rPr>
            </w:pPr>
            <w:r w:rsidRPr="002E7F4A">
              <w:rPr>
                <w:rFonts w:ascii="Calibri" w:hAnsi="Calibri" w:cs="Calibri"/>
                <w:snapToGrid/>
                <w:color w:val="000000"/>
                <w:sz w:val="24"/>
                <w:szCs w:val="24"/>
              </w:rPr>
              <w:t>Bens - Administração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157.143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(52.121)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105.022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105.664</w:t>
            </w:r>
          </w:p>
        </w:tc>
      </w:tr>
      <w:tr w:rsidR="004B2EFF" w:rsidRPr="002E7F4A" w:rsidTr="004B2EFF">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rPr>
                <w:rFonts w:ascii="Calibri" w:hAnsi="Calibri" w:cs="Calibri"/>
                <w:snapToGrid/>
                <w:color w:val="000000"/>
                <w:sz w:val="24"/>
                <w:szCs w:val="24"/>
              </w:rPr>
            </w:pPr>
            <w:r w:rsidRPr="002E7F4A">
              <w:rPr>
                <w:rFonts w:ascii="Calibri" w:hAnsi="Calibri" w:cs="Calibri"/>
                <w:snapToGrid/>
                <w:color w:val="000000"/>
                <w:sz w:val="24"/>
                <w:szCs w:val="24"/>
              </w:rPr>
              <w:t>Imobilizado em Andamento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32.963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32.963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1D4054">
            <w:pPr>
              <w:widowControl/>
              <w:jc w:val="right"/>
              <w:rPr>
                <w:rFonts w:ascii="Calibri" w:hAnsi="Calibri" w:cs="Calibri"/>
                <w:snapToGrid/>
                <w:color w:val="000000"/>
                <w:sz w:val="24"/>
                <w:szCs w:val="24"/>
              </w:rPr>
            </w:pPr>
            <w:r>
              <w:rPr>
                <w:rFonts w:ascii="Calibri" w:hAnsi="Calibri" w:cs="Calibri"/>
                <w:snapToGrid/>
                <w:color w:val="000000"/>
                <w:sz w:val="24"/>
                <w:szCs w:val="24"/>
              </w:rPr>
              <w:t>32.9</w:t>
            </w:r>
            <w:r w:rsidR="001D4054">
              <w:rPr>
                <w:rFonts w:ascii="Calibri" w:hAnsi="Calibri" w:cs="Calibri"/>
                <w:snapToGrid/>
                <w:color w:val="000000"/>
                <w:sz w:val="24"/>
                <w:szCs w:val="24"/>
              </w:rPr>
              <w:t>6</w:t>
            </w:r>
            <w:r>
              <w:rPr>
                <w:rFonts w:ascii="Calibri" w:hAnsi="Calibri" w:cs="Calibri"/>
                <w:snapToGrid/>
                <w:color w:val="000000"/>
                <w:sz w:val="24"/>
                <w:szCs w:val="24"/>
              </w:rPr>
              <w:t>3</w:t>
            </w:r>
          </w:p>
        </w:tc>
      </w:tr>
      <w:tr w:rsidR="004B2EFF" w:rsidRPr="002E7F4A" w:rsidTr="004B2EFF">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rPr>
                <w:rFonts w:ascii="Calibri" w:hAnsi="Calibri" w:cs="Calibri"/>
                <w:snapToGrid/>
                <w:color w:val="000000"/>
                <w:sz w:val="24"/>
                <w:szCs w:val="24"/>
              </w:rPr>
            </w:pPr>
            <w:r w:rsidRPr="002E7F4A">
              <w:rPr>
                <w:rFonts w:ascii="Calibri" w:hAnsi="Calibri" w:cs="Calibri"/>
                <w:snapToGrid/>
                <w:color w:val="000000"/>
                <w:sz w:val="24"/>
                <w:szCs w:val="24"/>
              </w:rPr>
              <w:t>Imobilizado a Classificar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15.195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(374)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14.821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jc w:val="right"/>
              <w:rPr>
                <w:rFonts w:ascii="Calibri" w:hAnsi="Calibri" w:cs="Calibri"/>
                <w:snapToGrid/>
                <w:color w:val="000000"/>
                <w:sz w:val="24"/>
                <w:szCs w:val="24"/>
              </w:rPr>
            </w:pPr>
            <w:r>
              <w:rPr>
                <w:rFonts w:ascii="Calibri" w:hAnsi="Calibri" w:cs="Calibri"/>
                <w:snapToGrid/>
                <w:color w:val="000000"/>
                <w:sz w:val="24"/>
                <w:szCs w:val="24"/>
              </w:rPr>
              <w:t>14.821</w:t>
            </w:r>
          </w:p>
        </w:tc>
      </w:tr>
      <w:tr w:rsidR="004B2EFF" w:rsidRPr="002E7F4A" w:rsidTr="004B2EFF">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rPr>
                <w:rFonts w:ascii="Calibri" w:hAnsi="Calibri" w:cs="Calibri"/>
                <w:snapToGrid/>
                <w:color w:val="000000"/>
                <w:sz w:val="24"/>
                <w:szCs w:val="24"/>
              </w:rPr>
            </w:pPr>
            <w:r w:rsidRPr="002E7F4A">
              <w:rPr>
                <w:rFonts w:ascii="Calibri" w:hAnsi="Calibri" w:cs="Calibri"/>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1.154.863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EFF" w:rsidRPr="002E7F4A"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(241.538)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913.325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EFF" w:rsidRPr="002E7F4A" w:rsidRDefault="004B2EFF" w:rsidP="004B2EF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924.836</w:t>
            </w:r>
          </w:p>
        </w:tc>
      </w:tr>
    </w:tbl>
    <w:p w:rsidR="00B455BA" w:rsidRDefault="00B455BA" w:rsidP="00C16DDB">
      <w:pPr>
        <w:jc w:val="both"/>
        <w:rPr>
          <w:rFonts w:ascii="Calibri" w:hAnsi="Calibri" w:cs="Calibri"/>
          <w:b/>
          <w:sz w:val="24"/>
          <w:szCs w:val="24"/>
        </w:rPr>
      </w:pPr>
    </w:p>
    <w:p w:rsidR="00C068C1" w:rsidRDefault="00C068C1" w:rsidP="00C16DDB">
      <w:pPr>
        <w:jc w:val="both"/>
        <w:rPr>
          <w:rFonts w:ascii="Calibri" w:hAnsi="Calibri" w:cs="Calibri"/>
          <w:b/>
          <w:sz w:val="24"/>
          <w:szCs w:val="24"/>
        </w:rPr>
      </w:pPr>
    </w:p>
    <w:p w:rsidR="00C16DDB" w:rsidRPr="00312424" w:rsidRDefault="0043773C" w:rsidP="00C16DDB">
      <w:pPr>
        <w:jc w:val="both"/>
        <w:rPr>
          <w:rFonts w:ascii="Calibri" w:hAnsi="Calibri" w:cs="Calibri"/>
          <w:b/>
          <w:sz w:val="24"/>
          <w:szCs w:val="24"/>
          <w:u w:val="single"/>
        </w:rPr>
      </w:pPr>
      <w:r>
        <w:rPr>
          <w:rFonts w:ascii="Calibri" w:hAnsi="Calibri" w:cs="Calibri"/>
          <w:b/>
          <w:sz w:val="24"/>
          <w:szCs w:val="24"/>
        </w:rPr>
        <w:t>14</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OBRIGAÇÕES TRABALHISTAS E ASSI</w:t>
      </w:r>
      <w:r w:rsidR="000604CA">
        <w:rPr>
          <w:rFonts w:ascii="Calibri" w:hAnsi="Calibri" w:cs="Calibri"/>
          <w:b/>
          <w:sz w:val="24"/>
          <w:szCs w:val="24"/>
          <w:u w:val="single"/>
        </w:rPr>
        <w:t>STENCIAIS</w:t>
      </w:r>
    </w:p>
    <w:p w:rsidR="00C16DDB" w:rsidRPr="00312424" w:rsidRDefault="00C16DDB" w:rsidP="00C16DDB">
      <w:pPr>
        <w:jc w:val="both"/>
        <w:rPr>
          <w:rFonts w:ascii="Calibri" w:hAnsi="Calibri" w:cs="Calibri"/>
          <w:b/>
          <w:sz w:val="24"/>
          <w:szCs w:val="24"/>
          <w:u w:val="single"/>
        </w:rPr>
      </w:pPr>
    </w:p>
    <w:p w:rsidR="000831FD" w:rsidRDefault="00C16DDB" w:rsidP="00C16DDB">
      <w:pPr>
        <w:jc w:val="both"/>
        <w:rPr>
          <w:rFonts w:ascii="Calibri" w:hAnsi="Calibri" w:cs="Calibri"/>
          <w:sz w:val="24"/>
          <w:szCs w:val="24"/>
        </w:rPr>
      </w:pPr>
      <w:r w:rsidRPr="00312424">
        <w:rPr>
          <w:rFonts w:ascii="Calibri" w:hAnsi="Calibri" w:cs="Calibri"/>
          <w:sz w:val="24"/>
          <w:szCs w:val="24"/>
        </w:rPr>
        <w:t xml:space="preserve">O </w:t>
      </w:r>
      <w:r w:rsidR="000604CA">
        <w:rPr>
          <w:rFonts w:ascii="Calibri" w:hAnsi="Calibri" w:cs="Calibri"/>
          <w:sz w:val="24"/>
          <w:szCs w:val="24"/>
        </w:rPr>
        <w:t>g</w:t>
      </w:r>
      <w:r w:rsidRPr="00312424">
        <w:rPr>
          <w:rFonts w:ascii="Calibri" w:hAnsi="Calibri" w:cs="Calibri"/>
          <w:sz w:val="24"/>
          <w:szCs w:val="24"/>
        </w:rPr>
        <w:t>rupo</w:t>
      </w:r>
      <w:r w:rsidR="000831FD">
        <w:rPr>
          <w:rFonts w:ascii="Calibri" w:hAnsi="Calibri" w:cs="Calibri"/>
          <w:sz w:val="24"/>
          <w:szCs w:val="24"/>
        </w:rPr>
        <w:t xml:space="preserve"> contém as remunerações a empregados, diretores, conselheiros, membros do comitê de auditoria, estagiários e jovens aprendizes, com os respectivos encargos; os valores a serem recolhidos a título de pensão alimentícia; e as consignações descontas em folha, tais como contribuição para sindicatos e associações de classe, empréstimos bancários, plano funeral, etc.</w:t>
      </w:r>
    </w:p>
    <w:p w:rsidR="000831FD" w:rsidRDefault="000831FD" w:rsidP="00C16DDB">
      <w:pPr>
        <w:jc w:val="both"/>
        <w:rPr>
          <w:rFonts w:ascii="Calibri" w:hAnsi="Calibri" w:cs="Calibri"/>
          <w:sz w:val="24"/>
          <w:szCs w:val="24"/>
        </w:rPr>
      </w:pPr>
    </w:p>
    <w:p w:rsidR="00C16DDB" w:rsidRDefault="000831FD" w:rsidP="00C16DDB">
      <w:pPr>
        <w:jc w:val="both"/>
        <w:rPr>
          <w:rFonts w:ascii="Calibri" w:hAnsi="Calibri" w:cs="Calibri"/>
          <w:sz w:val="24"/>
          <w:szCs w:val="24"/>
        </w:rPr>
      </w:pPr>
      <w:r>
        <w:rPr>
          <w:rFonts w:ascii="Calibri" w:hAnsi="Calibri" w:cs="Calibri"/>
          <w:sz w:val="24"/>
          <w:szCs w:val="24"/>
        </w:rPr>
        <w:t>A seguir a composição do grupo</w:t>
      </w:r>
      <w:r w:rsidR="000604CA">
        <w:rPr>
          <w:rFonts w:ascii="Calibri" w:hAnsi="Calibri" w:cs="Calibri"/>
          <w:sz w:val="24"/>
          <w:szCs w:val="24"/>
        </w:rPr>
        <w:t>:</w:t>
      </w:r>
    </w:p>
    <w:p w:rsidR="002E7F4A" w:rsidRPr="00312424" w:rsidRDefault="002E7F4A" w:rsidP="00C16DDB">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4F2925" w:rsidRPr="002E7F4A" w:rsidTr="004F2925">
        <w:trPr>
          <w:trHeight w:val="315"/>
          <w:jc w:val="center"/>
        </w:trPr>
        <w:tc>
          <w:tcPr>
            <w:tcW w:w="2860" w:type="dxa"/>
            <w:tcBorders>
              <w:top w:val="nil"/>
              <w:left w:val="nil"/>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snapToGrid/>
                <w:color w:val="000000"/>
                <w:sz w:val="24"/>
                <w:szCs w:val="24"/>
              </w:rPr>
            </w:pPr>
            <w:r w:rsidRPr="002E7F4A">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4F2925" w:rsidRPr="002E7F4A" w:rsidTr="004F2925">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snapToGrid/>
                <w:color w:val="000000"/>
                <w:sz w:val="24"/>
                <w:szCs w:val="24"/>
              </w:rPr>
            </w:pPr>
            <w:r w:rsidRPr="002E7F4A">
              <w:rPr>
                <w:rFonts w:ascii="Calibri" w:hAnsi="Calibri" w:cs="Calibri"/>
                <w:snapToGrid/>
                <w:color w:val="000000"/>
                <w:sz w:val="24"/>
                <w:szCs w:val="24"/>
              </w:rPr>
              <w:t>Remunerações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9.288</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9.232</w:t>
            </w:r>
          </w:p>
        </w:tc>
      </w:tr>
      <w:tr w:rsidR="004F2925" w:rsidRPr="002E7F4A" w:rsidTr="004F2925">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snapToGrid/>
                <w:color w:val="000000"/>
                <w:sz w:val="24"/>
                <w:szCs w:val="24"/>
              </w:rPr>
            </w:pPr>
            <w:r w:rsidRPr="002E7F4A">
              <w:rPr>
                <w:rFonts w:ascii="Calibri" w:hAnsi="Calibri" w:cs="Calibri"/>
                <w:snapToGrid/>
                <w:color w:val="000000"/>
                <w:sz w:val="24"/>
                <w:szCs w:val="24"/>
              </w:rPr>
              <w:t>Consignações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388</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327</w:t>
            </w:r>
          </w:p>
        </w:tc>
      </w:tr>
      <w:tr w:rsidR="004F2925" w:rsidRPr="002E7F4A" w:rsidTr="004F2925">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snapToGrid/>
                <w:color w:val="000000"/>
                <w:sz w:val="24"/>
                <w:szCs w:val="24"/>
              </w:rPr>
            </w:pPr>
            <w:r w:rsidRPr="002E7F4A">
              <w:rPr>
                <w:rFonts w:ascii="Calibri" w:hAnsi="Calibri" w:cs="Calibri"/>
                <w:snapToGrid/>
                <w:color w:val="000000"/>
                <w:sz w:val="24"/>
                <w:szCs w:val="24"/>
              </w:rPr>
              <w:t>Mesada Judicial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132</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134</w:t>
            </w:r>
          </w:p>
        </w:tc>
      </w:tr>
      <w:tr w:rsidR="004F2925" w:rsidRPr="002E7F4A" w:rsidTr="004F2925">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snapToGrid/>
                <w:color w:val="000000"/>
                <w:sz w:val="24"/>
                <w:szCs w:val="24"/>
              </w:rPr>
            </w:pPr>
            <w:r w:rsidRPr="002E7F4A">
              <w:rPr>
                <w:rFonts w:ascii="Calibri" w:hAnsi="Calibri" w:cs="Calibri"/>
                <w:snapToGrid/>
                <w:color w:val="000000"/>
                <w:sz w:val="24"/>
                <w:szCs w:val="24"/>
              </w:rPr>
              <w:t>Provisões e Encargos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15.009</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8.312</w:t>
            </w:r>
          </w:p>
        </w:tc>
      </w:tr>
      <w:tr w:rsidR="004F2925" w:rsidRPr="002E7F4A" w:rsidTr="004F2925">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2E7F4A" w:rsidRDefault="004F2925" w:rsidP="004F2925">
            <w:pPr>
              <w:widowControl/>
              <w:rPr>
                <w:rFonts w:ascii="Calibri" w:hAnsi="Calibri" w:cs="Calibri"/>
                <w:b/>
                <w:bCs/>
                <w:snapToGrid/>
                <w:color w:val="000000"/>
                <w:sz w:val="24"/>
                <w:szCs w:val="24"/>
              </w:rPr>
            </w:pPr>
            <w:r w:rsidRPr="002E7F4A">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2E7F4A"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24.817</w:t>
            </w:r>
          </w:p>
        </w:tc>
        <w:tc>
          <w:tcPr>
            <w:tcW w:w="1760" w:type="dxa"/>
            <w:tcBorders>
              <w:top w:val="single" w:sz="4" w:space="0" w:color="auto"/>
              <w:left w:val="single" w:sz="4" w:space="0" w:color="auto"/>
              <w:bottom w:val="single" w:sz="4" w:space="0" w:color="auto"/>
              <w:right w:val="single" w:sz="4" w:space="0" w:color="auto"/>
            </w:tcBorders>
            <w:vAlign w:val="bottom"/>
          </w:tcPr>
          <w:p w:rsidR="004F2925" w:rsidRPr="002E7F4A"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18.005</w:t>
            </w:r>
          </w:p>
        </w:tc>
      </w:tr>
    </w:tbl>
    <w:p w:rsidR="00C16DDB" w:rsidRPr="00312424" w:rsidRDefault="0043773C" w:rsidP="00C16DDB">
      <w:pPr>
        <w:jc w:val="both"/>
        <w:rPr>
          <w:rFonts w:ascii="Calibri" w:hAnsi="Calibri" w:cs="Calibri"/>
          <w:b/>
          <w:sz w:val="24"/>
          <w:szCs w:val="24"/>
          <w:u w:val="single"/>
        </w:rPr>
      </w:pPr>
      <w:r>
        <w:rPr>
          <w:rFonts w:ascii="Calibri" w:hAnsi="Calibri" w:cs="Calibri"/>
          <w:b/>
          <w:sz w:val="24"/>
          <w:szCs w:val="24"/>
        </w:rPr>
        <w:lastRenderedPageBreak/>
        <w:t>15</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OBRIGAÇÕES TRIBUTÁRIAS</w:t>
      </w:r>
    </w:p>
    <w:p w:rsidR="00C16DDB" w:rsidRPr="00312424" w:rsidRDefault="00C16DDB" w:rsidP="00C16DDB">
      <w:pPr>
        <w:ind w:left="993"/>
        <w:jc w:val="both"/>
        <w:rPr>
          <w:rFonts w:ascii="Calibri" w:hAnsi="Calibri" w:cs="Calibri"/>
          <w:sz w:val="24"/>
          <w:szCs w:val="24"/>
        </w:rPr>
      </w:pPr>
    </w:p>
    <w:p w:rsidR="00DE5674" w:rsidRDefault="00C16DDB" w:rsidP="00C16DDB">
      <w:pPr>
        <w:jc w:val="both"/>
        <w:rPr>
          <w:rFonts w:ascii="Calibri" w:hAnsi="Calibri" w:cs="Calibri"/>
          <w:sz w:val="24"/>
          <w:szCs w:val="24"/>
        </w:rPr>
      </w:pPr>
      <w:r w:rsidRPr="00312424">
        <w:rPr>
          <w:rFonts w:ascii="Calibri" w:hAnsi="Calibri" w:cs="Calibri"/>
          <w:sz w:val="24"/>
          <w:szCs w:val="24"/>
        </w:rPr>
        <w:t xml:space="preserve">As obrigações tributárias, demonstradas por valores conhecidos ou calculáveis, incluídos os encargos e atualizações, quando aplicáveis, incorridos até a data do balanço, </w:t>
      </w:r>
      <w:r w:rsidR="00DE5674">
        <w:rPr>
          <w:rFonts w:ascii="Calibri" w:hAnsi="Calibri" w:cs="Calibri"/>
          <w:sz w:val="24"/>
          <w:szCs w:val="24"/>
        </w:rPr>
        <w:t>têm a seguinte composição:</w:t>
      </w:r>
    </w:p>
    <w:p w:rsidR="00FC07F2" w:rsidRDefault="00FC07F2"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1A3B52" w:rsidRPr="001A3B52" w:rsidTr="00697525">
        <w:trPr>
          <w:trHeight w:val="284"/>
        </w:trPr>
        <w:tc>
          <w:tcPr>
            <w:tcW w:w="2860" w:type="dxa"/>
            <w:tcBorders>
              <w:top w:val="nil"/>
              <w:left w:val="nil"/>
              <w:bottom w:val="nil"/>
              <w:right w:val="single" w:sz="4" w:space="0" w:color="auto"/>
            </w:tcBorders>
            <w:shd w:val="clear" w:color="auto" w:fill="auto"/>
            <w:noWrap/>
            <w:vAlign w:val="bottom"/>
            <w:hideMark/>
          </w:tcPr>
          <w:p w:rsidR="001A3B52" w:rsidRPr="001A3B52" w:rsidRDefault="001A3B52" w:rsidP="001A3B5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B52" w:rsidRPr="001A3B52" w:rsidRDefault="001A3B52" w:rsidP="001A3B52">
            <w:pPr>
              <w:widowControl/>
              <w:jc w:val="center"/>
              <w:rPr>
                <w:rFonts w:ascii="Calibri" w:hAnsi="Calibri" w:cs="Calibri"/>
                <w:b/>
                <w:bCs/>
                <w:snapToGrid/>
                <w:color w:val="000000"/>
                <w:sz w:val="24"/>
                <w:szCs w:val="24"/>
              </w:rPr>
            </w:pPr>
            <w:r w:rsidRPr="001A3B52">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B52" w:rsidRPr="001A3B52" w:rsidRDefault="001A3B52" w:rsidP="001A3B52">
            <w:pPr>
              <w:widowControl/>
              <w:jc w:val="center"/>
              <w:rPr>
                <w:rFonts w:ascii="Calibri" w:hAnsi="Calibri" w:cs="Calibri"/>
                <w:b/>
                <w:bCs/>
                <w:snapToGrid/>
                <w:color w:val="000000"/>
                <w:sz w:val="24"/>
                <w:szCs w:val="24"/>
              </w:rPr>
            </w:pPr>
            <w:r w:rsidRPr="001A3B52">
              <w:rPr>
                <w:rFonts w:ascii="Calibri" w:hAnsi="Calibri" w:cs="Calibri"/>
                <w:b/>
                <w:bCs/>
                <w:snapToGrid/>
                <w:color w:val="000000"/>
                <w:sz w:val="24"/>
                <w:szCs w:val="24"/>
              </w:rPr>
              <w:t>Não Circulante</w:t>
            </w:r>
          </w:p>
        </w:tc>
      </w:tr>
      <w:tr w:rsidR="004F2925" w:rsidRPr="001A3B52" w:rsidTr="00697525">
        <w:trPr>
          <w:trHeight w:val="284"/>
        </w:trPr>
        <w:tc>
          <w:tcPr>
            <w:tcW w:w="2860" w:type="dxa"/>
            <w:tcBorders>
              <w:top w:val="nil"/>
              <w:left w:val="nil"/>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4F2925"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IPTU</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14.257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14.611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4F2925"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ISS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572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446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505.007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499.959</w:t>
            </w:r>
          </w:p>
        </w:tc>
      </w:tr>
      <w:tr w:rsidR="004F2925"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Pr>
                <w:rFonts w:ascii="Calibri" w:hAnsi="Calibri" w:cs="Calibri"/>
                <w:snapToGrid/>
                <w:color w:val="000000"/>
                <w:sz w:val="24"/>
                <w:szCs w:val="24"/>
              </w:rPr>
              <w:t>Parcelamentos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66.717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70.074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421.629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434.716</w:t>
            </w:r>
          </w:p>
        </w:tc>
      </w:tr>
      <w:tr w:rsidR="004F2925"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PASEP/COFINS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5.326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10.365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sidRPr="001A3B52">
              <w:rPr>
                <w:rFonts w:ascii="Calibri" w:hAnsi="Calibri" w:cs="Calibri"/>
                <w:snapToGrid/>
                <w:color w:val="000000"/>
                <w:sz w:val="24"/>
                <w:szCs w:val="24"/>
              </w:rPr>
              <w:t> </w:t>
            </w: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sidRPr="001A3B52">
              <w:rPr>
                <w:rFonts w:ascii="Calibri" w:hAnsi="Calibri" w:cs="Calibri"/>
                <w:snapToGrid/>
                <w:color w:val="000000"/>
                <w:sz w:val="24"/>
                <w:szCs w:val="24"/>
              </w:rPr>
              <w:t> </w:t>
            </w:r>
            <w:r>
              <w:rPr>
                <w:rFonts w:ascii="Calibri" w:hAnsi="Calibri" w:cs="Calibri"/>
                <w:snapToGrid/>
                <w:color w:val="000000"/>
                <w:sz w:val="24"/>
                <w:szCs w:val="24"/>
              </w:rPr>
              <w:t>-</w:t>
            </w:r>
          </w:p>
        </w:tc>
      </w:tr>
      <w:tr w:rsidR="004F2925" w:rsidRPr="001A3B52" w:rsidTr="00B9551E">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IR e CSLL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2.209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5.318</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r>
      <w:tr w:rsidR="004F2925" w:rsidRPr="001A3B52" w:rsidTr="00B9551E">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INSS/FGTS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4.806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14.901</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r>
      <w:tr w:rsidR="004F2925" w:rsidRPr="001A3B52" w:rsidTr="00B9551E">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ATP</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6.820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6.820</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r>
      <w:tr w:rsidR="004F2925" w:rsidRPr="001A3B52" w:rsidTr="00B9551E">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Taxa de Ocupação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11.509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11.322</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r>
      <w:tr w:rsidR="004F2925" w:rsidRPr="001A3B52" w:rsidTr="00B9551E">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snapToGrid/>
                <w:color w:val="000000"/>
                <w:sz w:val="24"/>
                <w:szCs w:val="24"/>
              </w:rPr>
            </w:pPr>
            <w:r w:rsidRPr="001A3B52">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C925D2"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414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snapToGrid/>
                <w:color w:val="000000"/>
                <w:sz w:val="24"/>
                <w:szCs w:val="24"/>
              </w:rPr>
            </w:pPr>
            <w:r>
              <w:rPr>
                <w:rFonts w:ascii="Calibri" w:hAnsi="Calibri" w:cs="Calibri"/>
                <w:snapToGrid/>
                <w:color w:val="000000"/>
                <w:sz w:val="24"/>
                <w:szCs w:val="24"/>
              </w:rPr>
              <w:t>1.137</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4F2925" w:rsidRDefault="004F2925" w:rsidP="004F2925">
            <w:pPr>
              <w:jc w:val="right"/>
            </w:pPr>
            <w:r w:rsidRPr="002C1F36">
              <w:rPr>
                <w:rFonts w:ascii="Calibri" w:hAnsi="Calibri" w:cs="Calibri"/>
                <w:snapToGrid/>
                <w:color w:val="000000"/>
                <w:sz w:val="24"/>
                <w:szCs w:val="24"/>
              </w:rPr>
              <w:t>-</w:t>
            </w:r>
          </w:p>
        </w:tc>
      </w:tr>
      <w:tr w:rsidR="004F2925"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rPr>
                <w:rFonts w:ascii="Calibri" w:hAnsi="Calibri" w:cs="Calibri"/>
                <w:b/>
                <w:bCs/>
                <w:snapToGrid/>
                <w:color w:val="000000"/>
                <w:sz w:val="24"/>
                <w:szCs w:val="24"/>
              </w:rPr>
            </w:pPr>
            <w:r w:rsidRPr="001A3B52">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2925" w:rsidRPr="001A3B52"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112.630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134.994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926.636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25" w:rsidRPr="001A3B52" w:rsidRDefault="004F2925" w:rsidP="004F292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934.675</w:t>
            </w:r>
          </w:p>
        </w:tc>
      </w:tr>
    </w:tbl>
    <w:p w:rsidR="001A44D1" w:rsidRDefault="00784D4D" w:rsidP="00C16DDB">
      <w:pPr>
        <w:jc w:val="both"/>
        <w:rPr>
          <w:rFonts w:ascii="Calibri" w:hAnsi="Calibri" w:cs="Calibri"/>
          <w:sz w:val="24"/>
          <w:szCs w:val="24"/>
        </w:rPr>
      </w:pPr>
      <w:r>
        <w:rPr>
          <w:rFonts w:ascii="Calibri" w:hAnsi="Calibri" w:cs="Calibri"/>
          <w:sz w:val="24"/>
          <w:szCs w:val="24"/>
        </w:rPr>
        <w:t xml:space="preserve"> </w:t>
      </w:r>
    </w:p>
    <w:p w:rsidR="006D1F1A" w:rsidRDefault="008F6488" w:rsidP="00C16DDB">
      <w:pPr>
        <w:jc w:val="both"/>
        <w:rPr>
          <w:rFonts w:ascii="Calibri" w:hAnsi="Calibri" w:cs="Calibri"/>
          <w:sz w:val="24"/>
          <w:szCs w:val="24"/>
        </w:rPr>
      </w:pPr>
      <w:r>
        <w:rPr>
          <w:rFonts w:ascii="Calibri" w:hAnsi="Calibri" w:cs="Calibri"/>
          <w:sz w:val="24"/>
          <w:szCs w:val="24"/>
        </w:rPr>
        <w:t xml:space="preserve">O saldo de </w:t>
      </w:r>
      <w:r w:rsidRPr="008F6488">
        <w:rPr>
          <w:rFonts w:ascii="Calibri" w:hAnsi="Calibri" w:cs="Calibri"/>
          <w:b/>
          <w:sz w:val="24"/>
          <w:szCs w:val="24"/>
        </w:rPr>
        <w:t>IPTU</w:t>
      </w:r>
      <w:r>
        <w:rPr>
          <w:rFonts w:ascii="Calibri" w:hAnsi="Calibri" w:cs="Calibri"/>
          <w:sz w:val="24"/>
          <w:szCs w:val="24"/>
        </w:rPr>
        <w:t xml:space="preserve"> </w:t>
      </w:r>
      <w:r w:rsidR="006D1F1A">
        <w:rPr>
          <w:rFonts w:ascii="Calibri" w:hAnsi="Calibri" w:cs="Calibri"/>
          <w:sz w:val="24"/>
          <w:szCs w:val="24"/>
        </w:rPr>
        <w:t xml:space="preserve">a recolher é </w:t>
      </w:r>
      <w:r>
        <w:rPr>
          <w:rFonts w:ascii="Calibri" w:hAnsi="Calibri" w:cs="Calibri"/>
          <w:sz w:val="24"/>
          <w:szCs w:val="24"/>
        </w:rPr>
        <w:t>refere</w:t>
      </w:r>
      <w:r w:rsidR="006D1F1A">
        <w:rPr>
          <w:rFonts w:ascii="Calibri" w:hAnsi="Calibri" w:cs="Calibri"/>
          <w:sz w:val="24"/>
          <w:szCs w:val="24"/>
        </w:rPr>
        <w:t>nte</w:t>
      </w:r>
      <w:r>
        <w:rPr>
          <w:rFonts w:ascii="Calibri" w:hAnsi="Calibri" w:cs="Calibri"/>
          <w:sz w:val="24"/>
          <w:szCs w:val="24"/>
        </w:rPr>
        <w:t xml:space="preserve"> </w:t>
      </w:r>
      <w:r w:rsidR="006D1F1A">
        <w:rPr>
          <w:rFonts w:ascii="Calibri" w:hAnsi="Calibri" w:cs="Calibri"/>
          <w:sz w:val="24"/>
          <w:szCs w:val="24"/>
        </w:rPr>
        <w:t>a dois acordos de pagamento com o Município do Rio de Janeiro, de débitos inscritos em Dívida Ativa em 2009, inscrições 1810258-2 e 3017358-7, os quais a CDRJ não recolhe desde janeiro de 2013, além dos impostos relativos aos exercícios de 2016 e 2017 dos Municípios do Rio de Janeiro, Itaguaí, Niterói e Angra dos Reis.</w:t>
      </w:r>
    </w:p>
    <w:p w:rsidR="006D1F1A" w:rsidRDefault="006D1F1A" w:rsidP="00C16DDB">
      <w:pPr>
        <w:jc w:val="both"/>
        <w:rPr>
          <w:rFonts w:ascii="Calibri" w:hAnsi="Calibri" w:cs="Calibri"/>
          <w:sz w:val="24"/>
          <w:szCs w:val="24"/>
        </w:rPr>
      </w:pPr>
    </w:p>
    <w:p w:rsidR="002D5068" w:rsidRDefault="008F6488" w:rsidP="00C16DDB">
      <w:pPr>
        <w:jc w:val="both"/>
        <w:rPr>
          <w:rFonts w:ascii="Calibri" w:hAnsi="Calibri" w:cs="Calibri"/>
          <w:sz w:val="24"/>
          <w:szCs w:val="24"/>
        </w:rPr>
      </w:pPr>
      <w:r>
        <w:rPr>
          <w:rFonts w:ascii="Calibri" w:hAnsi="Calibri" w:cs="Calibri"/>
          <w:sz w:val="24"/>
          <w:szCs w:val="24"/>
        </w:rPr>
        <w:t xml:space="preserve">O </w:t>
      </w:r>
      <w:r w:rsidRPr="001C0FBF">
        <w:rPr>
          <w:rFonts w:ascii="Calibri" w:hAnsi="Calibri" w:cs="Calibri"/>
          <w:b/>
          <w:sz w:val="24"/>
          <w:szCs w:val="24"/>
        </w:rPr>
        <w:t>ISS</w:t>
      </w:r>
      <w:r>
        <w:rPr>
          <w:rFonts w:ascii="Calibri" w:hAnsi="Calibri" w:cs="Calibri"/>
          <w:sz w:val="24"/>
          <w:szCs w:val="24"/>
        </w:rPr>
        <w:t xml:space="preserve"> </w:t>
      </w:r>
      <w:r w:rsidR="008967A6">
        <w:rPr>
          <w:rFonts w:ascii="Calibri" w:hAnsi="Calibri" w:cs="Calibri"/>
          <w:sz w:val="24"/>
          <w:szCs w:val="24"/>
        </w:rPr>
        <w:t>de curto prazo refere-se ao recolhimento mensal</w:t>
      </w:r>
      <w:r w:rsidR="006350A8">
        <w:rPr>
          <w:rFonts w:ascii="Calibri" w:hAnsi="Calibri" w:cs="Calibri"/>
          <w:sz w:val="24"/>
          <w:szCs w:val="24"/>
        </w:rPr>
        <w:t xml:space="preserve"> habitual,</w:t>
      </w:r>
      <w:r w:rsidR="00ED5AC8">
        <w:rPr>
          <w:rFonts w:ascii="Calibri" w:hAnsi="Calibri" w:cs="Calibri"/>
          <w:sz w:val="24"/>
          <w:szCs w:val="24"/>
        </w:rPr>
        <w:t xml:space="preserve"> </w:t>
      </w:r>
      <w:r w:rsidR="008967A6">
        <w:rPr>
          <w:rFonts w:ascii="Calibri" w:hAnsi="Calibri" w:cs="Calibri"/>
          <w:sz w:val="24"/>
          <w:szCs w:val="24"/>
        </w:rPr>
        <w:t xml:space="preserve">além de valores de exercícios anteriores, em cobrança amigável. Os valores </w:t>
      </w:r>
      <w:r w:rsidR="006350A8">
        <w:rPr>
          <w:rFonts w:ascii="Calibri" w:hAnsi="Calibri" w:cs="Calibri"/>
          <w:sz w:val="24"/>
          <w:szCs w:val="24"/>
        </w:rPr>
        <w:t>do</w:t>
      </w:r>
      <w:r w:rsidR="008967A6">
        <w:rPr>
          <w:rFonts w:ascii="Calibri" w:hAnsi="Calibri" w:cs="Calibri"/>
          <w:sz w:val="24"/>
          <w:szCs w:val="24"/>
        </w:rPr>
        <w:t xml:space="preserve"> longo prazo, vencidos e não pagos desde julho de 1989, estão sendo cobrados </w:t>
      </w:r>
      <w:r>
        <w:rPr>
          <w:rFonts w:ascii="Calibri" w:hAnsi="Calibri" w:cs="Calibri"/>
          <w:sz w:val="24"/>
          <w:szCs w:val="24"/>
        </w:rPr>
        <w:t>pelo Município do Rio de J</w:t>
      </w:r>
      <w:r w:rsidR="00861B8E">
        <w:rPr>
          <w:rFonts w:ascii="Calibri" w:hAnsi="Calibri" w:cs="Calibri"/>
          <w:sz w:val="24"/>
          <w:szCs w:val="24"/>
        </w:rPr>
        <w:t>aneiro por meio de seis processos judiciais, em fase de execução, que tramitam na 12ª Vara da Fazenda Pública da Comarca da Capital.</w:t>
      </w:r>
    </w:p>
    <w:p w:rsidR="001C0FBF" w:rsidRDefault="002D5068" w:rsidP="00C16DDB">
      <w:pPr>
        <w:jc w:val="both"/>
        <w:rPr>
          <w:rFonts w:ascii="Calibri" w:hAnsi="Calibri" w:cs="Calibri"/>
          <w:sz w:val="24"/>
          <w:szCs w:val="24"/>
        </w:rPr>
      </w:pPr>
      <w:r>
        <w:rPr>
          <w:rFonts w:ascii="Calibri" w:hAnsi="Calibri" w:cs="Calibri"/>
          <w:sz w:val="24"/>
          <w:szCs w:val="24"/>
        </w:rPr>
        <w:t xml:space="preserve"> </w:t>
      </w:r>
    </w:p>
    <w:p w:rsidR="0011024F" w:rsidRDefault="001C0FBF" w:rsidP="00C16DDB">
      <w:pPr>
        <w:jc w:val="both"/>
        <w:rPr>
          <w:rFonts w:ascii="Calibri" w:hAnsi="Calibri" w:cs="Calibri"/>
          <w:sz w:val="24"/>
          <w:szCs w:val="24"/>
        </w:rPr>
      </w:pPr>
      <w:r>
        <w:rPr>
          <w:rFonts w:ascii="Calibri" w:hAnsi="Calibri" w:cs="Calibri"/>
          <w:sz w:val="24"/>
          <w:szCs w:val="24"/>
        </w:rPr>
        <w:t xml:space="preserve">Os </w:t>
      </w:r>
      <w:r w:rsidRPr="001C0FBF">
        <w:rPr>
          <w:rFonts w:ascii="Calibri" w:hAnsi="Calibri" w:cs="Calibri"/>
          <w:b/>
          <w:sz w:val="24"/>
          <w:szCs w:val="24"/>
        </w:rPr>
        <w:t xml:space="preserve">Parcelamentos </w:t>
      </w:r>
      <w:r w:rsidR="0011024F">
        <w:rPr>
          <w:rFonts w:ascii="Calibri" w:hAnsi="Calibri" w:cs="Calibri"/>
          <w:sz w:val="24"/>
          <w:szCs w:val="24"/>
        </w:rPr>
        <w:t>compreendem quatro modalidade</w:t>
      </w:r>
      <w:r>
        <w:rPr>
          <w:rFonts w:ascii="Calibri" w:hAnsi="Calibri" w:cs="Calibri"/>
          <w:sz w:val="24"/>
          <w:szCs w:val="24"/>
        </w:rPr>
        <w:t>s</w:t>
      </w:r>
      <w:r w:rsidR="0011024F">
        <w:rPr>
          <w:rFonts w:ascii="Calibri" w:hAnsi="Calibri" w:cs="Calibri"/>
          <w:sz w:val="24"/>
          <w:szCs w:val="24"/>
        </w:rPr>
        <w:t xml:space="preserve"> do</w:t>
      </w:r>
      <w:r>
        <w:rPr>
          <w:rFonts w:ascii="Calibri" w:hAnsi="Calibri" w:cs="Calibri"/>
          <w:sz w:val="24"/>
          <w:szCs w:val="24"/>
        </w:rPr>
        <w:t xml:space="preserve"> Programa Especial de Regularização Tributária – PERT</w:t>
      </w:r>
      <w:r w:rsidR="0011024F">
        <w:rPr>
          <w:rFonts w:ascii="Calibri" w:hAnsi="Calibri" w:cs="Calibri"/>
          <w:sz w:val="24"/>
          <w:szCs w:val="24"/>
        </w:rPr>
        <w:t xml:space="preserve">, cuja adesão ocorreu em 14 de novembro de 2017, </w:t>
      </w:r>
      <w:r w:rsidR="00ED4421">
        <w:rPr>
          <w:rFonts w:ascii="Calibri" w:hAnsi="Calibri" w:cs="Calibri"/>
          <w:sz w:val="24"/>
          <w:szCs w:val="24"/>
        </w:rPr>
        <w:t>dois</w:t>
      </w:r>
      <w:r w:rsidR="0011024F">
        <w:rPr>
          <w:rFonts w:ascii="Calibri" w:hAnsi="Calibri" w:cs="Calibri"/>
          <w:sz w:val="24"/>
          <w:szCs w:val="24"/>
        </w:rPr>
        <w:t xml:space="preserve"> </w:t>
      </w:r>
      <w:r w:rsidR="00ED4421">
        <w:rPr>
          <w:rFonts w:ascii="Calibri" w:hAnsi="Calibri" w:cs="Calibri"/>
          <w:sz w:val="24"/>
          <w:szCs w:val="24"/>
        </w:rPr>
        <w:t>p</w:t>
      </w:r>
      <w:r w:rsidR="0011024F">
        <w:rPr>
          <w:rFonts w:ascii="Calibri" w:hAnsi="Calibri" w:cs="Calibri"/>
          <w:sz w:val="24"/>
          <w:szCs w:val="24"/>
        </w:rPr>
        <w:t xml:space="preserve">arcelamentos </w:t>
      </w:r>
      <w:r w:rsidR="00ED4421">
        <w:rPr>
          <w:rFonts w:ascii="Calibri" w:hAnsi="Calibri" w:cs="Calibri"/>
          <w:sz w:val="24"/>
          <w:szCs w:val="24"/>
        </w:rPr>
        <w:t>o</w:t>
      </w:r>
      <w:r w:rsidR="0011024F">
        <w:rPr>
          <w:rFonts w:ascii="Calibri" w:hAnsi="Calibri" w:cs="Calibri"/>
          <w:sz w:val="24"/>
          <w:szCs w:val="24"/>
        </w:rPr>
        <w:t xml:space="preserve">rdinários </w:t>
      </w:r>
      <w:r w:rsidR="00ED4421">
        <w:rPr>
          <w:rFonts w:ascii="Calibri" w:hAnsi="Calibri" w:cs="Calibri"/>
          <w:sz w:val="24"/>
          <w:szCs w:val="24"/>
        </w:rPr>
        <w:t xml:space="preserve">– </w:t>
      </w:r>
      <w:r w:rsidR="0011024F">
        <w:rPr>
          <w:rFonts w:ascii="Calibri" w:hAnsi="Calibri" w:cs="Calibri"/>
          <w:sz w:val="24"/>
          <w:szCs w:val="24"/>
        </w:rPr>
        <w:t>Previdenciário</w:t>
      </w:r>
      <w:r w:rsidR="00ED4421">
        <w:rPr>
          <w:rFonts w:ascii="Calibri" w:hAnsi="Calibri" w:cs="Calibri"/>
          <w:sz w:val="24"/>
          <w:szCs w:val="24"/>
        </w:rPr>
        <w:t xml:space="preserve"> e</w:t>
      </w:r>
      <w:r w:rsidR="0011024F">
        <w:rPr>
          <w:rFonts w:ascii="Calibri" w:hAnsi="Calibri" w:cs="Calibri"/>
          <w:sz w:val="24"/>
          <w:szCs w:val="24"/>
        </w:rPr>
        <w:t xml:space="preserve"> PIS/COFINS, aderidos em 28 de maio de 2018 e 13 de julho de 2018, respectivamente, </w:t>
      </w:r>
      <w:r w:rsidR="00E71252">
        <w:rPr>
          <w:rFonts w:ascii="Calibri" w:hAnsi="Calibri" w:cs="Calibri"/>
          <w:sz w:val="24"/>
          <w:szCs w:val="24"/>
        </w:rPr>
        <w:t xml:space="preserve">um acordo com a PGFN – Negócio Jurídico Processual – assinado em 29 de maio de 2019, </w:t>
      </w:r>
      <w:r w:rsidR="0011024F">
        <w:rPr>
          <w:rFonts w:ascii="Calibri" w:hAnsi="Calibri" w:cs="Calibri"/>
          <w:sz w:val="24"/>
          <w:szCs w:val="24"/>
        </w:rPr>
        <w:t>dois p</w:t>
      </w:r>
      <w:r w:rsidR="00ED4421">
        <w:rPr>
          <w:rFonts w:ascii="Calibri" w:hAnsi="Calibri" w:cs="Calibri"/>
          <w:sz w:val="24"/>
          <w:szCs w:val="24"/>
        </w:rPr>
        <w:t>rocessos de pagamento mensal</w:t>
      </w:r>
      <w:r w:rsidR="00784D4D">
        <w:rPr>
          <w:rFonts w:ascii="Calibri" w:hAnsi="Calibri" w:cs="Calibri"/>
          <w:sz w:val="24"/>
          <w:szCs w:val="24"/>
        </w:rPr>
        <w:t xml:space="preserve"> de multas aplicadas pela ANTAQ e um acordo com o Município do Rio de Janeiro, relativo a IPTU.</w:t>
      </w:r>
    </w:p>
    <w:p w:rsidR="0011024F" w:rsidRDefault="0011024F" w:rsidP="00C16DDB">
      <w:pPr>
        <w:jc w:val="both"/>
        <w:rPr>
          <w:rFonts w:ascii="Calibri" w:hAnsi="Calibri" w:cs="Calibri"/>
          <w:sz w:val="24"/>
          <w:szCs w:val="24"/>
        </w:rPr>
      </w:pPr>
    </w:p>
    <w:p w:rsidR="0033356E" w:rsidRDefault="0033356E" w:rsidP="00C16DDB">
      <w:pPr>
        <w:jc w:val="both"/>
        <w:rPr>
          <w:rFonts w:ascii="Calibri" w:hAnsi="Calibri" w:cs="Calibri"/>
          <w:sz w:val="24"/>
          <w:szCs w:val="24"/>
        </w:rPr>
      </w:pPr>
      <w:r>
        <w:rPr>
          <w:rFonts w:ascii="Calibri" w:hAnsi="Calibri" w:cs="Calibri"/>
          <w:sz w:val="24"/>
          <w:szCs w:val="24"/>
        </w:rPr>
        <w:t xml:space="preserve">O </w:t>
      </w:r>
      <w:r w:rsidRPr="0033356E">
        <w:rPr>
          <w:rFonts w:ascii="Calibri" w:hAnsi="Calibri" w:cs="Calibri"/>
          <w:b/>
          <w:sz w:val="24"/>
          <w:szCs w:val="24"/>
        </w:rPr>
        <w:t>ATP</w:t>
      </w:r>
      <w:r>
        <w:rPr>
          <w:rFonts w:ascii="Calibri" w:hAnsi="Calibri" w:cs="Calibri"/>
          <w:sz w:val="24"/>
          <w:szCs w:val="24"/>
        </w:rPr>
        <w:t xml:space="preserve"> – Adicional de Tarifa Portuária</w:t>
      </w:r>
      <w:r w:rsidR="00AB389A">
        <w:rPr>
          <w:rFonts w:ascii="Calibri" w:hAnsi="Calibri" w:cs="Calibri"/>
          <w:sz w:val="24"/>
          <w:szCs w:val="24"/>
        </w:rPr>
        <w:t xml:space="preserve">, instituído pela Lei nº 7.700, de 21 de dezembro de 1988, tratava-se de cobrança de taxa cuja base de cálculo eram as operações </w:t>
      </w:r>
      <w:r w:rsidR="00DF66B7">
        <w:rPr>
          <w:rFonts w:ascii="Calibri" w:hAnsi="Calibri" w:cs="Calibri"/>
          <w:sz w:val="24"/>
          <w:szCs w:val="24"/>
        </w:rPr>
        <w:t>de importação e exportação</w:t>
      </w:r>
      <w:r w:rsidR="00AB389A">
        <w:rPr>
          <w:rFonts w:ascii="Calibri" w:hAnsi="Calibri" w:cs="Calibri"/>
          <w:sz w:val="24"/>
          <w:szCs w:val="24"/>
        </w:rPr>
        <w:t>, objeto do comércio na navegação de longo curso. A Lei nº 9.309, de 2 de outubro de 1996 revogou a supracitada Lei e, consequentemente, extinguiu a cobrança do adicional. O saldo permaneceu registrado contabilmente até 26/02/1999, quando a União efetuou transferência do valor aproximado de R$ 16,8 milhões para baixa parcial do passivo, tendo o aumento do Capital Social como contrapartida.</w:t>
      </w:r>
    </w:p>
    <w:p w:rsidR="001C4695" w:rsidRDefault="001C4695" w:rsidP="00C16DDB">
      <w:pPr>
        <w:jc w:val="both"/>
        <w:rPr>
          <w:rFonts w:ascii="Calibri" w:hAnsi="Calibri" w:cs="Calibri"/>
          <w:b/>
          <w:sz w:val="24"/>
          <w:szCs w:val="24"/>
        </w:rPr>
      </w:pPr>
    </w:p>
    <w:p w:rsidR="001C4695" w:rsidRDefault="001C4695" w:rsidP="00C16DDB">
      <w:pPr>
        <w:jc w:val="both"/>
        <w:rPr>
          <w:rFonts w:ascii="Calibri" w:hAnsi="Calibri" w:cs="Calibri"/>
          <w:b/>
          <w:sz w:val="24"/>
          <w:szCs w:val="24"/>
        </w:rPr>
      </w:pPr>
    </w:p>
    <w:p w:rsidR="00BA6DDB" w:rsidRDefault="00BA6DDB" w:rsidP="00C16DDB">
      <w:pPr>
        <w:jc w:val="both"/>
        <w:rPr>
          <w:rFonts w:ascii="Calibri" w:hAnsi="Calibri" w:cs="Calibri"/>
          <w:b/>
          <w:sz w:val="24"/>
          <w:szCs w:val="24"/>
        </w:rPr>
      </w:pPr>
    </w:p>
    <w:p w:rsidR="00BA6DDB" w:rsidRDefault="00BA6DDB" w:rsidP="00C16DDB">
      <w:pPr>
        <w:jc w:val="both"/>
        <w:rPr>
          <w:rFonts w:ascii="Calibri" w:hAnsi="Calibri" w:cs="Calibri"/>
          <w:b/>
          <w:sz w:val="24"/>
          <w:szCs w:val="24"/>
        </w:rPr>
      </w:pPr>
    </w:p>
    <w:p w:rsidR="00BA6DDB" w:rsidRPr="00312424" w:rsidRDefault="00BA6DDB" w:rsidP="00C16DDB">
      <w:pPr>
        <w:jc w:val="both"/>
        <w:rPr>
          <w:rFonts w:ascii="Calibri" w:hAnsi="Calibri" w:cs="Calibri"/>
          <w:b/>
          <w:sz w:val="24"/>
          <w:szCs w:val="24"/>
        </w:rPr>
      </w:pPr>
    </w:p>
    <w:p w:rsidR="00C16DDB" w:rsidRPr="00312424" w:rsidRDefault="005C4B73" w:rsidP="00C16DDB">
      <w:pPr>
        <w:jc w:val="both"/>
        <w:rPr>
          <w:rFonts w:ascii="Calibri" w:hAnsi="Calibri" w:cs="Calibri"/>
          <w:b/>
          <w:sz w:val="24"/>
          <w:szCs w:val="24"/>
          <w:u w:val="single"/>
        </w:rPr>
      </w:pPr>
      <w:r>
        <w:rPr>
          <w:rFonts w:ascii="Calibri" w:hAnsi="Calibri" w:cs="Calibri"/>
          <w:b/>
          <w:sz w:val="24"/>
          <w:szCs w:val="24"/>
        </w:rPr>
        <w:lastRenderedPageBreak/>
        <w:t>1</w:t>
      </w:r>
      <w:r w:rsidR="0043773C">
        <w:rPr>
          <w:rFonts w:ascii="Calibri" w:hAnsi="Calibri" w:cs="Calibri"/>
          <w:b/>
          <w:sz w:val="24"/>
          <w:szCs w:val="24"/>
        </w:rPr>
        <w:t>6</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OBRIGAÇÕES CONTRATUAIS</w:t>
      </w:r>
    </w:p>
    <w:p w:rsidR="00C16DDB" w:rsidRPr="00312424" w:rsidRDefault="00C16DDB" w:rsidP="00C16DDB">
      <w:pPr>
        <w:jc w:val="both"/>
        <w:rPr>
          <w:rFonts w:ascii="Calibri" w:hAnsi="Calibri" w:cs="Calibri"/>
          <w:b/>
          <w:sz w:val="24"/>
          <w:szCs w:val="24"/>
          <w:u w:val="single"/>
        </w:rPr>
      </w:pPr>
    </w:p>
    <w:p w:rsidR="00C16DDB" w:rsidRDefault="00C16DDB" w:rsidP="00C16DDB">
      <w:pPr>
        <w:jc w:val="both"/>
        <w:rPr>
          <w:rFonts w:ascii="Calibri" w:hAnsi="Calibri" w:cs="Calibri"/>
          <w:sz w:val="24"/>
          <w:szCs w:val="24"/>
        </w:rPr>
      </w:pPr>
      <w:r w:rsidRPr="00312424">
        <w:rPr>
          <w:rFonts w:ascii="Calibri" w:hAnsi="Calibri" w:cs="Calibri"/>
          <w:sz w:val="24"/>
          <w:szCs w:val="24"/>
        </w:rPr>
        <w:t>As obrigações contratuais</w:t>
      </w:r>
      <w:r w:rsidR="00972FE6">
        <w:rPr>
          <w:rFonts w:ascii="Calibri" w:hAnsi="Calibri" w:cs="Calibri"/>
          <w:sz w:val="24"/>
          <w:szCs w:val="24"/>
        </w:rPr>
        <w:t>,</w:t>
      </w:r>
      <w:r w:rsidRPr="00312424">
        <w:rPr>
          <w:rFonts w:ascii="Calibri" w:hAnsi="Calibri" w:cs="Calibri"/>
          <w:sz w:val="24"/>
          <w:szCs w:val="24"/>
        </w:rPr>
        <w:t xml:space="preserve"> incluídos os encargos e atualizações, quando aplicáveis, </w:t>
      </w:r>
      <w:r w:rsidR="00BF4639">
        <w:rPr>
          <w:rFonts w:ascii="Calibri" w:hAnsi="Calibri" w:cs="Calibri"/>
          <w:sz w:val="24"/>
          <w:szCs w:val="24"/>
        </w:rPr>
        <w:t xml:space="preserve">incorridos até a data do balanço, </w:t>
      </w:r>
      <w:r w:rsidR="005C4B73">
        <w:rPr>
          <w:rFonts w:ascii="Calibri" w:hAnsi="Calibri" w:cs="Calibri"/>
          <w:sz w:val="24"/>
          <w:szCs w:val="24"/>
        </w:rPr>
        <w:t>possuem a seguinte composição:</w:t>
      </w:r>
    </w:p>
    <w:p w:rsidR="005C4B73" w:rsidRDefault="005C4B73"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1A3B52" w:rsidRPr="001A3B52" w:rsidTr="00697525">
        <w:trPr>
          <w:trHeight w:val="284"/>
        </w:trPr>
        <w:tc>
          <w:tcPr>
            <w:tcW w:w="2860" w:type="dxa"/>
            <w:tcBorders>
              <w:top w:val="nil"/>
              <w:left w:val="nil"/>
              <w:bottom w:val="nil"/>
              <w:right w:val="single" w:sz="4" w:space="0" w:color="auto"/>
            </w:tcBorders>
            <w:shd w:val="clear" w:color="auto" w:fill="auto"/>
            <w:noWrap/>
            <w:vAlign w:val="bottom"/>
            <w:hideMark/>
          </w:tcPr>
          <w:p w:rsidR="001A3B52" w:rsidRPr="001A3B52" w:rsidRDefault="001A3B52" w:rsidP="001A3B5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B52" w:rsidRPr="001A3B52" w:rsidRDefault="001A3B52" w:rsidP="001A3B52">
            <w:pPr>
              <w:widowControl/>
              <w:jc w:val="center"/>
              <w:rPr>
                <w:rFonts w:ascii="Calibri" w:hAnsi="Calibri" w:cs="Calibri"/>
                <w:b/>
                <w:bCs/>
                <w:snapToGrid/>
                <w:color w:val="000000"/>
                <w:sz w:val="24"/>
                <w:szCs w:val="24"/>
              </w:rPr>
            </w:pPr>
            <w:r w:rsidRPr="001A3B52">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B52" w:rsidRPr="001A3B52" w:rsidRDefault="001A3B52" w:rsidP="001A3B52">
            <w:pPr>
              <w:widowControl/>
              <w:jc w:val="center"/>
              <w:rPr>
                <w:rFonts w:ascii="Calibri" w:hAnsi="Calibri" w:cs="Calibri"/>
                <w:b/>
                <w:bCs/>
                <w:snapToGrid/>
                <w:color w:val="000000"/>
                <w:sz w:val="24"/>
                <w:szCs w:val="24"/>
              </w:rPr>
            </w:pPr>
            <w:r w:rsidRPr="001A3B52">
              <w:rPr>
                <w:rFonts w:ascii="Calibri" w:hAnsi="Calibri" w:cs="Calibri"/>
                <w:b/>
                <w:bCs/>
                <w:snapToGrid/>
                <w:color w:val="000000"/>
                <w:sz w:val="24"/>
                <w:szCs w:val="24"/>
              </w:rPr>
              <w:t>Não Circulante</w:t>
            </w:r>
          </w:p>
        </w:tc>
      </w:tr>
      <w:tr w:rsidR="00C925D2" w:rsidRPr="001A3B52" w:rsidTr="00697525">
        <w:trPr>
          <w:trHeight w:val="284"/>
        </w:trPr>
        <w:tc>
          <w:tcPr>
            <w:tcW w:w="2860" w:type="dxa"/>
            <w:tcBorders>
              <w:top w:val="nil"/>
              <w:left w:val="nil"/>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snapToGrid/>
                <w:color w:val="000000"/>
                <w:sz w:val="24"/>
                <w:szCs w:val="24"/>
              </w:rPr>
            </w:pPr>
            <w:r w:rsidRPr="001A3B52">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C925D2"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snapToGrid/>
                <w:color w:val="000000"/>
                <w:sz w:val="24"/>
                <w:szCs w:val="24"/>
              </w:rPr>
            </w:pPr>
            <w:r>
              <w:rPr>
                <w:rFonts w:ascii="Calibri" w:hAnsi="Calibri" w:cs="Calibri"/>
                <w:snapToGrid/>
                <w:color w:val="000000"/>
                <w:sz w:val="24"/>
                <w:szCs w:val="24"/>
              </w:rPr>
              <w:t>Adiantamento de Cliente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3.043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2.979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C925D2"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snapToGrid/>
                <w:color w:val="000000"/>
                <w:sz w:val="24"/>
                <w:szCs w:val="24"/>
              </w:rPr>
            </w:pPr>
            <w:r w:rsidRPr="001A3B52">
              <w:rPr>
                <w:rFonts w:ascii="Calibri" w:hAnsi="Calibri" w:cs="Calibri"/>
                <w:snapToGrid/>
                <w:color w:val="000000"/>
                <w:sz w:val="24"/>
                <w:szCs w:val="24"/>
              </w:rPr>
              <w:t>Expansão Terminal 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18.438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14.994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27.452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34.850</w:t>
            </w:r>
          </w:p>
        </w:tc>
      </w:tr>
      <w:tr w:rsidR="00C925D2"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snapToGrid/>
                <w:color w:val="000000"/>
                <w:sz w:val="24"/>
                <w:szCs w:val="24"/>
              </w:rPr>
            </w:pPr>
            <w:r w:rsidRPr="001A3B52">
              <w:rPr>
                <w:rFonts w:ascii="Calibri" w:hAnsi="Calibri" w:cs="Calibri"/>
                <w:snapToGrid/>
                <w:color w:val="000000"/>
                <w:sz w:val="24"/>
                <w:szCs w:val="24"/>
              </w:rPr>
              <w:t>Cessão de Crédito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211.994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193.226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C925D2"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snapToGrid/>
                <w:color w:val="000000"/>
                <w:sz w:val="24"/>
                <w:szCs w:val="24"/>
              </w:rPr>
            </w:pPr>
            <w:r w:rsidRPr="001A3B52">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2.851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2.828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C925D2" w:rsidRPr="001A3B52"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rPr>
                <w:rFonts w:ascii="Calibri" w:hAnsi="Calibri" w:cs="Calibri"/>
                <w:b/>
                <w:bCs/>
                <w:snapToGrid/>
                <w:color w:val="000000"/>
                <w:sz w:val="24"/>
                <w:szCs w:val="24"/>
              </w:rPr>
            </w:pPr>
            <w:r w:rsidRPr="001A3B52">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236.326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214.027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5D2" w:rsidRPr="001A3B52" w:rsidRDefault="00C925D2" w:rsidP="00C925D2">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27.452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D2" w:rsidRPr="001A3B52" w:rsidRDefault="00C925D2" w:rsidP="00C925D2">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34.850</w:t>
            </w:r>
          </w:p>
        </w:tc>
      </w:tr>
    </w:tbl>
    <w:p w:rsidR="00F951DD" w:rsidRDefault="00F951DD" w:rsidP="00C16DDB">
      <w:pPr>
        <w:jc w:val="both"/>
        <w:rPr>
          <w:rFonts w:ascii="Calibri" w:hAnsi="Calibri" w:cs="Calibri"/>
          <w:sz w:val="24"/>
          <w:szCs w:val="24"/>
        </w:rPr>
      </w:pPr>
    </w:p>
    <w:p w:rsidR="008706A4" w:rsidRDefault="001B6C63" w:rsidP="00C16DDB">
      <w:pPr>
        <w:jc w:val="both"/>
        <w:rPr>
          <w:rFonts w:ascii="Calibri" w:hAnsi="Calibri" w:cs="Calibri"/>
          <w:sz w:val="24"/>
          <w:szCs w:val="24"/>
        </w:rPr>
      </w:pPr>
      <w:r>
        <w:rPr>
          <w:rFonts w:ascii="Calibri" w:hAnsi="Calibri" w:cs="Calibri"/>
          <w:sz w:val="24"/>
          <w:szCs w:val="24"/>
        </w:rPr>
        <w:t xml:space="preserve">A </w:t>
      </w:r>
      <w:r w:rsidRPr="001B6C63">
        <w:rPr>
          <w:rFonts w:ascii="Calibri" w:hAnsi="Calibri" w:cs="Calibri"/>
          <w:b/>
          <w:sz w:val="24"/>
          <w:szCs w:val="24"/>
        </w:rPr>
        <w:t>Expansão do Terminal</w:t>
      </w:r>
      <w:r>
        <w:rPr>
          <w:rFonts w:ascii="Calibri" w:hAnsi="Calibri" w:cs="Calibri"/>
          <w:sz w:val="24"/>
          <w:szCs w:val="24"/>
        </w:rPr>
        <w:t xml:space="preserve"> 1</w:t>
      </w:r>
      <w:r w:rsidR="00573368">
        <w:rPr>
          <w:rFonts w:ascii="Calibri" w:hAnsi="Calibri" w:cs="Calibri"/>
          <w:sz w:val="24"/>
          <w:szCs w:val="24"/>
        </w:rPr>
        <w:t xml:space="preserve"> constitui obrigação assumida com o Grupo Libra, referente às obras de ampliação </w:t>
      </w:r>
      <w:proofErr w:type="gramStart"/>
      <w:r w:rsidR="00573368">
        <w:rPr>
          <w:rFonts w:ascii="Calibri" w:hAnsi="Calibri" w:cs="Calibri"/>
          <w:sz w:val="24"/>
          <w:szCs w:val="24"/>
        </w:rPr>
        <w:t>do cais</w:t>
      </w:r>
      <w:proofErr w:type="gramEnd"/>
      <w:r w:rsidR="00573368">
        <w:rPr>
          <w:rFonts w:ascii="Calibri" w:hAnsi="Calibri" w:cs="Calibri"/>
          <w:sz w:val="24"/>
          <w:szCs w:val="24"/>
        </w:rPr>
        <w:t xml:space="preserve"> da área arrendada</w:t>
      </w:r>
      <w:r w:rsidR="00BF4639">
        <w:rPr>
          <w:rFonts w:ascii="Calibri" w:hAnsi="Calibri" w:cs="Calibri"/>
          <w:sz w:val="24"/>
          <w:szCs w:val="24"/>
        </w:rPr>
        <w:t xml:space="preserve"> (Terminal 1)</w:t>
      </w:r>
      <w:r w:rsidR="00573368">
        <w:rPr>
          <w:rFonts w:ascii="Calibri" w:hAnsi="Calibri" w:cs="Calibri"/>
          <w:sz w:val="24"/>
          <w:szCs w:val="24"/>
        </w:rPr>
        <w:t xml:space="preserve">. As obras, por força do </w:t>
      </w:r>
      <w:r w:rsidR="004730A3">
        <w:rPr>
          <w:rFonts w:ascii="Calibri" w:hAnsi="Calibri" w:cs="Calibri"/>
          <w:sz w:val="24"/>
          <w:szCs w:val="24"/>
        </w:rPr>
        <w:t xml:space="preserve">12º (décimo-segundo) Termo Aditivo ao Contrato C-DEPJUR nº 010/98, </w:t>
      </w:r>
      <w:r w:rsidR="00573368">
        <w:rPr>
          <w:rFonts w:ascii="Calibri" w:hAnsi="Calibri" w:cs="Calibri"/>
          <w:sz w:val="24"/>
          <w:szCs w:val="24"/>
        </w:rPr>
        <w:t>assinado em 1</w:t>
      </w:r>
      <w:r w:rsidR="004730A3">
        <w:rPr>
          <w:rFonts w:ascii="Calibri" w:hAnsi="Calibri" w:cs="Calibri"/>
          <w:sz w:val="24"/>
          <w:szCs w:val="24"/>
        </w:rPr>
        <w:t>6</w:t>
      </w:r>
      <w:r w:rsidR="00573368">
        <w:rPr>
          <w:rFonts w:ascii="Calibri" w:hAnsi="Calibri" w:cs="Calibri"/>
          <w:sz w:val="24"/>
          <w:szCs w:val="24"/>
        </w:rPr>
        <w:t xml:space="preserve"> de </w:t>
      </w:r>
      <w:r w:rsidR="004730A3">
        <w:rPr>
          <w:rFonts w:ascii="Calibri" w:hAnsi="Calibri" w:cs="Calibri"/>
          <w:sz w:val="24"/>
          <w:szCs w:val="24"/>
        </w:rPr>
        <w:t>setembro</w:t>
      </w:r>
      <w:r w:rsidR="00573368">
        <w:rPr>
          <w:rFonts w:ascii="Calibri" w:hAnsi="Calibri" w:cs="Calibri"/>
          <w:sz w:val="24"/>
          <w:szCs w:val="24"/>
        </w:rPr>
        <w:t xml:space="preserve"> de </w:t>
      </w:r>
      <w:r w:rsidR="004730A3">
        <w:rPr>
          <w:rFonts w:ascii="Calibri" w:hAnsi="Calibri" w:cs="Calibri"/>
          <w:sz w:val="24"/>
          <w:szCs w:val="24"/>
        </w:rPr>
        <w:t>2011</w:t>
      </w:r>
      <w:r w:rsidR="00573368">
        <w:rPr>
          <w:rFonts w:ascii="Calibri" w:hAnsi="Calibri" w:cs="Calibri"/>
          <w:sz w:val="24"/>
          <w:szCs w:val="24"/>
        </w:rPr>
        <w:t xml:space="preserve">, eram de responsabilidade da CDRJ, mas foram financiadas pela arrendatária. A Diretoria Executiva, em sua 2098ª reunião, realizada em 7 de outubro de 2014, deliberou pelo </w:t>
      </w:r>
      <w:r w:rsidR="008706A4">
        <w:rPr>
          <w:rFonts w:ascii="Calibri" w:hAnsi="Calibri" w:cs="Calibri"/>
          <w:sz w:val="24"/>
          <w:szCs w:val="24"/>
        </w:rPr>
        <w:t>ressarcimento das despesas</w:t>
      </w:r>
      <w:r w:rsidR="00BF4639">
        <w:rPr>
          <w:rFonts w:ascii="Calibri" w:hAnsi="Calibri" w:cs="Calibri"/>
          <w:sz w:val="24"/>
          <w:szCs w:val="24"/>
        </w:rPr>
        <w:t xml:space="preserve"> à arrendatária</w:t>
      </w:r>
      <w:r w:rsidR="008706A4">
        <w:rPr>
          <w:rFonts w:ascii="Calibri" w:hAnsi="Calibri" w:cs="Calibri"/>
          <w:sz w:val="24"/>
          <w:szCs w:val="24"/>
        </w:rPr>
        <w:t>. O término do contrato está previsto para 16 de janeiro de 2023.</w:t>
      </w:r>
      <w:r w:rsidR="00BF4639">
        <w:rPr>
          <w:rFonts w:ascii="Calibri" w:hAnsi="Calibri" w:cs="Calibri"/>
          <w:sz w:val="24"/>
          <w:szCs w:val="24"/>
        </w:rPr>
        <w:t xml:space="preserve"> A CDRJ vem amortizando, mensalmente, o saldo devedor do contrato por meio de compensações com valores devidos pela Libra, referentes à</w:t>
      </w:r>
      <w:r w:rsidR="00712984">
        <w:rPr>
          <w:rFonts w:ascii="Calibri" w:hAnsi="Calibri" w:cs="Calibri"/>
          <w:sz w:val="24"/>
          <w:szCs w:val="24"/>
        </w:rPr>
        <w:t>s</w:t>
      </w:r>
      <w:r w:rsidR="00BF4639">
        <w:rPr>
          <w:rFonts w:ascii="Calibri" w:hAnsi="Calibri" w:cs="Calibri"/>
          <w:sz w:val="24"/>
          <w:szCs w:val="24"/>
        </w:rPr>
        <w:t xml:space="preserve"> parte</w:t>
      </w:r>
      <w:r w:rsidR="00712984">
        <w:rPr>
          <w:rFonts w:ascii="Calibri" w:hAnsi="Calibri" w:cs="Calibri"/>
          <w:sz w:val="24"/>
          <w:szCs w:val="24"/>
        </w:rPr>
        <w:t>s</w:t>
      </w:r>
      <w:r w:rsidR="00BF4639">
        <w:rPr>
          <w:rFonts w:ascii="Calibri" w:hAnsi="Calibri" w:cs="Calibri"/>
          <w:sz w:val="24"/>
          <w:szCs w:val="24"/>
        </w:rPr>
        <w:t xml:space="preserve"> fixa e variável do arrendamento.</w:t>
      </w:r>
    </w:p>
    <w:p w:rsidR="00085185" w:rsidRDefault="00085185" w:rsidP="00C16DDB">
      <w:pPr>
        <w:jc w:val="both"/>
        <w:rPr>
          <w:rFonts w:ascii="Calibri" w:hAnsi="Calibri" w:cs="Calibri"/>
          <w:sz w:val="24"/>
          <w:szCs w:val="24"/>
        </w:rPr>
      </w:pPr>
    </w:p>
    <w:p w:rsidR="008706A4" w:rsidRDefault="0050742F" w:rsidP="00C16DDB">
      <w:pPr>
        <w:jc w:val="both"/>
        <w:rPr>
          <w:rFonts w:ascii="Calibri" w:hAnsi="Calibri" w:cs="Calibri"/>
          <w:sz w:val="24"/>
          <w:szCs w:val="24"/>
        </w:rPr>
      </w:pPr>
      <w:r>
        <w:rPr>
          <w:rFonts w:ascii="Calibri" w:hAnsi="Calibri" w:cs="Calibri"/>
          <w:sz w:val="24"/>
          <w:szCs w:val="24"/>
        </w:rPr>
        <w:t>A</w:t>
      </w:r>
      <w:r w:rsidR="008706A4">
        <w:rPr>
          <w:rFonts w:ascii="Calibri" w:hAnsi="Calibri" w:cs="Calibri"/>
          <w:sz w:val="24"/>
          <w:szCs w:val="24"/>
        </w:rPr>
        <w:t xml:space="preserve"> </w:t>
      </w:r>
      <w:r w:rsidR="008706A4" w:rsidRPr="0050742F">
        <w:rPr>
          <w:rFonts w:ascii="Calibri" w:hAnsi="Calibri" w:cs="Calibri"/>
          <w:b/>
          <w:sz w:val="24"/>
          <w:szCs w:val="24"/>
        </w:rPr>
        <w:t>Cessão de Crédito</w:t>
      </w:r>
      <w:r w:rsidR="008706A4">
        <w:rPr>
          <w:rFonts w:ascii="Calibri" w:hAnsi="Calibri" w:cs="Calibri"/>
          <w:sz w:val="24"/>
          <w:szCs w:val="24"/>
        </w:rPr>
        <w:t xml:space="preserve"> </w:t>
      </w:r>
      <w:r>
        <w:rPr>
          <w:rFonts w:ascii="Calibri" w:hAnsi="Calibri" w:cs="Calibri"/>
          <w:sz w:val="24"/>
          <w:szCs w:val="24"/>
        </w:rPr>
        <w:t>refere-se a</w:t>
      </w:r>
      <w:r w:rsidR="008706A4">
        <w:rPr>
          <w:rFonts w:ascii="Calibri" w:hAnsi="Calibri" w:cs="Calibri"/>
          <w:sz w:val="24"/>
          <w:szCs w:val="24"/>
        </w:rPr>
        <w:t xml:space="preserve">os contratos </w:t>
      </w:r>
      <w:r w:rsidR="00BF4639">
        <w:rPr>
          <w:rFonts w:ascii="Calibri" w:hAnsi="Calibri" w:cs="Calibri"/>
          <w:sz w:val="24"/>
          <w:szCs w:val="24"/>
        </w:rPr>
        <w:t xml:space="preserve">firmados entre a CDRJ e a União, </w:t>
      </w:r>
      <w:r w:rsidR="008706A4">
        <w:rPr>
          <w:rFonts w:ascii="Calibri" w:hAnsi="Calibri" w:cs="Calibri"/>
          <w:sz w:val="24"/>
          <w:szCs w:val="24"/>
        </w:rPr>
        <w:t>nos quais a CDRJ transferiu à União parte dos direitos de créditos decorrentes dos contratos de arrendamento firmados com a Libra Terminal Rio e Sepetiba Tecon, vencíveis até o exercício de 202</w:t>
      </w:r>
      <w:r w:rsidR="00712984">
        <w:rPr>
          <w:rFonts w:ascii="Calibri" w:hAnsi="Calibri" w:cs="Calibri"/>
          <w:sz w:val="24"/>
          <w:szCs w:val="24"/>
        </w:rPr>
        <w:t>5</w:t>
      </w:r>
      <w:r>
        <w:rPr>
          <w:rFonts w:ascii="Calibri" w:hAnsi="Calibri" w:cs="Calibri"/>
          <w:sz w:val="24"/>
          <w:szCs w:val="24"/>
        </w:rPr>
        <w:t xml:space="preserve">. A União efetuou o pagamento à CDRJ em Letras </w:t>
      </w:r>
      <w:r w:rsidR="00BF4639">
        <w:rPr>
          <w:rFonts w:ascii="Calibri" w:hAnsi="Calibri" w:cs="Calibri"/>
          <w:sz w:val="24"/>
          <w:szCs w:val="24"/>
        </w:rPr>
        <w:t xml:space="preserve">Financeiras </w:t>
      </w:r>
      <w:r>
        <w:rPr>
          <w:rFonts w:ascii="Calibri" w:hAnsi="Calibri" w:cs="Calibri"/>
          <w:sz w:val="24"/>
          <w:szCs w:val="24"/>
        </w:rPr>
        <w:t>do Tesouro Nacional, com objetivo exclusivo de quitação d</w:t>
      </w:r>
      <w:r w:rsidR="003E7F3A">
        <w:rPr>
          <w:rFonts w:ascii="Calibri" w:hAnsi="Calibri" w:cs="Calibri"/>
          <w:sz w:val="24"/>
          <w:szCs w:val="24"/>
        </w:rPr>
        <w:t>e</w:t>
      </w:r>
      <w:r>
        <w:rPr>
          <w:rFonts w:ascii="Calibri" w:hAnsi="Calibri" w:cs="Calibri"/>
          <w:sz w:val="24"/>
          <w:szCs w:val="24"/>
        </w:rPr>
        <w:t xml:space="preserve"> passivo trabalhista. Os valores contabilizados referem-se às parcelas não recolhidas</w:t>
      </w:r>
      <w:r w:rsidR="006350A8">
        <w:rPr>
          <w:rFonts w:ascii="Calibri" w:hAnsi="Calibri" w:cs="Calibri"/>
          <w:sz w:val="24"/>
          <w:szCs w:val="24"/>
        </w:rPr>
        <w:t>,</w:t>
      </w:r>
      <w:r>
        <w:rPr>
          <w:rFonts w:ascii="Calibri" w:hAnsi="Calibri" w:cs="Calibri"/>
          <w:sz w:val="24"/>
          <w:szCs w:val="24"/>
        </w:rPr>
        <w:t xml:space="preserve"> ou recolhidas parcialmente</w:t>
      </w:r>
      <w:r w:rsidR="006350A8">
        <w:rPr>
          <w:rFonts w:ascii="Calibri" w:hAnsi="Calibri" w:cs="Calibri"/>
          <w:sz w:val="24"/>
          <w:szCs w:val="24"/>
        </w:rPr>
        <w:t>,</w:t>
      </w:r>
      <w:r>
        <w:rPr>
          <w:rFonts w:ascii="Calibri" w:hAnsi="Calibri" w:cs="Calibri"/>
          <w:sz w:val="24"/>
          <w:szCs w:val="24"/>
        </w:rPr>
        <w:t xml:space="preserve"> e à atualização de valores pagos em atraso</w:t>
      </w:r>
      <w:r w:rsidR="003E7F3A">
        <w:rPr>
          <w:rFonts w:ascii="Calibri" w:hAnsi="Calibri" w:cs="Calibri"/>
          <w:sz w:val="24"/>
          <w:szCs w:val="24"/>
        </w:rPr>
        <w:t>.</w:t>
      </w:r>
    </w:p>
    <w:p w:rsidR="00BF4639" w:rsidRDefault="00BF4639" w:rsidP="00C16DDB">
      <w:pPr>
        <w:rPr>
          <w:rFonts w:ascii="Calibri" w:hAnsi="Calibri" w:cs="Calibri"/>
          <w:b/>
          <w:sz w:val="24"/>
          <w:szCs w:val="24"/>
        </w:rPr>
      </w:pPr>
    </w:p>
    <w:p w:rsidR="00BF4639" w:rsidRDefault="00BF4639" w:rsidP="00C16DDB">
      <w:pPr>
        <w:rPr>
          <w:rFonts w:ascii="Calibri" w:hAnsi="Calibri" w:cs="Calibri"/>
          <w:b/>
          <w:sz w:val="24"/>
          <w:szCs w:val="24"/>
        </w:rPr>
      </w:pPr>
    </w:p>
    <w:p w:rsidR="00C16DDB" w:rsidRPr="00312424" w:rsidRDefault="0050742F" w:rsidP="00C16DDB">
      <w:pPr>
        <w:rPr>
          <w:rFonts w:ascii="Calibri" w:hAnsi="Calibri" w:cs="Calibri"/>
          <w:b/>
          <w:sz w:val="24"/>
          <w:szCs w:val="24"/>
          <w:u w:val="single"/>
        </w:rPr>
      </w:pPr>
      <w:r>
        <w:rPr>
          <w:rFonts w:ascii="Calibri" w:hAnsi="Calibri" w:cs="Calibri"/>
          <w:b/>
          <w:sz w:val="24"/>
          <w:szCs w:val="24"/>
        </w:rPr>
        <w:t>1</w:t>
      </w:r>
      <w:r w:rsidR="0043773C">
        <w:rPr>
          <w:rFonts w:ascii="Calibri" w:hAnsi="Calibri" w:cs="Calibri"/>
          <w:b/>
          <w:sz w:val="24"/>
          <w:szCs w:val="24"/>
        </w:rPr>
        <w:t>7</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BENEFÍCIOS PÓS-EMPREGO</w:t>
      </w:r>
    </w:p>
    <w:p w:rsidR="00C16DDB" w:rsidRDefault="00C16DDB" w:rsidP="00C16DDB">
      <w:pPr>
        <w:rPr>
          <w:rFonts w:ascii="Calibri" w:hAnsi="Calibri" w:cs="Calibri"/>
          <w:b/>
          <w:sz w:val="24"/>
          <w:szCs w:val="24"/>
          <w:u w:val="single"/>
        </w:rPr>
      </w:pPr>
    </w:p>
    <w:p w:rsidR="00E70A67" w:rsidRDefault="00E70A67" w:rsidP="00E70A67">
      <w:pPr>
        <w:jc w:val="both"/>
        <w:rPr>
          <w:rFonts w:ascii="Calibri" w:hAnsi="Calibri" w:cs="Calibri"/>
          <w:sz w:val="24"/>
          <w:szCs w:val="24"/>
        </w:rPr>
      </w:pPr>
      <w:r w:rsidRPr="00312424">
        <w:rPr>
          <w:rFonts w:ascii="Calibri" w:hAnsi="Calibri" w:cs="Calibri"/>
          <w:sz w:val="24"/>
          <w:szCs w:val="24"/>
        </w:rPr>
        <w:t>A CDRJ é patrocinadora</w:t>
      </w:r>
      <w:r>
        <w:rPr>
          <w:rFonts w:ascii="Calibri" w:hAnsi="Calibri" w:cs="Calibri"/>
          <w:sz w:val="24"/>
          <w:szCs w:val="24"/>
        </w:rPr>
        <w:t>,</w:t>
      </w:r>
      <w:r w:rsidRPr="00312424">
        <w:rPr>
          <w:rFonts w:ascii="Calibri" w:hAnsi="Calibri" w:cs="Calibri"/>
          <w:sz w:val="24"/>
          <w:szCs w:val="24"/>
        </w:rPr>
        <w:t xml:space="preserve"> em conjunto com as demais empresas do sistema portuário</w:t>
      </w:r>
      <w:r>
        <w:rPr>
          <w:rFonts w:ascii="Calibri" w:hAnsi="Calibri" w:cs="Calibri"/>
          <w:sz w:val="24"/>
          <w:szCs w:val="24"/>
        </w:rPr>
        <w:t>,</w:t>
      </w:r>
      <w:r w:rsidRPr="00312424">
        <w:rPr>
          <w:rFonts w:ascii="Calibri" w:hAnsi="Calibri" w:cs="Calibri"/>
          <w:sz w:val="24"/>
          <w:szCs w:val="24"/>
        </w:rPr>
        <w:t xml:space="preserve"> de </w:t>
      </w:r>
      <w:r>
        <w:rPr>
          <w:rFonts w:ascii="Calibri" w:hAnsi="Calibri" w:cs="Calibri"/>
          <w:sz w:val="24"/>
          <w:szCs w:val="24"/>
        </w:rPr>
        <w:t xml:space="preserve">um </w:t>
      </w:r>
      <w:r w:rsidRPr="00312424">
        <w:rPr>
          <w:rFonts w:ascii="Calibri" w:hAnsi="Calibri" w:cs="Calibri"/>
          <w:sz w:val="24"/>
          <w:szCs w:val="24"/>
        </w:rPr>
        <w:t xml:space="preserve">plano de suplementação de aposentadoria </w:t>
      </w:r>
      <w:r>
        <w:rPr>
          <w:rFonts w:ascii="Calibri" w:hAnsi="Calibri" w:cs="Calibri"/>
          <w:sz w:val="24"/>
          <w:szCs w:val="24"/>
        </w:rPr>
        <w:t>d</w:t>
      </w:r>
      <w:r w:rsidRPr="00312424">
        <w:rPr>
          <w:rFonts w:ascii="Calibri" w:hAnsi="Calibri" w:cs="Calibri"/>
          <w:sz w:val="24"/>
          <w:szCs w:val="24"/>
        </w:rPr>
        <w:t xml:space="preserve">e </w:t>
      </w:r>
      <w:r>
        <w:rPr>
          <w:rFonts w:ascii="Calibri" w:hAnsi="Calibri" w:cs="Calibri"/>
          <w:sz w:val="24"/>
          <w:szCs w:val="24"/>
        </w:rPr>
        <w:t xml:space="preserve">seus empregados e beneficiários. Este fundo, do tipo “benefício definido”, é administrado pelo </w:t>
      </w:r>
      <w:proofErr w:type="spellStart"/>
      <w:r>
        <w:rPr>
          <w:rFonts w:ascii="Calibri" w:hAnsi="Calibri" w:cs="Calibri"/>
          <w:sz w:val="24"/>
          <w:szCs w:val="24"/>
        </w:rPr>
        <w:t>Portus</w:t>
      </w:r>
      <w:proofErr w:type="spellEnd"/>
      <w:r>
        <w:rPr>
          <w:rFonts w:ascii="Calibri" w:hAnsi="Calibri" w:cs="Calibri"/>
          <w:sz w:val="24"/>
          <w:szCs w:val="24"/>
        </w:rPr>
        <w:t xml:space="preserve"> </w:t>
      </w:r>
      <w:r w:rsidRPr="00312424">
        <w:rPr>
          <w:rFonts w:ascii="Calibri" w:hAnsi="Calibri" w:cs="Calibri"/>
          <w:sz w:val="24"/>
          <w:szCs w:val="24"/>
        </w:rPr>
        <w:t xml:space="preserve">– Instituto de Seguridade Social, entidade </w:t>
      </w:r>
      <w:r w:rsidR="00D83D81">
        <w:rPr>
          <w:rFonts w:ascii="Calibri" w:hAnsi="Calibri" w:cs="Calibri"/>
          <w:sz w:val="24"/>
          <w:szCs w:val="24"/>
        </w:rPr>
        <w:t xml:space="preserve">fechada </w:t>
      </w:r>
      <w:r w:rsidRPr="00312424">
        <w:rPr>
          <w:rFonts w:ascii="Calibri" w:hAnsi="Calibri" w:cs="Calibri"/>
          <w:sz w:val="24"/>
          <w:szCs w:val="24"/>
        </w:rPr>
        <w:t xml:space="preserve">de previdência </w:t>
      </w:r>
      <w:r>
        <w:rPr>
          <w:rFonts w:ascii="Calibri" w:hAnsi="Calibri" w:cs="Calibri"/>
          <w:sz w:val="24"/>
          <w:szCs w:val="24"/>
        </w:rPr>
        <w:t>complementar</w:t>
      </w:r>
      <w:r w:rsidR="00D83D81">
        <w:rPr>
          <w:rFonts w:ascii="Calibri" w:hAnsi="Calibri" w:cs="Calibri"/>
          <w:sz w:val="24"/>
          <w:szCs w:val="24"/>
        </w:rPr>
        <w:t xml:space="preserve"> sem fins lucrativos</w:t>
      </w:r>
      <w:r w:rsidRPr="00312424">
        <w:rPr>
          <w:rFonts w:ascii="Calibri" w:hAnsi="Calibri" w:cs="Calibri"/>
          <w:sz w:val="24"/>
          <w:szCs w:val="24"/>
        </w:rPr>
        <w:t xml:space="preserve">, </w:t>
      </w:r>
      <w:r w:rsidR="00D83D81">
        <w:rPr>
          <w:rFonts w:ascii="Calibri" w:hAnsi="Calibri" w:cs="Calibri"/>
          <w:sz w:val="24"/>
          <w:szCs w:val="24"/>
        </w:rPr>
        <w:t xml:space="preserve">de direito privado, com autonomia administrativa e financeira, </w:t>
      </w:r>
      <w:r w:rsidRPr="00312424">
        <w:rPr>
          <w:rFonts w:ascii="Calibri" w:hAnsi="Calibri" w:cs="Calibri"/>
          <w:sz w:val="24"/>
          <w:szCs w:val="24"/>
        </w:rPr>
        <w:t>fiscalizada pel</w:t>
      </w:r>
      <w:r w:rsidR="00D83D81">
        <w:rPr>
          <w:rFonts w:ascii="Calibri" w:hAnsi="Calibri" w:cs="Calibri"/>
          <w:sz w:val="24"/>
          <w:szCs w:val="24"/>
        </w:rPr>
        <w:t>o órgão de supervisão dos fundos de pensão – PREVIC – Superintendência Nacional de Previdência Complementar vinculada ao Ministério da Fazenda.</w:t>
      </w:r>
      <w:r w:rsidRPr="00312424">
        <w:rPr>
          <w:rFonts w:ascii="Calibri" w:hAnsi="Calibri" w:cs="Calibri"/>
          <w:sz w:val="24"/>
          <w:szCs w:val="24"/>
        </w:rPr>
        <w:t xml:space="preserve"> </w:t>
      </w:r>
      <w:r>
        <w:rPr>
          <w:rFonts w:ascii="Calibri" w:hAnsi="Calibri" w:cs="Calibri"/>
          <w:sz w:val="24"/>
          <w:szCs w:val="24"/>
        </w:rPr>
        <w:t>A CDRJ contribui com uma parcela mensal sobre a massa de salários dos empregados participantes, paritária aos valores por eles recolhidos.</w:t>
      </w:r>
    </w:p>
    <w:p w:rsidR="00D83D81" w:rsidRDefault="00D83D81" w:rsidP="00E70A67">
      <w:pPr>
        <w:jc w:val="both"/>
        <w:rPr>
          <w:rFonts w:ascii="Calibri" w:hAnsi="Calibri" w:cs="Calibri"/>
          <w:sz w:val="24"/>
          <w:szCs w:val="24"/>
        </w:rPr>
      </w:pPr>
    </w:p>
    <w:p w:rsidR="00D83D81" w:rsidRDefault="00D83D81" w:rsidP="00E70A67">
      <w:pPr>
        <w:jc w:val="both"/>
        <w:rPr>
          <w:rFonts w:ascii="Calibri" w:hAnsi="Calibri" w:cs="Calibri"/>
          <w:sz w:val="24"/>
          <w:szCs w:val="24"/>
        </w:rPr>
      </w:pPr>
      <w:r>
        <w:rPr>
          <w:rFonts w:ascii="Calibri" w:hAnsi="Calibri" w:cs="Calibri"/>
          <w:sz w:val="24"/>
          <w:szCs w:val="24"/>
        </w:rPr>
        <w:t xml:space="preserve">O </w:t>
      </w:r>
      <w:proofErr w:type="spellStart"/>
      <w:r>
        <w:rPr>
          <w:rFonts w:ascii="Calibri" w:hAnsi="Calibri" w:cs="Calibri"/>
          <w:sz w:val="24"/>
          <w:szCs w:val="24"/>
        </w:rPr>
        <w:t>Portus</w:t>
      </w:r>
      <w:proofErr w:type="spellEnd"/>
      <w:r>
        <w:rPr>
          <w:rFonts w:ascii="Calibri" w:hAnsi="Calibri" w:cs="Calibri"/>
          <w:sz w:val="24"/>
          <w:szCs w:val="24"/>
        </w:rPr>
        <w:t xml:space="preserve"> está sob intervenção federal decretada pela Diretoria Colegiada da Superintendência Nacional de Previdência Complementar – PREVIC, em 22 de agosto de 2011, por meio da Portaria nº 459, publicada no Diário Oficial da União – DOU de 23 de agosto de 2011.</w:t>
      </w:r>
    </w:p>
    <w:p w:rsidR="001C4695" w:rsidRDefault="001C4695" w:rsidP="00E70A67">
      <w:pPr>
        <w:jc w:val="both"/>
        <w:rPr>
          <w:rFonts w:ascii="Calibri" w:hAnsi="Calibri" w:cs="Calibri"/>
          <w:sz w:val="24"/>
          <w:szCs w:val="24"/>
        </w:rPr>
      </w:pPr>
    </w:p>
    <w:p w:rsidR="00BA6DDB" w:rsidRDefault="00BA6DDB" w:rsidP="00E70A67">
      <w:pPr>
        <w:jc w:val="both"/>
        <w:rPr>
          <w:rFonts w:ascii="Calibri" w:hAnsi="Calibri" w:cs="Calibri"/>
          <w:sz w:val="24"/>
          <w:szCs w:val="24"/>
        </w:rPr>
      </w:pPr>
    </w:p>
    <w:p w:rsidR="00E70A67" w:rsidRDefault="00E70A67" w:rsidP="00E70A67">
      <w:pPr>
        <w:jc w:val="both"/>
        <w:rPr>
          <w:rFonts w:ascii="Calibri" w:hAnsi="Calibri" w:cs="Calibri"/>
          <w:sz w:val="24"/>
          <w:szCs w:val="24"/>
        </w:rPr>
      </w:pPr>
      <w:r w:rsidRPr="00312424">
        <w:rPr>
          <w:rFonts w:ascii="Calibri" w:hAnsi="Calibri" w:cs="Calibri"/>
          <w:sz w:val="24"/>
          <w:szCs w:val="24"/>
        </w:rPr>
        <w:lastRenderedPageBreak/>
        <w:t xml:space="preserve">A CDRJ e o PORTUS – Instituto de Seguridade Social assinaram, no dia 1º de outubro de 2015, termo de confissão de dívidas, com indicação de forma de pagamento de contribuição patronal. O acordo foi consequência da criação, pela Presidência da República, de um grupo de trabalho com a finalidade de apurar a dívida das patrocinadoras com o </w:t>
      </w:r>
      <w:proofErr w:type="spellStart"/>
      <w:r w:rsidRPr="00312424">
        <w:rPr>
          <w:rFonts w:ascii="Calibri" w:hAnsi="Calibri" w:cs="Calibri"/>
          <w:sz w:val="24"/>
          <w:szCs w:val="24"/>
        </w:rPr>
        <w:t>Portus</w:t>
      </w:r>
      <w:proofErr w:type="spellEnd"/>
      <w:r w:rsidRPr="00312424">
        <w:rPr>
          <w:rFonts w:ascii="Calibri" w:hAnsi="Calibri" w:cs="Calibri"/>
          <w:sz w:val="24"/>
          <w:szCs w:val="24"/>
        </w:rPr>
        <w:t xml:space="preserve">. </w:t>
      </w:r>
      <w:r w:rsidR="009E33A7">
        <w:rPr>
          <w:rFonts w:ascii="Calibri" w:hAnsi="Calibri" w:cs="Calibri"/>
          <w:sz w:val="24"/>
          <w:szCs w:val="24"/>
        </w:rPr>
        <w:t>Entretanto, os repasses da União ocorreram apenas no exercício de 2016 e não foram suficientes pa</w:t>
      </w:r>
      <w:r w:rsidR="00D414A4">
        <w:rPr>
          <w:rFonts w:ascii="Calibri" w:hAnsi="Calibri" w:cs="Calibri"/>
          <w:sz w:val="24"/>
          <w:szCs w:val="24"/>
        </w:rPr>
        <w:t xml:space="preserve">ra liquidar o débito confessado, </w:t>
      </w:r>
      <w:r w:rsidR="00BC027A">
        <w:rPr>
          <w:rFonts w:ascii="Calibri" w:hAnsi="Calibri" w:cs="Calibri"/>
          <w:sz w:val="24"/>
          <w:szCs w:val="24"/>
        </w:rPr>
        <w:t xml:space="preserve">o </w:t>
      </w:r>
      <w:r w:rsidR="00D414A4">
        <w:rPr>
          <w:rFonts w:ascii="Calibri" w:hAnsi="Calibri" w:cs="Calibri"/>
          <w:sz w:val="24"/>
          <w:szCs w:val="24"/>
        </w:rPr>
        <w:t>qu</w:t>
      </w:r>
      <w:r w:rsidR="00BC027A">
        <w:rPr>
          <w:rFonts w:ascii="Calibri" w:hAnsi="Calibri" w:cs="Calibri"/>
          <w:sz w:val="24"/>
          <w:szCs w:val="24"/>
        </w:rPr>
        <w:t>al</w:t>
      </w:r>
      <w:r w:rsidR="00D414A4">
        <w:rPr>
          <w:rFonts w:ascii="Calibri" w:hAnsi="Calibri" w:cs="Calibri"/>
          <w:sz w:val="24"/>
          <w:szCs w:val="24"/>
        </w:rPr>
        <w:t xml:space="preserve"> vem sendo discutido judicialmente.</w:t>
      </w:r>
    </w:p>
    <w:p w:rsidR="00032785" w:rsidRDefault="00032785" w:rsidP="00E70A67">
      <w:pPr>
        <w:jc w:val="both"/>
        <w:rPr>
          <w:rFonts w:ascii="Calibri" w:hAnsi="Calibri" w:cs="Calibri"/>
          <w:sz w:val="24"/>
          <w:szCs w:val="24"/>
        </w:rPr>
      </w:pPr>
    </w:p>
    <w:p w:rsidR="00032785" w:rsidRDefault="00032785" w:rsidP="00E70A67">
      <w:pPr>
        <w:jc w:val="both"/>
        <w:rPr>
          <w:rFonts w:ascii="Calibri" w:hAnsi="Calibri" w:cs="Calibri"/>
          <w:sz w:val="24"/>
          <w:szCs w:val="24"/>
        </w:rPr>
      </w:pPr>
      <w:r>
        <w:rPr>
          <w:rFonts w:ascii="Calibri" w:hAnsi="Calibri" w:cs="Calibri"/>
          <w:sz w:val="24"/>
          <w:szCs w:val="24"/>
        </w:rPr>
        <w:t>Os processos judiciais são os seguintes:</w:t>
      </w:r>
    </w:p>
    <w:p w:rsidR="00032785" w:rsidRDefault="00DD1114" w:rsidP="00E70A67">
      <w:pPr>
        <w:jc w:val="both"/>
        <w:rPr>
          <w:rFonts w:ascii="Calibri" w:hAnsi="Calibri" w:cs="Calibri"/>
          <w:sz w:val="24"/>
          <w:szCs w:val="24"/>
        </w:rPr>
      </w:pPr>
      <w:r>
        <w:rPr>
          <w:rFonts w:ascii="Calibri" w:hAnsi="Calibri" w:cs="Calibri"/>
          <w:sz w:val="24"/>
          <w:szCs w:val="24"/>
        </w:rPr>
        <w:t>0022472-95.1997.8.19.0001 – 26ª Vara Cível</w:t>
      </w:r>
    </w:p>
    <w:p w:rsidR="00DD1114" w:rsidRDefault="00DD1114" w:rsidP="00E70A67">
      <w:pPr>
        <w:jc w:val="both"/>
        <w:rPr>
          <w:rFonts w:ascii="Calibri" w:hAnsi="Calibri" w:cs="Calibri"/>
          <w:sz w:val="24"/>
          <w:szCs w:val="24"/>
        </w:rPr>
      </w:pPr>
      <w:r>
        <w:rPr>
          <w:rFonts w:ascii="Calibri" w:hAnsi="Calibri" w:cs="Calibri"/>
          <w:sz w:val="24"/>
          <w:szCs w:val="24"/>
        </w:rPr>
        <w:t>0148310-43.2000.8.19.0001 – 49ª Vara Cível</w:t>
      </w:r>
    </w:p>
    <w:p w:rsidR="00DD1114" w:rsidRDefault="00DD1114" w:rsidP="00E70A67">
      <w:pPr>
        <w:jc w:val="both"/>
        <w:rPr>
          <w:rFonts w:ascii="Calibri" w:hAnsi="Calibri" w:cs="Calibri"/>
          <w:sz w:val="24"/>
          <w:szCs w:val="24"/>
        </w:rPr>
      </w:pPr>
      <w:r>
        <w:rPr>
          <w:rFonts w:ascii="Calibri" w:hAnsi="Calibri" w:cs="Calibri"/>
          <w:sz w:val="24"/>
          <w:szCs w:val="24"/>
        </w:rPr>
        <w:t>0019587-82.2013.4.02.5101 – 18ª Vara Federal</w:t>
      </w:r>
    </w:p>
    <w:p w:rsidR="00DD1114" w:rsidRDefault="00DD1114" w:rsidP="00E70A67">
      <w:pPr>
        <w:jc w:val="both"/>
        <w:rPr>
          <w:rFonts w:ascii="Calibri" w:hAnsi="Calibri" w:cs="Calibri"/>
          <w:sz w:val="24"/>
          <w:szCs w:val="24"/>
        </w:rPr>
      </w:pPr>
      <w:r>
        <w:rPr>
          <w:rFonts w:ascii="Calibri" w:hAnsi="Calibri" w:cs="Calibri"/>
          <w:sz w:val="24"/>
          <w:szCs w:val="24"/>
        </w:rPr>
        <w:t>5028671-12.2019.4.02.5101 – 1ª Vara Federal</w:t>
      </w:r>
    </w:p>
    <w:p w:rsidR="00F55A87" w:rsidRDefault="00F55A87" w:rsidP="00E70A67">
      <w:pPr>
        <w:jc w:val="both"/>
        <w:rPr>
          <w:rFonts w:ascii="Calibri" w:hAnsi="Calibri" w:cs="Calibri"/>
          <w:sz w:val="24"/>
          <w:szCs w:val="24"/>
        </w:rPr>
      </w:pPr>
    </w:p>
    <w:p w:rsidR="00DD1114" w:rsidRDefault="00DD1114" w:rsidP="00E70A67">
      <w:pPr>
        <w:jc w:val="both"/>
        <w:rPr>
          <w:rFonts w:ascii="Calibri" w:hAnsi="Calibri" w:cs="Calibri"/>
          <w:sz w:val="24"/>
          <w:szCs w:val="24"/>
        </w:rPr>
      </w:pPr>
    </w:p>
    <w:p w:rsidR="009E33A7" w:rsidRDefault="009E33A7" w:rsidP="00E70A67">
      <w:pPr>
        <w:jc w:val="both"/>
        <w:rPr>
          <w:rFonts w:ascii="Calibri" w:hAnsi="Calibri" w:cs="Calibri"/>
          <w:sz w:val="24"/>
          <w:szCs w:val="24"/>
        </w:rPr>
      </w:pPr>
      <w:r>
        <w:rPr>
          <w:rFonts w:ascii="Calibri" w:hAnsi="Calibri" w:cs="Calibri"/>
          <w:sz w:val="24"/>
          <w:szCs w:val="24"/>
        </w:rPr>
        <w:t>As contas possuem a seguinte composição:</w:t>
      </w:r>
    </w:p>
    <w:p w:rsidR="00535C43" w:rsidRDefault="00535C43" w:rsidP="00E70A67">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547369" w:rsidRPr="00547369" w:rsidTr="00697525">
        <w:trPr>
          <w:trHeight w:val="284"/>
        </w:trPr>
        <w:tc>
          <w:tcPr>
            <w:tcW w:w="2860" w:type="dxa"/>
            <w:tcBorders>
              <w:top w:val="nil"/>
              <w:left w:val="nil"/>
              <w:bottom w:val="nil"/>
              <w:right w:val="single" w:sz="4" w:space="0" w:color="auto"/>
            </w:tcBorders>
            <w:shd w:val="clear" w:color="auto" w:fill="auto"/>
            <w:noWrap/>
            <w:vAlign w:val="bottom"/>
            <w:hideMark/>
          </w:tcPr>
          <w:p w:rsidR="00547369" w:rsidRPr="00547369" w:rsidRDefault="00547369" w:rsidP="00547369">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69" w:rsidRPr="00547369" w:rsidRDefault="00547369" w:rsidP="00547369">
            <w:pPr>
              <w:widowControl/>
              <w:jc w:val="center"/>
              <w:rPr>
                <w:rFonts w:ascii="Calibri" w:hAnsi="Calibri" w:cs="Calibri"/>
                <w:b/>
                <w:bCs/>
                <w:snapToGrid/>
                <w:color w:val="000000"/>
                <w:sz w:val="24"/>
                <w:szCs w:val="24"/>
              </w:rPr>
            </w:pPr>
            <w:r w:rsidRPr="00547369">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69" w:rsidRPr="00547369" w:rsidRDefault="00547369" w:rsidP="00547369">
            <w:pPr>
              <w:widowControl/>
              <w:jc w:val="center"/>
              <w:rPr>
                <w:rFonts w:ascii="Calibri" w:hAnsi="Calibri" w:cs="Calibri"/>
                <w:b/>
                <w:bCs/>
                <w:snapToGrid/>
                <w:color w:val="000000"/>
                <w:sz w:val="24"/>
                <w:szCs w:val="24"/>
              </w:rPr>
            </w:pPr>
            <w:r w:rsidRPr="00547369">
              <w:rPr>
                <w:rFonts w:ascii="Calibri" w:hAnsi="Calibri" w:cs="Calibri"/>
                <w:b/>
                <w:bCs/>
                <w:snapToGrid/>
                <w:color w:val="000000"/>
                <w:sz w:val="24"/>
                <w:szCs w:val="24"/>
              </w:rPr>
              <w:t>Não Circulante</w:t>
            </w:r>
          </w:p>
        </w:tc>
      </w:tr>
      <w:tr w:rsidR="00BC027A" w:rsidRPr="00547369" w:rsidTr="00787A16">
        <w:trPr>
          <w:trHeight w:val="284"/>
        </w:trPr>
        <w:tc>
          <w:tcPr>
            <w:tcW w:w="2860" w:type="dxa"/>
            <w:tcBorders>
              <w:top w:val="nil"/>
              <w:left w:val="nil"/>
              <w:bottom w:val="single" w:sz="4" w:space="0" w:color="auto"/>
              <w:right w:val="single" w:sz="4" w:space="0" w:color="auto"/>
            </w:tcBorders>
            <w:shd w:val="clear" w:color="auto" w:fill="auto"/>
            <w:noWrap/>
            <w:vAlign w:val="center"/>
            <w:hideMark/>
          </w:tcPr>
          <w:p w:rsidR="00BC027A" w:rsidRPr="00547369" w:rsidRDefault="00BC027A" w:rsidP="00BC027A">
            <w:pPr>
              <w:widowControl/>
              <w:rPr>
                <w:rFonts w:ascii="Calibri" w:hAnsi="Calibri" w:cs="Calibri"/>
                <w:snapToGrid/>
                <w:color w:val="000000"/>
                <w:sz w:val="24"/>
                <w:szCs w:val="24"/>
              </w:rPr>
            </w:pPr>
            <w:r w:rsidRPr="00547369">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27A" w:rsidRPr="00547369"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27A" w:rsidRPr="00547369"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27A" w:rsidRPr="00547369"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27A" w:rsidRPr="00547369"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BC027A" w:rsidRPr="00547369" w:rsidTr="00D414A4">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rPr>
                <w:rFonts w:ascii="Calibri" w:hAnsi="Calibri" w:cs="Calibri"/>
                <w:snapToGrid/>
                <w:color w:val="000000"/>
                <w:sz w:val="24"/>
                <w:szCs w:val="24"/>
              </w:rPr>
            </w:pPr>
            <w:r w:rsidRPr="00547369">
              <w:rPr>
                <w:rFonts w:ascii="Calibri" w:hAnsi="Calibri" w:cs="Calibri"/>
                <w:snapToGrid/>
                <w:color w:val="000000"/>
                <w:sz w:val="24"/>
                <w:szCs w:val="24"/>
              </w:rPr>
              <w:t>Contribuições Correntes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654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1.797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BC027A" w:rsidRPr="00547369" w:rsidTr="00D414A4">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rPr>
                <w:rFonts w:ascii="Calibri" w:hAnsi="Calibri" w:cs="Calibri"/>
                <w:snapToGrid/>
                <w:color w:val="000000"/>
                <w:sz w:val="24"/>
                <w:szCs w:val="24"/>
              </w:rPr>
            </w:pPr>
            <w:r w:rsidRPr="00547369">
              <w:rPr>
                <w:rFonts w:ascii="Calibri" w:hAnsi="Calibri" w:cs="Calibri"/>
                <w:snapToGrid/>
                <w:color w:val="000000"/>
                <w:sz w:val="24"/>
                <w:szCs w:val="24"/>
              </w:rPr>
              <w:t>Confissão de Dívidas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212.471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203.025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BC027A" w:rsidRPr="00547369"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rPr>
                <w:rFonts w:ascii="Calibri" w:hAnsi="Calibri" w:cs="Calibri"/>
                <w:snapToGrid/>
                <w:color w:val="000000"/>
                <w:sz w:val="24"/>
                <w:szCs w:val="24"/>
              </w:rPr>
            </w:pPr>
            <w:r>
              <w:rPr>
                <w:rFonts w:ascii="Calibri" w:hAnsi="Calibri" w:cs="Calibri"/>
                <w:snapToGrid/>
                <w:color w:val="000000"/>
                <w:sz w:val="24"/>
                <w:szCs w:val="24"/>
              </w:rPr>
              <w:t>Déficit Atuarial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383.492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383.492</w:t>
            </w:r>
          </w:p>
        </w:tc>
      </w:tr>
      <w:tr w:rsidR="00BC027A" w:rsidRPr="00547369" w:rsidTr="0069752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rPr>
                <w:rFonts w:ascii="Calibri" w:hAnsi="Calibri" w:cs="Calibri"/>
                <w:b/>
                <w:bCs/>
                <w:snapToGrid/>
                <w:color w:val="000000"/>
                <w:sz w:val="24"/>
                <w:szCs w:val="24"/>
              </w:rPr>
            </w:pPr>
            <w:r w:rsidRPr="00547369">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213.125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204.822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547369" w:rsidRDefault="00BC027A"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383.492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547369" w:rsidRDefault="00BC027A"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383.492</w:t>
            </w:r>
          </w:p>
        </w:tc>
      </w:tr>
    </w:tbl>
    <w:p w:rsidR="000831FD" w:rsidRDefault="000831FD" w:rsidP="00535C43">
      <w:pPr>
        <w:jc w:val="both"/>
        <w:rPr>
          <w:rFonts w:ascii="Calibri" w:hAnsi="Calibri" w:cs="Calibri"/>
          <w:sz w:val="24"/>
          <w:szCs w:val="24"/>
        </w:rPr>
      </w:pPr>
    </w:p>
    <w:p w:rsidR="00535C43" w:rsidRPr="00312424" w:rsidRDefault="00535C43" w:rsidP="00535C43">
      <w:pPr>
        <w:jc w:val="both"/>
        <w:rPr>
          <w:rFonts w:ascii="Calibri" w:hAnsi="Calibri" w:cs="Calibri"/>
          <w:sz w:val="24"/>
          <w:szCs w:val="24"/>
        </w:rPr>
      </w:pPr>
      <w:r>
        <w:rPr>
          <w:rFonts w:ascii="Calibri" w:hAnsi="Calibri" w:cs="Calibri"/>
          <w:sz w:val="24"/>
          <w:szCs w:val="24"/>
        </w:rPr>
        <w:t xml:space="preserve">O déficit atuarial da CDRJ apontado no balanço patrimonial e nos quadros abaixo de R$ 383.492 mil, calculado segundo o CPC </w:t>
      </w:r>
      <w:r w:rsidR="00CB047B">
        <w:rPr>
          <w:rFonts w:ascii="Calibri" w:hAnsi="Calibri" w:cs="Calibri"/>
          <w:sz w:val="24"/>
          <w:szCs w:val="24"/>
        </w:rPr>
        <w:t>3</w:t>
      </w:r>
      <w:r>
        <w:rPr>
          <w:rFonts w:ascii="Calibri" w:hAnsi="Calibri" w:cs="Calibri"/>
          <w:sz w:val="24"/>
          <w:szCs w:val="24"/>
        </w:rPr>
        <w:t xml:space="preserve">3, será equacionado conforme as regras estabelecidas no </w:t>
      </w:r>
      <w:r w:rsidR="005668D8">
        <w:rPr>
          <w:rFonts w:ascii="Calibri" w:hAnsi="Calibri" w:cs="Calibri"/>
          <w:sz w:val="24"/>
          <w:szCs w:val="24"/>
        </w:rPr>
        <w:t>Termo de Compromisso Financeiro</w:t>
      </w:r>
      <w:r>
        <w:rPr>
          <w:rFonts w:ascii="Calibri" w:hAnsi="Calibri" w:cs="Calibri"/>
          <w:sz w:val="24"/>
          <w:szCs w:val="24"/>
        </w:rPr>
        <w:t>, aprovado pelo Conselho de Administração da CDRJ</w:t>
      </w:r>
      <w:r w:rsidR="005668D8">
        <w:rPr>
          <w:rFonts w:ascii="Calibri" w:hAnsi="Calibri" w:cs="Calibri"/>
          <w:sz w:val="24"/>
          <w:szCs w:val="24"/>
        </w:rPr>
        <w:t xml:space="preserve">, </w:t>
      </w:r>
      <w:r>
        <w:rPr>
          <w:rFonts w:ascii="Calibri" w:hAnsi="Calibri" w:cs="Calibri"/>
          <w:sz w:val="24"/>
          <w:szCs w:val="24"/>
        </w:rPr>
        <w:t xml:space="preserve">em sua </w:t>
      </w:r>
      <w:r w:rsidR="005668D8">
        <w:rPr>
          <w:rFonts w:ascii="Calibri" w:hAnsi="Calibri" w:cs="Calibri"/>
          <w:sz w:val="24"/>
          <w:szCs w:val="24"/>
        </w:rPr>
        <w:t>742</w:t>
      </w:r>
      <w:r>
        <w:rPr>
          <w:rFonts w:ascii="Calibri" w:hAnsi="Calibri" w:cs="Calibri"/>
          <w:sz w:val="24"/>
          <w:szCs w:val="24"/>
        </w:rPr>
        <w:t xml:space="preserve">ª reunião, realizada em </w:t>
      </w:r>
      <w:r w:rsidR="005668D8">
        <w:rPr>
          <w:rFonts w:ascii="Calibri" w:hAnsi="Calibri" w:cs="Calibri"/>
          <w:sz w:val="24"/>
          <w:szCs w:val="24"/>
        </w:rPr>
        <w:t>10 de junho de 2020</w:t>
      </w:r>
      <w:r>
        <w:rPr>
          <w:rFonts w:ascii="Calibri" w:hAnsi="Calibri" w:cs="Calibri"/>
          <w:sz w:val="24"/>
          <w:szCs w:val="24"/>
        </w:rPr>
        <w:t xml:space="preserve">, com a supervisão da Secretaria de Coordenação e Governança das Empresas Estatais (SEST). As informações atuariais, de responsabilidade da empresa de consultoria </w:t>
      </w:r>
      <w:proofErr w:type="spellStart"/>
      <w:r>
        <w:rPr>
          <w:rFonts w:ascii="Calibri" w:hAnsi="Calibri" w:cs="Calibri"/>
          <w:sz w:val="24"/>
          <w:szCs w:val="24"/>
        </w:rPr>
        <w:t>Rodarte</w:t>
      </w:r>
      <w:proofErr w:type="spellEnd"/>
      <w:r>
        <w:rPr>
          <w:rFonts w:ascii="Calibri" w:hAnsi="Calibri" w:cs="Calibri"/>
          <w:sz w:val="24"/>
          <w:szCs w:val="24"/>
        </w:rPr>
        <w:t xml:space="preserve"> Consultoria em Estatística e Seguridade Ltda., estão apresentadas abaixo:</w:t>
      </w:r>
    </w:p>
    <w:p w:rsidR="005C2D87" w:rsidRDefault="005C2D87" w:rsidP="00E70A67">
      <w:pPr>
        <w:jc w:val="both"/>
        <w:rPr>
          <w:rFonts w:ascii="Calibri" w:hAnsi="Calibri" w:cs="Calibri"/>
          <w:sz w:val="24"/>
          <w:szCs w:val="24"/>
        </w:rPr>
      </w:pPr>
    </w:p>
    <w:p w:rsidR="00E91329" w:rsidRDefault="00E91329" w:rsidP="00E91329">
      <w:pPr>
        <w:jc w:val="both"/>
        <w:rPr>
          <w:rFonts w:ascii="Calibri" w:hAnsi="Calibri" w:cs="Calibri"/>
          <w:sz w:val="24"/>
          <w:szCs w:val="24"/>
        </w:rPr>
      </w:pPr>
      <w:r>
        <w:rPr>
          <w:rFonts w:ascii="Calibri" w:hAnsi="Calibri" w:cs="Calibri"/>
          <w:sz w:val="24"/>
          <w:szCs w:val="24"/>
        </w:rPr>
        <w:t xml:space="preserve">Base de </w:t>
      </w:r>
      <w:r w:rsidR="007B271D">
        <w:rPr>
          <w:rFonts w:ascii="Calibri" w:hAnsi="Calibri" w:cs="Calibri"/>
          <w:sz w:val="24"/>
          <w:szCs w:val="24"/>
        </w:rPr>
        <w:t>D</w:t>
      </w:r>
      <w:r>
        <w:rPr>
          <w:rFonts w:ascii="Calibri" w:hAnsi="Calibri" w:cs="Calibri"/>
          <w:sz w:val="24"/>
          <w:szCs w:val="24"/>
        </w:rPr>
        <w:t>ados:</w:t>
      </w:r>
    </w:p>
    <w:p w:rsidR="00D414A4" w:rsidRDefault="00D414A4" w:rsidP="00E91329">
      <w:pPr>
        <w:jc w:val="both"/>
        <w:rPr>
          <w:rFonts w:ascii="Calibri" w:hAnsi="Calibri" w:cs="Calibr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1134"/>
        <w:gridCol w:w="1134"/>
      </w:tblGrid>
      <w:tr w:rsidR="00E91329" w:rsidRPr="002E7F4A" w:rsidTr="00E91329">
        <w:trPr>
          <w:trHeight w:val="315"/>
        </w:trPr>
        <w:tc>
          <w:tcPr>
            <w:tcW w:w="6946" w:type="dxa"/>
            <w:shd w:val="clear" w:color="auto" w:fill="auto"/>
            <w:noWrap/>
            <w:vAlign w:val="bottom"/>
          </w:tcPr>
          <w:p w:rsidR="00E91329" w:rsidRPr="002E7F4A" w:rsidRDefault="00E91329" w:rsidP="00014E44">
            <w:pPr>
              <w:widowControl/>
              <w:rPr>
                <w:rFonts w:ascii="Calibri" w:hAnsi="Calibri" w:cs="Calibri"/>
                <w:snapToGrid/>
                <w:color w:val="000000"/>
                <w:sz w:val="24"/>
                <w:szCs w:val="24"/>
              </w:rPr>
            </w:pPr>
          </w:p>
        </w:tc>
        <w:tc>
          <w:tcPr>
            <w:tcW w:w="1134" w:type="dxa"/>
            <w:shd w:val="clear" w:color="auto" w:fill="auto"/>
            <w:noWrap/>
            <w:vAlign w:val="bottom"/>
            <w:hideMark/>
          </w:tcPr>
          <w:p w:rsidR="00E91329" w:rsidRPr="002E7F4A" w:rsidRDefault="00E91329" w:rsidP="00E91329">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2019</w:t>
            </w:r>
          </w:p>
        </w:tc>
        <w:tc>
          <w:tcPr>
            <w:tcW w:w="1134" w:type="dxa"/>
            <w:shd w:val="clear" w:color="auto" w:fill="auto"/>
            <w:noWrap/>
            <w:vAlign w:val="bottom"/>
            <w:hideMark/>
          </w:tcPr>
          <w:p w:rsidR="00E91329" w:rsidRPr="002E7F4A" w:rsidRDefault="00E91329" w:rsidP="00E91329">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201</w:t>
            </w:r>
            <w:r>
              <w:rPr>
                <w:rFonts w:ascii="Calibri" w:hAnsi="Calibri" w:cs="Calibri"/>
                <w:b/>
                <w:bCs/>
                <w:snapToGrid/>
                <w:color w:val="000000"/>
                <w:sz w:val="24"/>
                <w:szCs w:val="24"/>
              </w:rPr>
              <w:t>8</w:t>
            </w:r>
          </w:p>
        </w:tc>
      </w:tr>
      <w:tr w:rsidR="00E91329" w:rsidRPr="002E7F4A" w:rsidTr="00E91329">
        <w:trPr>
          <w:trHeight w:val="315"/>
        </w:trPr>
        <w:tc>
          <w:tcPr>
            <w:tcW w:w="6946" w:type="dxa"/>
            <w:shd w:val="clear" w:color="auto" w:fill="auto"/>
            <w:noWrap/>
            <w:vAlign w:val="bottom"/>
          </w:tcPr>
          <w:p w:rsidR="00E91329" w:rsidRPr="00F079A2" w:rsidRDefault="00E91329" w:rsidP="00014E44">
            <w:pPr>
              <w:widowControl/>
              <w:rPr>
                <w:rFonts w:ascii="Calibri" w:hAnsi="Calibri" w:cs="Calibri"/>
                <w:snapToGrid/>
                <w:color w:val="000000"/>
                <w:sz w:val="24"/>
                <w:szCs w:val="24"/>
              </w:rPr>
            </w:pPr>
            <w:r>
              <w:rPr>
                <w:rFonts w:ascii="Calibri" w:hAnsi="Calibri" w:cs="Calibri"/>
                <w:snapToGrid/>
                <w:color w:val="000000"/>
                <w:sz w:val="24"/>
                <w:szCs w:val="24"/>
              </w:rPr>
              <w:t>Participantes ativos (passivo principal)</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307</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310</w:t>
            </w:r>
          </w:p>
        </w:tc>
      </w:tr>
      <w:tr w:rsidR="00E91329" w:rsidRPr="002E7F4A" w:rsidTr="00E91329">
        <w:trPr>
          <w:trHeight w:val="315"/>
        </w:trPr>
        <w:tc>
          <w:tcPr>
            <w:tcW w:w="6946" w:type="dxa"/>
            <w:shd w:val="clear" w:color="auto" w:fill="auto"/>
            <w:noWrap/>
            <w:vAlign w:val="bottom"/>
          </w:tcPr>
          <w:p w:rsidR="00E91329" w:rsidRPr="00F079A2" w:rsidRDefault="00E91329" w:rsidP="00014E44">
            <w:pPr>
              <w:widowControl/>
              <w:rPr>
                <w:rFonts w:ascii="Calibri" w:hAnsi="Calibri" w:cs="Calibri"/>
                <w:snapToGrid/>
                <w:color w:val="000000"/>
                <w:sz w:val="24"/>
                <w:szCs w:val="24"/>
              </w:rPr>
            </w:pPr>
            <w:r>
              <w:rPr>
                <w:rFonts w:ascii="Calibri" w:hAnsi="Calibri" w:cs="Calibri"/>
                <w:snapToGrid/>
                <w:color w:val="000000"/>
                <w:sz w:val="24"/>
                <w:szCs w:val="24"/>
              </w:rPr>
              <w:t>Participantes assistidos / beneficiários em gozo de benefício</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1.332</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1.358</w:t>
            </w:r>
          </w:p>
        </w:tc>
      </w:tr>
      <w:tr w:rsidR="00E91329" w:rsidRPr="002E7F4A" w:rsidTr="00E91329">
        <w:trPr>
          <w:trHeight w:val="315"/>
        </w:trPr>
        <w:tc>
          <w:tcPr>
            <w:tcW w:w="6946" w:type="dxa"/>
            <w:shd w:val="clear" w:color="auto" w:fill="auto"/>
            <w:noWrap/>
            <w:vAlign w:val="bottom"/>
          </w:tcPr>
          <w:p w:rsidR="00E91329" w:rsidRPr="00F079A2" w:rsidRDefault="00E91329" w:rsidP="00E91329">
            <w:pPr>
              <w:widowControl/>
              <w:ind w:firstLine="214"/>
              <w:rPr>
                <w:rFonts w:ascii="Calibri" w:hAnsi="Calibri" w:cs="Calibri"/>
                <w:snapToGrid/>
                <w:color w:val="000000"/>
                <w:sz w:val="24"/>
                <w:szCs w:val="24"/>
              </w:rPr>
            </w:pPr>
            <w:r>
              <w:rPr>
                <w:rFonts w:ascii="Calibri" w:hAnsi="Calibri" w:cs="Calibri"/>
                <w:snapToGrid/>
                <w:color w:val="000000"/>
                <w:sz w:val="24"/>
                <w:szCs w:val="24"/>
              </w:rPr>
              <w:t>Aposentados</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655</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678</w:t>
            </w:r>
          </w:p>
        </w:tc>
      </w:tr>
      <w:tr w:rsidR="00E91329" w:rsidRPr="002E7F4A" w:rsidTr="00E91329">
        <w:trPr>
          <w:trHeight w:val="315"/>
        </w:trPr>
        <w:tc>
          <w:tcPr>
            <w:tcW w:w="6946" w:type="dxa"/>
            <w:shd w:val="clear" w:color="auto" w:fill="auto"/>
            <w:noWrap/>
            <w:vAlign w:val="bottom"/>
          </w:tcPr>
          <w:p w:rsidR="00E91329" w:rsidRPr="00F079A2" w:rsidRDefault="00E91329" w:rsidP="00E91329">
            <w:pPr>
              <w:widowControl/>
              <w:ind w:firstLine="214"/>
              <w:rPr>
                <w:rFonts w:ascii="Calibri" w:hAnsi="Calibri" w:cs="Calibri"/>
                <w:snapToGrid/>
                <w:color w:val="000000"/>
                <w:sz w:val="24"/>
                <w:szCs w:val="24"/>
              </w:rPr>
            </w:pPr>
            <w:r>
              <w:rPr>
                <w:rFonts w:ascii="Calibri" w:hAnsi="Calibri" w:cs="Calibri"/>
                <w:snapToGrid/>
                <w:color w:val="000000"/>
                <w:sz w:val="24"/>
                <w:szCs w:val="24"/>
              </w:rPr>
              <w:t>Pensionistas</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677</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680</w:t>
            </w:r>
          </w:p>
        </w:tc>
      </w:tr>
      <w:tr w:rsidR="00E91329" w:rsidRPr="002E7F4A" w:rsidTr="00E91329">
        <w:trPr>
          <w:trHeight w:val="315"/>
        </w:trPr>
        <w:tc>
          <w:tcPr>
            <w:tcW w:w="6946" w:type="dxa"/>
            <w:shd w:val="clear" w:color="auto" w:fill="auto"/>
            <w:noWrap/>
            <w:vAlign w:val="bottom"/>
          </w:tcPr>
          <w:p w:rsidR="00E91329" w:rsidRPr="00F079A2" w:rsidRDefault="00E91329" w:rsidP="00014E44">
            <w:pPr>
              <w:widowControl/>
              <w:rPr>
                <w:rFonts w:ascii="Calibri" w:hAnsi="Calibri" w:cs="Calibri"/>
                <w:snapToGrid/>
                <w:color w:val="000000"/>
                <w:sz w:val="24"/>
                <w:szCs w:val="24"/>
              </w:rPr>
            </w:pPr>
            <w:r>
              <w:rPr>
                <w:rFonts w:ascii="Calibri" w:hAnsi="Calibri" w:cs="Calibri"/>
                <w:snapToGrid/>
                <w:color w:val="000000"/>
                <w:sz w:val="24"/>
                <w:szCs w:val="24"/>
              </w:rPr>
              <w:t>Total de participantes</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1.639</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1.668</w:t>
            </w:r>
          </w:p>
        </w:tc>
      </w:tr>
      <w:tr w:rsidR="00E91329" w:rsidRPr="002E7F4A" w:rsidTr="00E91329">
        <w:trPr>
          <w:trHeight w:val="315"/>
        </w:trPr>
        <w:tc>
          <w:tcPr>
            <w:tcW w:w="6946" w:type="dxa"/>
            <w:shd w:val="clear" w:color="auto" w:fill="auto"/>
            <w:noWrap/>
            <w:vAlign w:val="bottom"/>
          </w:tcPr>
          <w:p w:rsidR="00E91329" w:rsidRPr="00F079A2" w:rsidRDefault="00E91329" w:rsidP="00014E44">
            <w:pPr>
              <w:widowControl/>
              <w:rPr>
                <w:rFonts w:ascii="Calibri" w:hAnsi="Calibri" w:cs="Calibri"/>
                <w:snapToGrid/>
                <w:color w:val="000000"/>
                <w:sz w:val="24"/>
                <w:szCs w:val="24"/>
              </w:rPr>
            </w:pPr>
            <w:proofErr w:type="spellStart"/>
            <w:r w:rsidRPr="00E91329">
              <w:rPr>
                <w:rFonts w:ascii="Calibri" w:hAnsi="Calibri" w:cs="Calibri"/>
                <w:i/>
                <w:snapToGrid/>
                <w:color w:val="000000"/>
                <w:sz w:val="24"/>
                <w:szCs w:val="24"/>
              </w:rPr>
              <w:t>Duration</w:t>
            </w:r>
            <w:proofErr w:type="spellEnd"/>
            <w:r>
              <w:rPr>
                <w:rFonts w:ascii="Calibri" w:hAnsi="Calibri" w:cs="Calibri"/>
                <w:snapToGrid/>
                <w:color w:val="000000"/>
                <w:sz w:val="24"/>
                <w:szCs w:val="24"/>
              </w:rPr>
              <w:t xml:space="preserve"> da obrigação (utilizada para determinar a taxa de desconto)</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10,58</w:t>
            </w:r>
          </w:p>
        </w:tc>
        <w:tc>
          <w:tcPr>
            <w:tcW w:w="1134" w:type="dxa"/>
            <w:shd w:val="clear" w:color="auto" w:fill="auto"/>
            <w:noWrap/>
            <w:vAlign w:val="bottom"/>
          </w:tcPr>
          <w:p w:rsidR="00E91329" w:rsidRPr="002E7F4A" w:rsidRDefault="00E91329"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10,50</w:t>
            </w:r>
          </w:p>
        </w:tc>
      </w:tr>
    </w:tbl>
    <w:p w:rsidR="001C4695" w:rsidRDefault="001C4695" w:rsidP="00E70A67">
      <w:pPr>
        <w:jc w:val="both"/>
        <w:rPr>
          <w:rFonts w:ascii="Calibri" w:hAnsi="Calibri" w:cs="Calibri"/>
          <w:sz w:val="24"/>
          <w:szCs w:val="24"/>
        </w:rPr>
      </w:pPr>
    </w:p>
    <w:p w:rsidR="00032785" w:rsidRDefault="00032785" w:rsidP="00643D49">
      <w:pPr>
        <w:jc w:val="both"/>
        <w:rPr>
          <w:rFonts w:ascii="Calibri" w:hAnsi="Calibri" w:cs="Calibri"/>
          <w:sz w:val="24"/>
          <w:szCs w:val="24"/>
        </w:rPr>
      </w:pPr>
    </w:p>
    <w:p w:rsidR="00032785" w:rsidRDefault="00032785" w:rsidP="00643D49">
      <w:pPr>
        <w:jc w:val="both"/>
        <w:rPr>
          <w:rFonts w:ascii="Calibri" w:hAnsi="Calibri" w:cs="Calibri"/>
          <w:sz w:val="24"/>
          <w:szCs w:val="24"/>
        </w:rPr>
      </w:pPr>
    </w:p>
    <w:p w:rsidR="00032785" w:rsidRDefault="00032785" w:rsidP="00643D49">
      <w:pPr>
        <w:jc w:val="both"/>
        <w:rPr>
          <w:rFonts w:ascii="Calibri" w:hAnsi="Calibri" w:cs="Calibri"/>
          <w:sz w:val="24"/>
          <w:szCs w:val="24"/>
        </w:rPr>
      </w:pPr>
    </w:p>
    <w:p w:rsidR="00032785" w:rsidRDefault="00032785" w:rsidP="00643D49">
      <w:pPr>
        <w:jc w:val="both"/>
        <w:rPr>
          <w:rFonts w:ascii="Calibri" w:hAnsi="Calibri" w:cs="Calibri"/>
          <w:sz w:val="24"/>
          <w:szCs w:val="24"/>
        </w:rPr>
      </w:pPr>
    </w:p>
    <w:p w:rsidR="00032785" w:rsidRDefault="00032785" w:rsidP="00643D49">
      <w:pPr>
        <w:jc w:val="both"/>
        <w:rPr>
          <w:rFonts w:ascii="Calibri" w:hAnsi="Calibri" w:cs="Calibri"/>
          <w:sz w:val="24"/>
          <w:szCs w:val="24"/>
        </w:rPr>
      </w:pPr>
    </w:p>
    <w:p w:rsidR="00643D49" w:rsidRDefault="00643D49" w:rsidP="00643D49">
      <w:pPr>
        <w:jc w:val="both"/>
        <w:rPr>
          <w:rFonts w:ascii="Calibri" w:hAnsi="Calibri" w:cs="Calibri"/>
          <w:sz w:val="24"/>
          <w:szCs w:val="24"/>
        </w:rPr>
      </w:pPr>
      <w:r>
        <w:rPr>
          <w:rFonts w:ascii="Calibri" w:hAnsi="Calibri" w:cs="Calibri"/>
          <w:sz w:val="24"/>
          <w:szCs w:val="24"/>
        </w:rPr>
        <w:lastRenderedPageBreak/>
        <w:t xml:space="preserve">Formação do </w:t>
      </w:r>
      <w:r w:rsidR="007B271D">
        <w:rPr>
          <w:rFonts w:ascii="Calibri" w:hAnsi="Calibri" w:cs="Calibri"/>
          <w:sz w:val="24"/>
          <w:szCs w:val="24"/>
        </w:rPr>
        <w:t>D</w:t>
      </w:r>
      <w:r>
        <w:rPr>
          <w:rFonts w:ascii="Calibri" w:hAnsi="Calibri" w:cs="Calibri"/>
          <w:sz w:val="24"/>
          <w:szCs w:val="24"/>
        </w:rPr>
        <w:t>éficit:</w:t>
      </w:r>
    </w:p>
    <w:p w:rsidR="00D414A4" w:rsidRDefault="00D414A4" w:rsidP="00643D49">
      <w:pPr>
        <w:jc w:val="both"/>
        <w:rPr>
          <w:rFonts w:ascii="Calibri" w:hAnsi="Calibri" w:cs="Calibri"/>
          <w:sz w:val="24"/>
          <w:szCs w:val="24"/>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1417"/>
        <w:gridCol w:w="1418"/>
      </w:tblGrid>
      <w:tr w:rsidR="00643D49" w:rsidRPr="002E7F4A" w:rsidTr="00014E44">
        <w:trPr>
          <w:trHeight w:val="315"/>
        </w:trPr>
        <w:tc>
          <w:tcPr>
            <w:tcW w:w="5103" w:type="dxa"/>
            <w:shd w:val="clear" w:color="auto" w:fill="auto"/>
            <w:noWrap/>
            <w:vAlign w:val="bottom"/>
          </w:tcPr>
          <w:p w:rsidR="00643D49" w:rsidRPr="002E7F4A" w:rsidRDefault="00643D49" w:rsidP="00014E44">
            <w:pPr>
              <w:widowControl/>
              <w:rPr>
                <w:rFonts w:ascii="Calibri" w:hAnsi="Calibri" w:cs="Calibri"/>
                <w:snapToGrid/>
                <w:color w:val="000000"/>
                <w:sz w:val="24"/>
                <w:szCs w:val="24"/>
              </w:rPr>
            </w:pPr>
          </w:p>
        </w:tc>
        <w:tc>
          <w:tcPr>
            <w:tcW w:w="1417" w:type="dxa"/>
            <w:shd w:val="clear" w:color="auto" w:fill="auto"/>
            <w:noWrap/>
            <w:vAlign w:val="bottom"/>
            <w:hideMark/>
          </w:tcPr>
          <w:p w:rsidR="00643D49" w:rsidRPr="002E7F4A" w:rsidRDefault="00643D49" w:rsidP="00014E44">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2019</w:t>
            </w:r>
          </w:p>
        </w:tc>
        <w:tc>
          <w:tcPr>
            <w:tcW w:w="1418" w:type="dxa"/>
            <w:shd w:val="clear" w:color="auto" w:fill="auto"/>
            <w:noWrap/>
            <w:vAlign w:val="bottom"/>
            <w:hideMark/>
          </w:tcPr>
          <w:p w:rsidR="00643D49" w:rsidRPr="002E7F4A" w:rsidRDefault="00643D49" w:rsidP="00014E44">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201</w:t>
            </w:r>
            <w:r>
              <w:rPr>
                <w:rFonts w:ascii="Calibri" w:hAnsi="Calibri" w:cs="Calibri"/>
                <w:b/>
                <w:bCs/>
                <w:snapToGrid/>
                <w:color w:val="000000"/>
                <w:sz w:val="24"/>
                <w:szCs w:val="24"/>
              </w:rPr>
              <w:t>8</w:t>
            </w:r>
          </w:p>
        </w:tc>
      </w:tr>
      <w:tr w:rsidR="00643D49" w:rsidRPr="002E7F4A" w:rsidTr="00014E44">
        <w:trPr>
          <w:trHeight w:val="315"/>
        </w:trPr>
        <w:tc>
          <w:tcPr>
            <w:tcW w:w="5103" w:type="dxa"/>
            <w:shd w:val="clear" w:color="auto" w:fill="auto"/>
            <w:noWrap/>
            <w:vAlign w:val="bottom"/>
          </w:tcPr>
          <w:p w:rsidR="00643D49" w:rsidRPr="00F079A2" w:rsidRDefault="00643D49" w:rsidP="000016CA">
            <w:pPr>
              <w:widowControl/>
              <w:rPr>
                <w:rFonts w:ascii="Calibri" w:hAnsi="Calibri" w:cs="Calibri"/>
                <w:snapToGrid/>
                <w:color w:val="000000"/>
                <w:sz w:val="24"/>
                <w:szCs w:val="24"/>
              </w:rPr>
            </w:pPr>
            <w:r>
              <w:rPr>
                <w:rFonts w:ascii="Calibri" w:hAnsi="Calibri" w:cs="Calibri"/>
                <w:snapToGrid/>
                <w:color w:val="000000"/>
                <w:sz w:val="24"/>
                <w:szCs w:val="24"/>
              </w:rPr>
              <w:t xml:space="preserve">Saldo do passivo atuarial </w:t>
            </w:r>
            <w:r w:rsidR="000016CA">
              <w:rPr>
                <w:rFonts w:ascii="Calibri" w:hAnsi="Calibri" w:cs="Calibri"/>
                <w:snapToGrid/>
                <w:color w:val="000000"/>
                <w:sz w:val="24"/>
                <w:szCs w:val="24"/>
              </w:rPr>
              <w:t>no</w:t>
            </w:r>
            <w:r>
              <w:rPr>
                <w:rFonts w:ascii="Calibri" w:hAnsi="Calibri" w:cs="Calibri"/>
                <w:snapToGrid/>
                <w:color w:val="000000"/>
                <w:sz w:val="24"/>
                <w:szCs w:val="24"/>
              </w:rPr>
              <w:t xml:space="preserve"> início do exercício</w:t>
            </w:r>
          </w:p>
        </w:tc>
        <w:tc>
          <w:tcPr>
            <w:tcW w:w="1417"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43D49">
              <w:rPr>
                <w:rFonts w:ascii="Calibri" w:hAnsi="Calibri" w:cs="Calibri"/>
                <w:snapToGrid/>
                <w:color w:val="000000"/>
                <w:sz w:val="24"/>
                <w:szCs w:val="24"/>
              </w:rPr>
              <w:t>350.895</w:t>
            </w:r>
            <w:r>
              <w:rPr>
                <w:rFonts w:ascii="Calibri" w:hAnsi="Calibri" w:cs="Calibri"/>
                <w:snapToGrid/>
                <w:color w:val="000000"/>
                <w:sz w:val="24"/>
                <w:szCs w:val="24"/>
              </w:rPr>
              <w:t>)</w:t>
            </w:r>
          </w:p>
        </w:tc>
        <w:tc>
          <w:tcPr>
            <w:tcW w:w="1418" w:type="dxa"/>
            <w:shd w:val="clear" w:color="auto" w:fill="auto"/>
            <w:noWrap/>
            <w:vAlign w:val="bottom"/>
          </w:tcPr>
          <w:p w:rsidR="00643D49" w:rsidRPr="002E7F4A" w:rsidRDefault="00422FA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D49" w:rsidRPr="002E7F4A" w:rsidTr="00014E44">
        <w:trPr>
          <w:trHeight w:val="315"/>
        </w:trPr>
        <w:tc>
          <w:tcPr>
            <w:tcW w:w="5103" w:type="dxa"/>
            <w:shd w:val="clear" w:color="auto" w:fill="auto"/>
            <w:noWrap/>
            <w:vAlign w:val="bottom"/>
          </w:tcPr>
          <w:p w:rsidR="00643D49" w:rsidRPr="00F079A2" w:rsidRDefault="00643D49" w:rsidP="000016CA">
            <w:pPr>
              <w:widowControl/>
              <w:rPr>
                <w:rFonts w:ascii="Calibri" w:hAnsi="Calibri" w:cs="Calibri"/>
                <w:snapToGrid/>
                <w:color w:val="000000"/>
                <w:sz w:val="24"/>
                <w:szCs w:val="24"/>
              </w:rPr>
            </w:pPr>
            <w:r>
              <w:rPr>
                <w:rFonts w:ascii="Calibri" w:hAnsi="Calibri" w:cs="Calibri"/>
                <w:snapToGrid/>
                <w:color w:val="000000"/>
                <w:sz w:val="24"/>
                <w:szCs w:val="24"/>
              </w:rPr>
              <w:t xml:space="preserve">Custo </w:t>
            </w:r>
            <w:r w:rsidR="000016CA">
              <w:rPr>
                <w:rFonts w:ascii="Calibri" w:hAnsi="Calibri" w:cs="Calibri"/>
                <w:snapToGrid/>
                <w:color w:val="000000"/>
                <w:sz w:val="24"/>
                <w:szCs w:val="24"/>
              </w:rPr>
              <w:t>líquido n</w:t>
            </w:r>
            <w:r>
              <w:rPr>
                <w:rFonts w:ascii="Calibri" w:hAnsi="Calibri" w:cs="Calibri"/>
                <w:snapToGrid/>
                <w:color w:val="000000"/>
                <w:sz w:val="24"/>
                <w:szCs w:val="24"/>
              </w:rPr>
              <w:t xml:space="preserve">o </w:t>
            </w:r>
            <w:r w:rsidR="000016CA">
              <w:rPr>
                <w:rFonts w:ascii="Calibri" w:hAnsi="Calibri" w:cs="Calibri"/>
                <w:snapToGrid/>
                <w:color w:val="000000"/>
                <w:sz w:val="24"/>
                <w:szCs w:val="24"/>
              </w:rPr>
              <w:t>período</w:t>
            </w:r>
          </w:p>
        </w:tc>
        <w:tc>
          <w:tcPr>
            <w:tcW w:w="1417"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43D49">
              <w:rPr>
                <w:rFonts w:ascii="Calibri" w:hAnsi="Calibri" w:cs="Calibri"/>
                <w:snapToGrid/>
                <w:color w:val="000000"/>
                <w:sz w:val="24"/>
                <w:szCs w:val="24"/>
              </w:rPr>
              <w:t>22.719</w:t>
            </w:r>
            <w:r>
              <w:rPr>
                <w:rFonts w:ascii="Calibri" w:hAnsi="Calibri" w:cs="Calibri"/>
                <w:snapToGrid/>
                <w:color w:val="000000"/>
                <w:sz w:val="24"/>
                <w:szCs w:val="24"/>
              </w:rPr>
              <w:t>)</w:t>
            </w:r>
          </w:p>
        </w:tc>
        <w:tc>
          <w:tcPr>
            <w:tcW w:w="1418" w:type="dxa"/>
            <w:shd w:val="clear" w:color="auto" w:fill="auto"/>
            <w:noWrap/>
            <w:vAlign w:val="bottom"/>
          </w:tcPr>
          <w:p w:rsidR="00643D49" w:rsidRPr="002E7F4A" w:rsidRDefault="00422FA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0016CA" w:rsidRPr="002E7F4A" w:rsidTr="00014E44">
        <w:trPr>
          <w:trHeight w:val="315"/>
        </w:trPr>
        <w:tc>
          <w:tcPr>
            <w:tcW w:w="5103" w:type="dxa"/>
            <w:shd w:val="clear" w:color="auto" w:fill="auto"/>
            <w:noWrap/>
            <w:vAlign w:val="bottom"/>
          </w:tcPr>
          <w:p w:rsidR="000016CA" w:rsidRDefault="000016CA" w:rsidP="00643D49">
            <w:pPr>
              <w:widowControl/>
              <w:rPr>
                <w:rFonts w:ascii="Calibri" w:hAnsi="Calibri" w:cs="Calibri"/>
                <w:snapToGrid/>
                <w:color w:val="000000"/>
                <w:sz w:val="24"/>
                <w:szCs w:val="24"/>
              </w:rPr>
            </w:pPr>
            <w:r>
              <w:rPr>
                <w:rFonts w:ascii="Calibri" w:hAnsi="Calibri" w:cs="Calibri"/>
                <w:snapToGrid/>
                <w:color w:val="000000"/>
                <w:sz w:val="24"/>
                <w:szCs w:val="24"/>
              </w:rPr>
              <w:t>Ganhos atuariais líquidos de capital</w:t>
            </w:r>
          </w:p>
        </w:tc>
        <w:tc>
          <w:tcPr>
            <w:tcW w:w="1417" w:type="dxa"/>
            <w:shd w:val="clear" w:color="auto" w:fill="auto"/>
            <w:noWrap/>
            <w:vAlign w:val="bottom"/>
          </w:tcPr>
          <w:p w:rsidR="000016CA"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212.467</w:t>
            </w:r>
          </w:p>
        </w:tc>
        <w:tc>
          <w:tcPr>
            <w:tcW w:w="1418" w:type="dxa"/>
            <w:shd w:val="clear" w:color="auto" w:fill="auto"/>
            <w:noWrap/>
            <w:vAlign w:val="bottom"/>
          </w:tcPr>
          <w:p w:rsidR="000016CA" w:rsidRPr="002E7F4A" w:rsidRDefault="00422FA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D49" w:rsidRPr="002E7F4A" w:rsidTr="00014E44">
        <w:trPr>
          <w:trHeight w:val="315"/>
        </w:trPr>
        <w:tc>
          <w:tcPr>
            <w:tcW w:w="5103" w:type="dxa"/>
            <w:shd w:val="clear" w:color="auto" w:fill="auto"/>
            <w:noWrap/>
            <w:vAlign w:val="bottom"/>
          </w:tcPr>
          <w:p w:rsidR="00643D49" w:rsidRPr="00F079A2" w:rsidRDefault="00643D49" w:rsidP="00643D49">
            <w:pPr>
              <w:widowControl/>
              <w:rPr>
                <w:rFonts w:ascii="Calibri" w:hAnsi="Calibri" w:cs="Calibri"/>
                <w:snapToGrid/>
                <w:color w:val="000000"/>
                <w:sz w:val="24"/>
                <w:szCs w:val="24"/>
              </w:rPr>
            </w:pPr>
            <w:r>
              <w:rPr>
                <w:rFonts w:ascii="Calibri" w:hAnsi="Calibri" w:cs="Calibri"/>
                <w:snapToGrid/>
                <w:color w:val="000000"/>
                <w:sz w:val="24"/>
                <w:szCs w:val="24"/>
              </w:rPr>
              <w:t>Pagamento de contribuições</w:t>
            </w:r>
          </w:p>
        </w:tc>
        <w:tc>
          <w:tcPr>
            <w:tcW w:w="1417"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8.419</w:t>
            </w:r>
          </w:p>
        </w:tc>
        <w:tc>
          <w:tcPr>
            <w:tcW w:w="1418" w:type="dxa"/>
            <w:shd w:val="clear" w:color="auto" w:fill="auto"/>
            <w:noWrap/>
            <w:vAlign w:val="bottom"/>
          </w:tcPr>
          <w:p w:rsidR="00643D49" w:rsidRPr="002E7F4A" w:rsidRDefault="00422FA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D49" w:rsidRPr="002E7F4A" w:rsidTr="00014E44">
        <w:trPr>
          <w:trHeight w:val="315"/>
        </w:trPr>
        <w:tc>
          <w:tcPr>
            <w:tcW w:w="5103" w:type="dxa"/>
            <w:shd w:val="clear" w:color="auto" w:fill="auto"/>
            <w:noWrap/>
            <w:vAlign w:val="bottom"/>
          </w:tcPr>
          <w:p w:rsidR="00643D49" w:rsidRPr="00F079A2" w:rsidRDefault="000016CA" w:rsidP="00014E44">
            <w:pPr>
              <w:widowControl/>
              <w:rPr>
                <w:rFonts w:ascii="Calibri" w:hAnsi="Calibri" w:cs="Calibri"/>
                <w:snapToGrid/>
                <w:color w:val="000000"/>
                <w:sz w:val="24"/>
                <w:szCs w:val="24"/>
              </w:rPr>
            </w:pPr>
            <w:r>
              <w:rPr>
                <w:rFonts w:ascii="Calibri" w:hAnsi="Calibri" w:cs="Calibri"/>
                <w:snapToGrid/>
                <w:color w:val="000000"/>
                <w:sz w:val="24"/>
                <w:szCs w:val="24"/>
              </w:rPr>
              <w:t>Compartilhamento de risco</w:t>
            </w:r>
          </w:p>
        </w:tc>
        <w:tc>
          <w:tcPr>
            <w:tcW w:w="1417"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(230.764)</w:t>
            </w:r>
          </w:p>
        </w:tc>
        <w:tc>
          <w:tcPr>
            <w:tcW w:w="1418" w:type="dxa"/>
            <w:shd w:val="clear" w:color="auto" w:fill="auto"/>
            <w:noWrap/>
            <w:vAlign w:val="bottom"/>
          </w:tcPr>
          <w:p w:rsidR="00643D49" w:rsidRDefault="00422FA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D49" w:rsidRPr="002E7F4A" w:rsidTr="00014E44">
        <w:trPr>
          <w:trHeight w:val="315"/>
        </w:trPr>
        <w:tc>
          <w:tcPr>
            <w:tcW w:w="5103" w:type="dxa"/>
            <w:shd w:val="clear" w:color="auto" w:fill="auto"/>
            <w:noWrap/>
            <w:vAlign w:val="bottom"/>
          </w:tcPr>
          <w:p w:rsidR="00643D49" w:rsidRPr="00F079A2" w:rsidRDefault="000016CA" w:rsidP="00014E44">
            <w:pPr>
              <w:widowControl/>
              <w:rPr>
                <w:rFonts w:ascii="Calibri" w:hAnsi="Calibri" w:cs="Calibri"/>
                <w:snapToGrid/>
                <w:color w:val="000000"/>
                <w:sz w:val="24"/>
                <w:szCs w:val="24"/>
              </w:rPr>
            </w:pPr>
            <w:r>
              <w:rPr>
                <w:rFonts w:ascii="Calibri" w:hAnsi="Calibri" w:cs="Calibri"/>
                <w:snapToGrid/>
                <w:color w:val="000000"/>
                <w:sz w:val="24"/>
                <w:szCs w:val="24"/>
              </w:rPr>
              <w:t>Saldo do passivo líquido ao final do exercício</w:t>
            </w:r>
          </w:p>
        </w:tc>
        <w:tc>
          <w:tcPr>
            <w:tcW w:w="1417"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(383.492)</w:t>
            </w:r>
          </w:p>
        </w:tc>
        <w:tc>
          <w:tcPr>
            <w:tcW w:w="1418" w:type="dxa"/>
            <w:shd w:val="clear" w:color="auto" w:fill="auto"/>
            <w:noWrap/>
            <w:vAlign w:val="bottom"/>
          </w:tcPr>
          <w:p w:rsidR="00643D49" w:rsidRPr="002E7F4A" w:rsidRDefault="000016CA" w:rsidP="000016CA">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43D49">
              <w:rPr>
                <w:rFonts w:ascii="Calibri" w:hAnsi="Calibri" w:cs="Calibri"/>
                <w:snapToGrid/>
                <w:color w:val="000000"/>
                <w:sz w:val="24"/>
                <w:szCs w:val="24"/>
              </w:rPr>
              <w:t>350.895</w:t>
            </w:r>
            <w:r>
              <w:rPr>
                <w:rFonts w:ascii="Calibri" w:hAnsi="Calibri" w:cs="Calibri"/>
                <w:snapToGrid/>
                <w:color w:val="000000"/>
                <w:sz w:val="24"/>
                <w:szCs w:val="24"/>
              </w:rPr>
              <w:t>)</w:t>
            </w:r>
          </w:p>
        </w:tc>
      </w:tr>
    </w:tbl>
    <w:p w:rsidR="009762BE" w:rsidRDefault="009762BE" w:rsidP="000016CA">
      <w:pPr>
        <w:jc w:val="both"/>
        <w:rPr>
          <w:rFonts w:ascii="Calibri" w:hAnsi="Calibri" w:cs="Calibri"/>
          <w:sz w:val="24"/>
          <w:szCs w:val="24"/>
        </w:rPr>
      </w:pPr>
    </w:p>
    <w:p w:rsidR="00D414A4" w:rsidRDefault="00D414A4" w:rsidP="00D414A4">
      <w:pPr>
        <w:jc w:val="both"/>
        <w:rPr>
          <w:rFonts w:ascii="Calibri" w:hAnsi="Calibri" w:cs="Calibri"/>
          <w:sz w:val="24"/>
          <w:szCs w:val="24"/>
        </w:rPr>
      </w:pPr>
      <w:r>
        <w:rPr>
          <w:rFonts w:ascii="Calibri" w:hAnsi="Calibri" w:cs="Calibri"/>
          <w:sz w:val="24"/>
          <w:szCs w:val="24"/>
        </w:rPr>
        <w:t>Premissas:</w:t>
      </w:r>
    </w:p>
    <w:p w:rsidR="00D414A4" w:rsidRDefault="00D414A4" w:rsidP="00D414A4">
      <w:pPr>
        <w:jc w:val="both"/>
        <w:rPr>
          <w:rFonts w:ascii="Calibri" w:hAnsi="Calibri" w:cs="Calibri"/>
          <w:sz w:val="24"/>
          <w:szCs w:val="24"/>
        </w:rPr>
      </w:pPr>
    </w:p>
    <w:tbl>
      <w:tblPr>
        <w:tblW w:w="7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1"/>
        <w:gridCol w:w="1197"/>
        <w:gridCol w:w="1197"/>
      </w:tblGrid>
      <w:tr w:rsidR="00D414A4" w:rsidRPr="002E7F4A" w:rsidTr="00B9551E">
        <w:trPr>
          <w:trHeight w:val="315"/>
        </w:trPr>
        <w:tc>
          <w:tcPr>
            <w:tcW w:w="4831" w:type="dxa"/>
            <w:shd w:val="clear" w:color="auto" w:fill="auto"/>
            <w:noWrap/>
            <w:vAlign w:val="bottom"/>
            <w:hideMark/>
          </w:tcPr>
          <w:p w:rsidR="00D414A4" w:rsidRPr="002E7F4A" w:rsidRDefault="00D414A4" w:rsidP="00B9551E">
            <w:pPr>
              <w:widowControl/>
              <w:rPr>
                <w:rFonts w:ascii="Calibri" w:hAnsi="Calibri" w:cs="Calibri"/>
                <w:snapToGrid/>
                <w:color w:val="000000"/>
                <w:sz w:val="24"/>
                <w:szCs w:val="24"/>
              </w:rPr>
            </w:pPr>
            <w:r>
              <w:rPr>
                <w:rFonts w:ascii="Calibri" w:hAnsi="Calibri" w:cs="Calibri"/>
                <w:snapToGrid/>
                <w:color w:val="000000"/>
                <w:sz w:val="24"/>
                <w:szCs w:val="24"/>
              </w:rPr>
              <w:t>Premissas adotadas (final do ano)</w:t>
            </w:r>
          </w:p>
        </w:tc>
        <w:tc>
          <w:tcPr>
            <w:tcW w:w="1197" w:type="dxa"/>
            <w:shd w:val="clear" w:color="auto" w:fill="auto"/>
            <w:noWrap/>
            <w:vAlign w:val="bottom"/>
            <w:hideMark/>
          </w:tcPr>
          <w:p w:rsidR="00D414A4" w:rsidRPr="002E7F4A" w:rsidRDefault="00D414A4" w:rsidP="00B9551E">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2019</w:t>
            </w:r>
          </w:p>
        </w:tc>
        <w:tc>
          <w:tcPr>
            <w:tcW w:w="1197" w:type="dxa"/>
            <w:shd w:val="clear" w:color="auto" w:fill="auto"/>
            <w:noWrap/>
            <w:vAlign w:val="bottom"/>
            <w:hideMark/>
          </w:tcPr>
          <w:p w:rsidR="00D414A4" w:rsidRPr="002E7F4A" w:rsidRDefault="00D414A4" w:rsidP="00B9551E">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201</w:t>
            </w:r>
            <w:r>
              <w:rPr>
                <w:rFonts w:ascii="Calibri" w:hAnsi="Calibri" w:cs="Calibri"/>
                <w:b/>
                <w:bCs/>
                <w:snapToGrid/>
                <w:color w:val="000000"/>
                <w:sz w:val="24"/>
                <w:szCs w:val="24"/>
              </w:rPr>
              <w:t>8</w:t>
            </w:r>
          </w:p>
        </w:tc>
      </w:tr>
      <w:tr w:rsidR="00D414A4" w:rsidRPr="002E7F4A" w:rsidTr="00B9551E">
        <w:trPr>
          <w:trHeight w:val="315"/>
        </w:trPr>
        <w:tc>
          <w:tcPr>
            <w:tcW w:w="4831" w:type="dxa"/>
            <w:shd w:val="clear" w:color="auto" w:fill="auto"/>
            <w:noWrap/>
            <w:vAlign w:val="bottom"/>
          </w:tcPr>
          <w:p w:rsidR="00D414A4" w:rsidRPr="00F079A2" w:rsidRDefault="00D414A4" w:rsidP="00B9551E">
            <w:pPr>
              <w:widowControl/>
              <w:rPr>
                <w:rFonts w:ascii="Calibri" w:hAnsi="Calibri" w:cs="Calibri"/>
                <w:snapToGrid/>
                <w:color w:val="000000"/>
                <w:sz w:val="24"/>
                <w:szCs w:val="24"/>
              </w:rPr>
            </w:pPr>
            <w:r>
              <w:rPr>
                <w:rFonts w:ascii="Calibri" w:hAnsi="Calibri" w:cs="Calibri"/>
                <w:snapToGrid/>
                <w:color w:val="000000"/>
                <w:sz w:val="24"/>
                <w:szCs w:val="24"/>
              </w:rPr>
              <w:t>Taxa de desconto (nominal)</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6,853%</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9,096%</w:t>
            </w:r>
          </w:p>
        </w:tc>
      </w:tr>
      <w:tr w:rsidR="00D414A4" w:rsidRPr="002E7F4A" w:rsidTr="00B9551E">
        <w:trPr>
          <w:trHeight w:val="315"/>
        </w:trPr>
        <w:tc>
          <w:tcPr>
            <w:tcW w:w="4831" w:type="dxa"/>
            <w:shd w:val="clear" w:color="auto" w:fill="auto"/>
            <w:noWrap/>
            <w:vAlign w:val="bottom"/>
          </w:tcPr>
          <w:p w:rsidR="00D414A4" w:rsidRPr="00F079A2" w:rsidRDefault="00D414A4" w:rsidP="00B9551E">
            <w:pPr>
              <w:widowControl/>
              <w:rPr>
                <w:rFonts w:ascii="Calibri" w:hAnsi="Calibri" w:cs="Calibri"/>
                <w:snapToGrid/>
                <w:color w:val="000000"/>
                <w:sz w:val="24"/>
                <w:szCs w:val="24"/>
              </w:rPr>
            </w:pPr>
            <w:r>
              <w:rPr>
                <w:rFonts w:ascii="Calibri" w:hAnsi="Calibri" w:cs="Calibri"/>
                <w:snapToGrid/>
                <w:color w:val="000000"/>
                <w:sz w:val="24"/>
                <w:szCs w:val="24"/>
              </w:rPr>
              <w:t>Retorno esperado dos ativos do plano</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6,853%</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9,096%</w:t>
            </w:r>
          </w:p>
        </w:tc>
      </w:tr>
      <w:tr w:rsidR="00D414A4" w:rsidRPr="002E7F4A" w:rsidTr="00B9551E">
        <w:trPr>
          <w:trHeight w:val="315"/>
        </w:trPr>
        <w:tc>
          <w:tcPr>
            <w:tcW w:w="4831" w:type="dxa"/>
            <w:shd w:val="clear" w:color="auto" w:fill="auto"/>
            <w:noWrap/>
            <w:vAlign w:val="bottom"/>
          </w:tcPr>
          <w:p w:rsidR="00D414A4" w:rsidRPr="00F079A2" w:rsidRDefault="00D414A4" w:rsidP="00B9551E">
            <w:pPr>
              <w:widowControl/>
              <w:rPr>
                <w:rFonts w:ascii="Calibri" w:hAnsi="Calibri" w:cs="Calibri"/>
                <w:snapToGrid/>
                <w:color w:val="000000"/>
                <w:sz w:val="24"/>
                <w:szCs w:val="24"/>
              </w:rPr>
            </w:pPr>
            <w:r>
              <w:rPr>
                <w:rFonts w:ascii="Calibri" w:hAnsi="Calibri" w:cs="Calibri"/>
                <w:snapToGrid/>
                <w:color w:val="000000"/>
                <w:sz w:val="24"/>
                <w:szCs w:val="24"/>
              </w:rPr>
              <w:t>Taxa nominal de crescimento salarial futuro</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3,50%</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4,00%</w:t>
            </w:r>
          </w:p>
        </w:tc>
      </w:tr>
      <w:tr w:rsidR="00D414A4" w:rsidRPr="002E7F4A" w:rsidTr="00B9551E">
        <w:trPr>
          <w:trHeight w:val="315"/>
        </w:trPr>
        <w:tc>
          <w:tcPr>
            <w:tcW w:w="4831" w:type="dxa"/>
            <w:shd w:val="clear" w:color="auto" w:fill="auto"/>
            <w:noWrap/>
            <w:vAlign w:val="bottom"/>
          </w:tcPr>
          <w:p w:rsidR="00D414A4" w:rsidRPr="00F079A2" w:rsidRDefault="00D414A4" w:rsidP="00B9551E">
            <w:pPr>
              <w:widowControl/>
              <w:rPr>
                <w:rFonts w:ascii="Calibri" w:hAnsi="Calibri" w:cs="Calibri"/>
                <w:snapToGrid/>
                <w:color w:val="000000"/>
                <w:sz w:val="24"/>
                <w:szCs w:val="24"/>
              </w:rPr>
            </w:pPr>
            <w:r>
              <w:rPr>
                <w:rFonts w:ascii="Calibri" w:hAnsi="Calibri" w:cs="Calibri"/>
                <w:snapToGrid/>
                <w:color w:val="000000"/>
                <w:sz w:val="24"/>
                <w:szCs w:val="24"/>
              </w:rPr>
              <w:t>Indexador do benefício (apenas inflação)</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0,00%</w:t>
            </w:r>
          </w:p>
        </w:tc>
        <w:tc>
          <w:tcPr>
            <w:tcW w:w="1197" w:type="dxa"/>
            <w:shd w:val="clear" w:color="auto" w:fill="auto"/>
            <w:noWrap/>
            <w:vAlign w:val="bottom"/>
          </w:tcPr>
          <w:p w:rsidR="00D414A4" w:rsidRPr="002E7F4A" w:rsidRDefault="00D414A4" w:rsidP="00B9551E">
            <w:pPr>
              <w:widowControl/>
              <w:jc w:val="right"/>
              <w:rPr>
                <w:rFonts w:ascii="Calibri" w:hAnsi="Calibri" w:cs="Calibri"/>
                <w:snapToGrid/>
                <w:color w:val="000000"/>
                <w:sz w:val="24"/>
                <w:szCs w:val="24"/>
              </w:rPr>
            </w:pPr>
            <w:r>
              <w:rPr>
                <w:rFonts w:ascii="Calibri" w:hAnsi="Calibri" w:cs="Calibri"/>
                <w:snapToGrid/>
                <w:color w:val="000000"/>
                <w:sz w:val="24"/>
                <w:szCs w:val="24"/>
              </w:rPr>
              <w:t>4,00%</w:t>
            </w:r>
          </w:p>
        </w:tc>
      </w:tr>
    </w:tbl>
    <w:p w:rsidR="00D414A4" w:rsidRDefault="00D414A4" w:rsidP="000016CA">
      <w:pPr>
        <w:jc w:val="both"/>
        <w:rPr>
          <w:rFonts w:ascii="Calibri" w:hAnsi="Calibri" w:cs="Calibri"/>
          <w:sz w:val="24"/>
          <w:szCs w:val="24"/>
        </w:rPr>
      </w:pPr>
    </w:p>
    <w:p w:rsidR="009762BE" w:rsidRDefault="009762BE" w:rsidP="009762BE">
      <w:pPr>
        <w:jc w:val="both"/>
        <w:rPr>
          <w:rFonts w:ascii="Calibri" w:hAnsi="Calibri" w:cs="Calibri"/>
          <w:sz w:val="24"/>
          <w:szCs w:val="24"/>
        </w:rPr>
      </w:pPr>
      <w:r>
        <w:rPr>
          <w:rFonts w:ascii="Calibri" w:hAnsi="Calibri" w:cs="Calibri"/>
          <w:sz w:val="24"/>
          <w:szCs w:val="24"/>
        </w:rPr>
        <w:t>Outras Premissas Atuariais Materiais:</w:t>
      </w:r>
    </w:p>
    <w:p w:rsidR="00D414A4" w:rsidRDefault="00D414A4" w:rsidP="009762BE">
      <w:pPr>
        <w:jc w:val="both"/>
        <w:rPr>
          <w:rFonts w:ascii="Calibri" w:hAnsi="Calibri" w:cs="Calibr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339"/>
        <w:gridCol w:w="2339"/>
      </w:tblGrid>
      <w:tr w:rsidR="009762BE" w:rsidRPr="002E7F4A" w:rsidTr="00085185">
        <w:trPr>
          <w:trHeight w:val="315"/>
        </w:trPr>
        <w:tc>
          <w:tcPr>
            <w:tcW w:w="4253" w:type="dxa"/>
            <w:shd w:val="clear" w:color="auto" w:fill="auto"/>
            <w:noWrap/>
            <w:vAlign w:val="bottom"/>
          </w:tcPr>
          <w:p w:rsidR="009762BE" w:rsidRPr="002E7F4A" w:rsidRDefault="009762BE" w:rsidP="00085185">
            <w:pPr>
              <w:widowControl/>
              <w:rPr>
                <w:rFonts w:ascii="Calibri" w:hAnsi="Calibri" w:cs="Calibri"/>
                <w:snapToGrid/>
                <w:color w:val="000000"/>
                <w:sz w:val="24"/>
                <w:szCs w:val="24"/>
              </w:rPr>
            </w:pPr>
          </w:p>
        </w:tc>
        <w:tc>
          <w:tcPr>
            <w:tcW w:w="2339" w:type="dxa"/>
            <w:shd w:val="clear" w:color="auto" w:fill="auto"/>
            <w:noWrap/>
            <w:vAlign w:val="bottom"/>
            <w:hideMark/>
          </w:tcPr>
          <w:p w:rsidR="009762BE" w:rsidRPr="002E7F4A" w:rsidRDefault="009762BE" w:rsidP="00085185">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2019</w:t>
            </w:r>
          </w:p>
        </w:tc>
        <w:tc>
          <w:tcPr>
            <w:tcW w:w="2339" w:type="dxa"/>
            <w:shd w:val="clear" w:color="auto" w:fill="auto"/>
            <w:noWrap/>
            <w:vAlign w:val="bottom"/>
            <w:hideMark/>
          </w:tcPr>
          <w:p w:rsidR="009762BE" w:rsidRPr="002E7F4A" w:rsidRDefault="009762BE" w:rsidP="00085185">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201</w:t>
            </w:r>
            <w:r>
              <w:rPr>
                <w:rFonts w:ascii="Calibri" w:hAnsi="Calibri" w:cs="Calibri"/>
                <w:b/>
                <w:bCs/>
                <w:snapToGrid/>
                <w:color w:val="000000"/>
                <w:sz w:val="24"/>
                <w:szCs w:val="24"/>
              </w:rPr>
              <w:t>8</w:t>
            </w:r>
          </w:p>
        </w:tc>
      </w:tr>
      <w:tr w:rsidR="009762BE" w:rsidRPr="002E7F4A" w:rsidTr="00085185">
        <w:trPr>
          <w:trHeight w:val="315"/>
        </w:trPr>
        <w:tc>
          <w:tcPr>
            <w:tcW w:w="4253" w:type="dxa"/>
            <w:shd w:val="clear" w:color="auto" w:fill="auto"/>
            <w:noWrap/>
            <w:vAlign w:val="bottom"/>
          </w:tcPr>
          <w:p w:rsidR="009762BE" w:rsidRPr="00F079A2" w:rsidRDefault="009762BE" w:rsidP="00085185">
            <w:pPr>
              <w:widowControl/>
              <w:rPr>
                <w:rFonts w:ascii="Calibri" w:hAnsi="Calibri" w:cs="Calibri"/>
                <w:snapToGrid/>
                <w:color w:val="000000"/>
                <w:sz w:val="24"/>
                <w:szCs w:val="24"/>
              </w:rPr>
            </w:pPr>
            <w:r>
              <w:rPr>
                <w:rFonts w:ascii="Calibri" w:hAnsi="Calibri" w:cs="Calibri"/>
                <w:snapToGrid/>
                <w:color w:val="000000"/>
                <w:sz w:val="24"/>
                <w:szCs w:val="24"/>
              </w:rPr>
              <w:t>Rotatividade projetada dos empregados</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Não disponível</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Não disponível</w:t>
            </w:r>
          </w:p>
        </w:tc>
      </w:tr>
      <w:tr w:rsidR="009762BE" w:rsidRPr="002E7F4A" w:rsidTr="00085185">
        <w:trPr>
          <w:trHeight w:val="315"/>
        </w:trPr>
        <w:tc>
          <w:tcPr>
            <w:tcW w:w="4253" w:type="dxa"/>
            <w:shd w:val="clear" w:color="auto" w:fill="auto"/>
            <w:noWrap/>
            <w:vAlign w:val="bottom"/>
          </w:tcPr>
          <w:p w:rsidR="009762BE" w:rsidRPr="00F079A2" w:rsidRDefault="009762BE" w:rsidP="00085185">
            <w:pPr>
              <w:widowControl/>
              <w:rPr>
                <w:rFonts w:ascii="Calibri" w:hAnsi="Calibri" w:cs="Calibri"/>
                <w:snapToGrid/>
                <w:color w:val="000000"/>
                <w:sz w:val="24"/>
                <w:szCs w:val="24"/>
              </w:rPr>
            </w:pPr>
            <w:r>
              <w:rPr>
                <w:rFonts w:ascii="Calibri" w:hAnsi="Calibri" w:cs="Calibri"/>
                <w:snapToGrid/>
                <w:color w:val="000000"/>
                <w:sz w:val="24"/>
                <w:szCs w:val="24"/>
              </w:rPr>
              <w:t>Tábua de mortalidade geral</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AT-2000B (Male)</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AT-2000B (Male)</w:t>
            </w:r>
          </w:p>
        </w:tc>
      </w:tr>
      <w:tr w:rsidR="009762BE" w:rsidRPr="002E7F4A" w:rsidTr="00085185">
        <w:trPr>
          <w:trHeight w:val="315"/>
        </w:trPr>
        <w:tc>
          <w:tcPr>
            <w:tcW w:w="4253" w:type="dxa"/>
            <w:shd w:val="clear" w:color="auto" w:fill="auto"/>
            <w:noWrap/>
            <w:vAlign w:val="bottom"/>
          </w:tcPr>
          <w:p w:rsidR="009762BE" w:rsidRDefault="009762BE" w:rsidP="00085185">
            <w:pPr>
              <w:widowControl/>
              <w:rPr>
                <w:rFonts w:ascii="Calibri" w:hAnsi="Calibri" w:cs="Calibri"/>
                <w:snapToGrid/>
                <w:color w:val="000000"/>
                <w:sz w:val="24"/>
                <w:szCs w:val="24"/>
              </w:rPr>
            </w:pPr>
            <w:r>
              <w:rPr>
                <w:rFonts w:ascii="Calibri" w:hAnsi="Calibri" w:cs="Calibri"/>
                <w:snapToGrid/>
                <w:color w:val="000000"/>
                <w:sz w:val="24"/>
                <w:szCs w:val="24"/>
              </w:rPr>
              <w:t>Tábua de entrada em invalidez</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Hunter</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Hunter</w:t>
            </w:r>
          </w:p>
        </w:tc>
      </w:tr>
      <w:tr w:rsidR="009762BE" w:rsidRPr="002E7F4A" w:rsidTr="00085185">
        <w:trPr>
          <w:trHeight w:val="315"/>
        </w:trPr>
        <w:tc>
          <w:tcPr>
            <w:tcW w:w="4253" w:type="dxa"/>
            <w:shd w:val="clear" w:color="auto" w:fill="auto"/>
            <w:noWrap/>
            <w:vAlign w:val="bottom"/>
          </w:tcPr>
          <w:p w:rsidR="009762BE" w:rsidRPr="00F079A2" w:rsidRDefault="009762BE" w:rsidP="00085185">
            <w:pPr>
              <w:widowControl/>
              <w:rPr>
                <w:rFonts w:ascii="Calibri" w:hAnsi="Calibri" w:cs="Calibri"/>
                <w:snapToGrid/>
                <w:color w:val="000000"/>
                <w:sz w:val="24"/>
                <w:szCs w:val="24"/>
              </w:rPr>
            </w:pPr>
            <w:r>
              <w:rPr>
                <w:rFonts w:ascii="Calibri" w:hAnsi="Calibri" w:cs="Calibri"/>
                <w:snapToGrid/>
                <w:color w:val="000000"/>
                <w:sz w:val="24"/>
                <w:szCs w:val="24"/>
              </w:rPr>
              <w:t>Tábua de mortalidade de inválidos</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proofErr w:type="spellStart"/>
            <w:r>
              <w:rPr>
                <w:rFonts w:ascii="Calibri" w:hAnsi="Calibri" w:cs="Calibri"/>
                <w:snapToGrid/>
                <w:color w:val="000000"/>
                <w:sz w:val="24"/>
                <w:szCs w:val="24"/>
              </w:rPr>
              <w:t>Winklevoss</w:t>
            </w:r>
            <w:proofErr w:type="spellEnd"/>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proofErr w:type="spellStart"/>
            <w:r>
              <w:rPr>
                <w:rFonts w:ascii="Calibri" w:hAnsi="Calibri" w:cs="Calibri"/>
                <w:snapToGrid/>
                <w:color w:val="000000"/>
                <w:sz w:val="24"/>
                <w:szCs w:val="24"/>
              </w:rPr>
              <w:t>Winklevoss</w:t>
            </w:r>
            <w:proofErr w:type="spellEnd"/>
          </w:p>
        </w:tc>
      </w:tr>
      <w:tr w:rsidR="009762BE" w:rsidRPr="002E7F4A" w:rsidTr="00085185">
        <w:trPr>
          <w:trHeight w:val="315"/>
        </w:trPr>
        <w:tc>
          <w:tcPr>
            <w:tcW w:w="4253" w:type="dxa"/>
            <w:shd w:val="clear" w:color="auto" w:fill="auto"/>
            <w:noWrap/>
            <w:vAlign w:val="bottom"/>
          </w:tcPr>
          <w:p w:rsidR="009762BE" w:rsidRPr="00F079A2" w:rsidRDefault="009762BE" w:rsidP="00085185">
            <w:pPr>
              <w:widowControl/>
              <w:rPr>
                <w:rFonts w:ascii="Calibri" w:hAnsi="Calibri" w:cs="Calibri"/>
                <w:snapToGrid/>
                <w:color w:val="000000"/>
                <w:sz w:val="24"/>
                <w:szCs w:val="24"/>
              </w:rPr>
            </w:pPr>
            <w:r>
              <w:rPr>
                <w:rFonts w:ascii="Calibri" w:hAnsi="Calibri" w:cs="Calibri"/>
                <w:snapToGrid/>
                <w:color w:val="000000"/>
                <w:sz w:val="24"/>
                <w:szCs w:val="24"/>
              </w:rPr>
              <w:t>Composição familiar</w:t>
            </w:r>
          </w:p>
        </w:tc>
        <w:tc>
          <w:tcPr>
            <w:tcW w:w="2339" w:type="dxa"/>
            <w:shd w:val="clear" w:color="auto" w:fill="auto"/>
            <w:noWrap/>
            <w:vAlign w:val="bottom"/>
          </w:tcPr>
          <w:p w:rsidR="009762BE" w:rsidRPr="002E7F4A"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 xml:space="preserve">Família Padrão </w:t>
            </w:r>
            <w:proofErr w:type="spellStart"/>
            <w:r>
              <w:rPr>
                <w:rFonts w:ascii="Calibri" w:hAnsi="Calibri" w:cs="Calibri"/>
                <w:snapToGrid/>
                <w:color w:val="000000"/>
                <w:sz w:val="24"/>
                <w:szCs w:val="24"/>
              </w:rPr>
              <w:t>Portus</w:t>
            </w:r>
            <w:proofErr w:type="spellEnd"/>
          </w:p>
        </w:tc>
        <w:tc>
          <w:tcPr>
            <w:tcW w:w="2339" w:type="dxa"/>
            <w:shd w:val="clear" w:color="auto" w:fill="auto"/>
            <w:noWrap/>
            <w:vAlign w:val="bottom"/>
          </w:tcPr>
          <w:p w:rsidR="009762BE" w:rsidRDefault="009762BE" w:rsidP="00085185">
            <w:pPr>
              <w:widowControl/>
              <w:jc w:val="center"/>
              <w:rPr>
                <w:rFonts w:ascii="Calibri" w:hAnsi="Calibri" w:cs="Calibri"/>
                <w:snapToGrid/>
                <w:color w:val="000000"/>
                <w:sz w:val="24"/>
                <w:szCs w:val="24"/>
              </w:rPr>
            </w:pPr>
            <w:r>
              <w:rPr>
                <w:rFonts w:ascii="Calibri" w:hAnsi="Calibri" w:cs="Calibri"/>
                <w:snapToGrid/>
                <w:color w:val="000000"/>
                <w:sz w:val="24"/>
                <w:szCs w:val="24"/>
              </w:rPr>
              <w:t xml:space="preserve">Família Padrão </w:t>
            </w:r>
            <w:proofErr w:type="spellStart"/>
            <w:r>
              <w:rPr>
                <w:rFonts w:ascii="Calibri" w:hAnsi="Calibri" w:cs="Calibri"/>
                <w:snapToGrid/>
                <w:color w:val="000000"/>
                <w:sz w:val="24"/>
                <w:szCs w:val="24"/>
              </w:rPr>
              <w:t>Portus</w:t>
            </w:r>
            <w:proofErr w:type="spellEnd"/>
          </w:p>
        </w:tc>
      </w:tr>
    </w:tbl>
    <w:p w:rsidR="009762BE" w:rsidRDefault="009762BE" w:rsidP="000016CA">
      <w:pPr>
        <w:jc w:val="both"/>
        <w:rPr>
          <w:rFonts w:ascii="Calibri" w:hAnsi="Calibri" w:cs="Calibri"/>
          <w:sz w:val="24"/>
          <w:szCs w:val="24"/>
        </w:rPr>
      </w:pPr>
    </w:p>
    <w:p w:rsidR="000016CA" w:rsidRDefault="000016CA" w:rsidP="000016CA">
      <w:pPr>
        <w:jc w:val="both"/>
        <w:rPr>
          <w:rFonts w:ascii="Calibri" w:hAnsi="Calibri" w:cs="Calibri"/>
          <w:sz w:val="24"/>
          <w:szCs w:val="24"/>
        </w:rPr>
      </w:pPr>
      <w:r>
        <w:rPr>
          <w:rFonts w:ascii="Calibri" w:hAnsi="Calibri" w:cs="Calibri"/>
          <w:sz w:val="24"/>
          <w:szCs w:val="24"/>
        </w:rPr>
        <w:t xml:space="preserve">Valor </w:t>
      </w:r>
      <w:r w:rsidR="007B271D">
        <w:rPr>
          <w:rFonts w:ascii="Calibri" w:hAnsi="Calibri" w:cs="Calibri"/>
          <w:sz w:val="24"/>
          <w:szCs w:val="24"/>
        </w:rPr>
        <w:t>J</w:t>
      </w:r>
      <w:r>
        <w:rPr>
          <w:rFonts w:ascii="Calibri" w:hAnsi="Calibri" w:cs="Calibri"/>
          <w:sz w:val="24"/>
          <w:szCs w:val="24"/>
        </w:rPr>
        <w:t xml:space="preserve">usto dos </w:t>
      </w:r>
      <w:r w:rsidR="007B271D">
        <w:rPr>
          <w:rFonts w:ascii="Calibri" w:hAnsi="Calibri" w:cs="Calibri"/>
          <w:sz w:val="24"/>
          <w:szCs w:val="24"/>
        </w:rPr>
        <w:t>A</w:t>
      </w:r>
      <w:r>
        <w:rPr>
          <w:rFonts w:ascii="Calibri" w:hAnsi="Calibri" w:cs="Calibri"/>
          <w:sz w:val="24"/>
          <w:szCs w:val="24"/>
        </w:rPr>
        <w:t xml:space="preserve">tivos do </w:t>
      </w:r>
      <w:r w:rsidR="007B271D">
        <w:rPr>
          <w:rFonts w:ascii="Calibri" w:hAnsi="Calibri" w:cs="Calibri"/>
          <w:sz w:val="24"/>
          <w:szCs w:val="24"/>
        </w:rPr>
        <w:t>P</w:t>
      </w:r>
      <w:r>
        <w:rPr>
          <w:rFonts w:ascii="Calibri" w:hAnsi="Calibri" w:cs="Calibri"/>
          <w:sz w:val="24"/>
          <w:szCs w:val="24"/>
        </w:rPr>
        <w:t>lano:</w:t>
      </w:r>
    </w:p>
    <w:p w:rsidR="00D414A4" w:rsidRDefault="00D414A4" w:rsidP="000016CA">
      <w:pPr>
        <w:jc w:val="both"/>
        <w:rPr>
          <w:rFonts w:ascii="Calibri" w:hAnsi="Calibri" w:cs="Calibr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1346"/>
        <w:gridCol w:w="1347"/>
        <w:gridCol w:w="1347"/>
        <w:gridCol w:w="1347"/>
      </w:tblGrid>
      <w:tr w:rsidR="00905BDE" w:rsidRPr="002E7F4A" w:rsidTr="00014E44">
        <w:trPr>
          <w:trHeight w:val="315"/>
        </w:trPr>
        <w:tc>
          <w:tcPr>
            <w:tcW w:w="3969" w:type="dxa"/>
            <w:shd w:val="clear" w:color="auto" w:fill="auto"/>
            <w:noWrap/>
            <w:vAlign w:val="center"/>
          </w:tcPr>
          <w:p w:rsidR="00905BDE" w:rsidRDefault="007B271D" w:rsidP="00232E4F">
            <w:pPr>
              <w:widowControl/>
              <w:rPr>
                <w:rFonts w:ascii="Calibri" w:hAnsi="Calibri" w:cs="Calibri"/>
                <w:snapToGrid/>
                <w:color w:val="000000"/>
                <w:sz w:val="24"/>
                <w:szCs w:val="24"/>
              </w:rPr>
            </w:pPr>
            <w:r>
              <w:rPr>
                <w:rFonts w:ascii="Calibri" w:hAnsi="Calibri" w:cs="Calibri"/>
                <w:snapToGrid/>
                <w:color w:val="000000"/>
                <w:sz w:val="24"/>
                <w:szCs w:val="24"/>
              </w:rPr>
              <w:t>Ativos</w:t>
            </w:r>
          </w:p>
        </w:tc>
        <w:tc>
          <w:tcPr>
            <w:tcW w:w="2693" w:type="dxa"/>
            <w:gridSpan w:val="2"/>
            <w:shd w:val="clear" w:color="auto" w:fill="auto"/>
            <w:noWrap/>
            <w:vAlign w:val="center"/>
          </w:tcPr>
          <w:p w:rsidR="00905BDE" w:rsidRPr="002E7F4A" w:rsidRDefault="00905BDE" w:rsidP="00232E4F">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2019</w:t>
            </w:r>
          </w:p>
        </w:tc>
        <w:tc>
          <w:tcPr>
            <w:tcW w:w="2694" w:type="dxa"/>
            <w:gridSpan w:val="2"/>
            <w:vAlign w:val="center"/>
          </w:tcPr>
          <w:p w:rsidR="00905BDE" w:rsidRPr="002E7F4A" w:rsidRDefault="00905BDE" w:rsidP="00232E4F">
            <w:pPr>
              <w:widowControl/>
              <w:jc w:val="center"/>
              <w:rPr>
                <w:rFonts w:ascii="Calibri" w:hAnsi="Calibri" w:cs="Calibri"/>
                <w:b/>
                <w:bCs/>
                <w:snapToGrid/>
                <w:color w:val="000000"/>
                <w:sz w:val="24"/>
                <w:szCs w:val="24"/>
              </w:rPr>
            </w:pPr>
            <w:r w:rsidRPr="002E7F4A">
              <w:rPr>
                <w:rFonts w:ascii="Calibri" w:hAnsi="Calibri" w:cs="Calibri"/>
                <w:b/>
                <w:bCs/>
                <w:snapToGrid/>
                <w:color w:val="000000"/>
                <w:sz w:val="24"/>
                <w:szCs w:val="24"/>
              </w:rPr>
              <w:t>201</w:t>
            </w:r>
            <w:r>
              <w:rPr>
                <w:rFonts w:ascii="Calibri" w:hAnsi="Calibri" w:cs="Calibri"/>
                <w:b/>
                <w:bCs/>
                <w:snapToGrid/>
                <w:color w:val="000000"/>
                <w:sz w:val="24"/>
                <w:szCs w:val="24"/>
              </w:rPr>
              <w:t>8</w:t>
            </w:r>
          </w:p>
        </w:tc>
      </w:tr>
      <w:tr w:rsidR="000016CA" w:rsidRPr="00905BDE" w:rsidTr="00905BDE">
        <w:trPr>
          <w:trHeight w:val="315"/>
        </w:trPr>
        <w:tc>
          <w:tcPr>
            <w:tcW w:w="3969" w:type="dxa"/>
            <w:shd w:val="clear" w:color="auto" w:fill="auto"/>
            <w:noWrap/>
            <w:vAlign w:val="center"/>
          </w:tcPr>
          <w:p w:rsidR="000016CA" w:rsidRPr="002E7F4A" w:rsidRDefault="00232E4F" w:rsidP="00014E44">
            <w:pPr>
              <w:widowControl/>
              <w:rPr>
                <w:rFonts w:ascii="Calibri" w:hAnsi="Calibri" w:cs="Calibri"/>
                <w:snapToGrid/>
                <w:color w:val="000000"/>
                <w:sz w:val="24"/>
                <w:szCs w:val="24"/>
              </w:rPr>
            </w:pPr>
            <w:r>
              <w:rPr>
                <w:rFonts w:ascii="Calibri" w:hAnsi="Calibri" w:cs="Calibri"/>
                <w:snapToGrid/>
                <w:color w:val="000000"/>
                <w:sz w:val="24"/>
                <w:szCs w:val="24"/>
              </w:rPr>
              <w:t xml:space="preserve">Principais </w:t>
            </w:r>
            <w:r w:rsidR="00014E44">
              <w:rPr>
                <w:rFonts w:ascii="Calibri" w:hAnsi="Calibri" w:cs="Calibri"/>
                <w:snapToGrid/>
                <w:color w:val="000000"/>
                <w:sz w:val="24"/>
                <w:szCs w:val="24"/>
              </w:rPr>
              <w:t>C</w:t>
            </w:r>
            <w:r>
              <w:rPr>
                <w:rFonts w:ascii="Calibri" w:hAnsi="Calibri" w:cs="Calibri"/>
                <w:snapToGrid/>
                <w:color w:val="000000"/>
                <w:sz w:val="24"/>
                <w:szCs w:val="24"/>
              </w:rPr>
              <w:t xml:space="preserve">ategorias de </w:t>
            </w:r>
            <w:r w:rsidR="00014E44">
              <w:rPr>
                <w:rFonts w:ascii="Calibri" w:hAnsi="Calibri" w:cs="Calibri"/>
                <w:snapToGrid/>
                <w:color w:val="000000"/>
                <w:sz w:val="24"/>
                <w:szCs w:val="24"/>
              </w:rPr>
              <w:t>A</w:t>
            </w:r>
            <w:r>
              <w:rPr>
                <w:rFonts w:ascii="Calibri" w:hAnsi="Calibri" w:cs="Calibri"/>
                <w:snapToGrid/>
                <w:color w:val="000000"/>
                <w:sz w:val="24"/>
                <w:szCs w:val="24"/>
              </w:rPr>
              <w:t>tivos</w:t>
            </w:r>
          </w:p>
        </w:tc>
        <w:tc>
          <w:tcPr>
            <w:tcW w:w="1346" w:type="dxa"/>
            <w:shd w:val="clear" w:color="auto" w:fill="auto"/>
            <w:noWrap/>
            <w:vAlign w:val="center"/>
          </w:tcPr>
          <w:p w:rsidR="000016CA" w:rsidRPr="00905BDE" w:rsidRDefault="00905BDE" w:rsidP="00232E4F">
            <w:pPr>
              <w:widowControl/>
              <w:jc w:val="center"/>
              <w:rPr>
                <w:rFonts w:ascii="Calibri" w:hAnsi="Calibri" w:cs="Calibri"/>
                <w:bCs/>
                <w:snapToGrid/>
                <w:color w:val="000000"/>
                <w:sz w:val="24"/>
                <w:szCs w:val="24"/>
              </w:rPr>
            </w:pPr>
            <w:r w:rsidRPr="00905BDE">
              <w:rPr>
                <w:rFonts w:ascii="Calibri" w:hAnsi="Calibri" w:cs="Calibri"/>
                <w:bCs/>
                <w:snapToGrid/>
                <w:color w:val="000000"/>
                <w:sz w:val="24"/>
                <w:szCs w:val="24"/>
              </w:rPr>
              <w:t>Montante</w:t>
            </w:r>
          </w:p>
        </w:tc>
        <w:tc>
          <w:tcPr>
            <w:tcW w:w="1347" w:type="dxa"/>
            <w:shd w:val="clear" w:color="auto" w:fill="auto"/>
            <w:noWrap/>
            <w:vAlign w:val="center"/>
            <w:hideMark/>
          </w:tcPr>
          <w:p w:rsidR="000016CA" w:rsidRPr="00905BDE" w:rsidRDefault="00905BDE" w:rsidP="00232E4F">
            <w:pPr>
              <w:widowControl/>
              <w:jc w:val="center"/>
              <w:rPr>
                <w:rFonts w:ascii="Calibri" w:hAnsi="Calibri" w:cs="Calibri"/>
                <w:bCs/>
                <w:snapToGrid/>
                <w:color w:val="000000"/>
                <w:sz w:val="24"/>
                <w:szCs w:val="24"/>
              </w:rPr>
            </w:pPr>
            <w:r w:rsidRPr="00905BDE">
              <w:rPr>
                <w:rFonts w:ascii="Calibri" w:hAnsi="Calibri" w:cs="Calibri"/>
                <w:bCs/>
                <w:snapToGrid/>
                <w:color w:val="000000"/>
                <w:sz w:val="24"/>
                <w:szCs w:val="24"/>
              </w:rPr>
              <w:t>Percentual</w:t>
            </w:r>
          </w:p>
        </w:tc>
        <w:tc>
          <w:tcPr>
            <w:tcW w:w="1347" w:type="dxa"/>
            <w:vAlign w:val="center"/>
          </w:tcPr>
          <w:p w:rsidR="000016CA" w:rsidRPr="00905BDE" w:rsidRDefault="00905BDE" w:rsidP="00232E4F">
            <w:pPr>
              <w:widowControl/>
              <w:jc w:val="center"/>
              <w:rPr>
                <w:rFonts w:ascii="Calibri" w:hAnsi="Calibri" w:cs="Calibri"/>
                <w:bCs/>
                <w:snapToGrid/>
                <w:color w:val="000000"/>
                <w:sz w:val="24"/>
                <w:szCs w:val="24"/>
              </w:rPr>
            </w:pPr>
            <w:r w:rsidRPr="00905BDE">
              <w:rPr>
                <w:rFonts w:ascii="Calibri" w:hAnsi="Calibri" w:cs="Calibri"/>
                <w:bCs/>
                <w:snapToGrid/>
                <w:color w:val="000000"/>
                <w:sz w:val="24"/>
                <w:szCs w:val="24"/>
              </w:rPr>
              <w:t>Montante</w:t>
            </w:r>
          </w:p>
        </w:tc>
        <w:tc>
          <w:tcPr>
            <w:tcW w:w="1347" w:type="dxa"/>
            <w:vAlign w:val="center"/>
          </w:tcPr>
          <w:p w:rsidR="000016CA" w:rsidRPr="00905BDE" w:rsidRDefault="00905BDE" w:rsidP="00232E4F">
            <w:pPr>
              <w:widowControl/>
              <w:jc w:val="center"/>
              <w:rPr>
                <w:rFonts w:ascii="Calibri" w:hAnsi="Calibri" w:cs="Calibri"/>
                <w:bCs/>
                <w:snapToGrid/>
                <w:color w:val="000000"/>
                <w:sz w:val="24"/>
                <w:szCs w:val="24"/>
              </w:rPr>
            </w:pPr>
            <w:r w:rsidRPr="00905BDE">
              <w:rPr>
                <w:rFonts w:ascii="Calibri" w:hAnsi="Calibri" w:cs="Calibri"/>
                <w:bCs/>
                <w:snapToGrid/>
                <w:color w:val="000000"/>
                <w:sz w:val="24"/>
                <w:szCs w:val="24"/>
              </w:rPr>
              <w:t>Percentual</w:t>
            </w:r>
          </w:p>
        </w:tc>
      </w:tr>
      <w:tr w:rsidR="000016CA" w:rsidRPr="002E7F4A" w:rsidTr="00232E4F">
        <w:trPr>
          <w:trHeight w:val="315"/>
        </w:trPr>
        <w:tc>
          <w:tcPr>
            <w:tcW w:w="3969" w:type="dxa"/>
            <w:shd w:val="clear" w:color="auto" w:fill="auto"/>
            <w:noWrap/>
            <w:vAlign w:val="center"/>
          </w:tcPr>
          <w:p w:rsidR="000016CA"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Disponível</w:t>
            </w:r>
          </w:p>
        </w:tc>
        <w:tc>
          <w:tcPr>
            <w:tcW w:w="1346" w:type="dxa"/>
            <w:shd w:val="clear" w:color="auto" w:fill="auto"/>
            <w:noWrap/>
            <w:vAlign w:val="center"/>
          </w:tcPr>
          <w:p w:rsidR="000016CA"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658</w:t>
            </w:r>
          </w:p>
        </w:tc>
        <w:tc>
          <w:tcPr>
            <w:tcW w:w="1347" w:type="dxa"/>
            <w:shd w:val="clear" w:color="auto" w:fill="auto"/>
            <w:noWrap/>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0,18%</w:t>
            </w:r>
          </w:p>
        </w:tc>
        <w:tc>
          <w:tcPr>
            <w:tcW w:w="1347" w:type="dxa"/>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4</w:t>
            </w:r>
          </w:p>
        </w:tc>
        <w:tc>
          <w:tcPr>
            <w:tcW w:w="1347" w:type="dxa"/>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0,00%</w:t>
            </w:r>
          </w:p>
        </w:tc>
      </w:tr>
      <w:tr w:rsidR="000016CA" w:rsidRPr="002E7F4A" w:rsidTr="00232E4F">
        <w:trPr>
          <w:trHeight w:val="315"/>
        </w:trPr>
        <w:tc>
          <w:tcPr>
            <w:tcW w:w="3969" w:type="dxa"/>
            <w:shd w:val="clear" w:color="auto" w:fill="auto"/>
            <w:noWrap/>
            <w:vAlign w:val="center"/>
          </w:tcPr>
          <w:p w:rsidR="000016CA"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Realizável</w:t>
            </w:r>
          </w:p>
        </w:tc>
        <w:tc>
          <w:tcPr>
            <w:tcW w:w="1346" w:type="dxa"/>
            <w:shd w:val="clear" w:color="auto" w:fill="auto"/>
            <w:noWrap/>
            <w:vAlign w:val="center"/>
          </w:tcPr>
          <w:p w:rsidR="000016CA"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57.103</w:t>
            </w:r>
          </w:p>
        </w:tc>
        <w:tc>
          <w:tcPr>
            <w:tcW w:w="1347" w:type="dxa"/>
            <w:shd w:val="clear" w:color="auto" w:fill="auto"/>
            <w:noWrap/>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15,43%</w:t>
            </w:r>
          </w:p>
        </w:tc>
        <w:tc>
          <w:tcPr>
            <w:tcW w:w="1347" w:type="dxa"/>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204.474</w:t>
            </w:r>
          </w:p>
        </w:tc>
        <w:tc>
          <w:tcPr>
            <w:tcW w:w="1347" w:type="dxa"/>
            <w:vAlign w:val="center"/>
          </w:tcPr>
          <w:p w:rsidR="000016CA" w:rsidRPr="002E7F4A" w:rsidRDefault="00905BDE" w:rsidP="00905BDE">
            <w:pPr>
              <w:widowControl/>
              <w:jc w:val="right"/>
              <w:rPr>
                <w:rFonts w:ascii="Calibri" w:hAnsi="Calibri" w:cs="Calibri"/>
                <w:snapToGrid/>
                <w:color w:val="000000"/>
                <w:sz w:val="24"/>
                <w:szCs w:val="24"/>
              </w:rPr>
            </w:pPr>
            <w:r>
              <w:rPr>
                <w:rFonts w:ascii="Calibri" w:hAnsi="Calibri" w:cs="Calibri"/>
                <w:snapToGrid/>
                <w:color w:val="000000"/>
                <w:sz w:val="24"/>
                <w:szCs w:val="24"/>
              </w:rPr>
              <w:t>35,06%</w:t>
            </w:r>
          </w:p>
        </w:tc>
      </w:tr>
      <w:tr w:rsidR="000016CA" w:rsidRPr="002E7F4A" w:rsidTr="00232E4F">
        <w:trPr>
          <w:trHeight w:val="315"/>
        </w:trPr>
        <w:tc>
          <w:tcPr>
            <w:tcW w:w="3969" w:type="dxa"/>
            <w:shd w:val="clear" w:color="auto" w:fill="auto"/>
            <w:noWrap/>
            <w:vAlign w:val="center"/>
          </w:tcPr>
          <w:p w:rsidR="000016CA"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Títulos Públicos</w:t>
            </w:r>
          </w:p>
        </w:tc>
        <w:tc>
          <w:tcPr>
            <w:tcW w:w="1346" w:type="dxa"/>
            <w:shd w:val="clear" w:color="auto" w:fill="auto"/>
            <w:noWrap/>
            <w:vAlign w:val="center"/>
          </w:tcPr>
          <w:p w:rsidR="000016CA"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38.748</w:t>
            </w:r>
          </w:p>
        </w:tc>
        <w:tc>
          <w:tcPr>
            <w:tcW w:w="1347" w:type="dxa"/>
            <w:shd w:val="clear" w:color="auto" w:fill="auto"/>
            <w:noWrap/>
            <w:vAlign w:val="center"/>
          </w:tcPr>
          <w:p w:rsidR="000016CA" w:rsidRPr="002E7F4A" w:rsidRDefault="00905BDE" w:rsidP="00905BDE">
            <w:pPr>
              <w:widowControl/>
              <w:jc w:val="right"/>
              <w:rPr>
                <w:rFonts w:ascii="Calibri" w:hAnsi="Calibri" w:cs="Calibri"/>
                <w:snapToGrid/>
                <w:color w:val="000000"/>
                <w:sz w:val="24"/>
                <w:szCs w:val="24"/>
              </w:rPr>
            </w:pPr>
            <w:r>
              <w:rPr>
                <w:rFonts w:ascii="Calibri" w:hAnsi="Calibri" w:cs="Calibri"/>
                <w:snapToGrid/>
                <w:color w:val="000000"/>
                <w:sz w:val="24"/>
                <w:szCs w:val="24"/>
              </w:rPr>
              <w:t>10,46%</w:t>
            </w:r>
          </w:p>
        </w:tc>
        <w:tc>
          <w:tcPr>
            <w:tcW w:w="1347" w:type="dxa"/>
            <w:vAlign w:val="center"/>
          </w:tcPr>
          <w:p w:rsidR="000016CA" w:rsidRPr="002E7F4A" w:rsidRDefault="00D414A4"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347" w:type="dxa"/>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0,00%</w:t>
            </w:r>
          </w:p>
        </w:tc>
      </w:tr>
      <w:tr w:rsidR="000016CA" w:rsidRPr="002E7F4A" w:rsidTr="00232E4F">
        <w:trPr>
          <w:trHeight w:val="315"/>
        </w:trPr>
        <w:tc>
          <w:tcPr>
            <w:tcW w:w="3969" w:type="dxa"/>
            <w:shd w:val="clear" w:color="auto" w:fill="auto"/>
            <w:noWrap/>
            <w:vAlign w:val="center"/>
          </w:tcPr>
          <w:p w:rsidR="000016CA"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Ações</w:t>
            </w:r>
          </w:p>
        </w:tc>
        <w:tc>
          <w:tcPr>
            <w:tcW w:w="1346" w:type="dxa"/>
            <w:shd w:val="clear" w:color="auto" w:fill="auto"/>
            <w:noWrap/>
            <w:vAlign w:val="center"/>
          </w:tcPr>
          <w:p w:rsidR="000016CA"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107.203</w:t>
            </w:r>
          </w:p>
        </w:tc>
        <w:tc>
          <w:tcPr>
            <w:tcW w:w="1347" w:type="dxa"/>
            <w:shd w:val="clear" w:color="auto" w:fill="auto"/>
            <w:noWrap/>
            <w:vAlign w:val="center"/>
          </w:tcPr>
          <w:p w:rsidR="000016C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28,96%</w:t>
            </w:r>
          </w:p>
        </w:tc>
        <w:tc>
          <w:tcPr>
            <w:tcW w:w="1347" w:type="dxa"/>
            <w:vAlign w:val="center"/>
          </w:tcPr>
          <w:p w:rsidR="000016C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106.839</w:t>
            </w:r>
          </w:p>
        </w:tc>
        <w:tc>
          <w:tcPr>
            <w:tcW w:w="1347" w:type="dxa"/>
            <w:vAlign w:val="center"/>
          </w:tcPr>
          <w:p w:rsidR="000016C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18,32%</w:t>
            </w:r>
          </w:p>
        </w:tc>
      </w:tr>
      <w:tr w:rsidR="000016CA" w:rsidRPr="002E7F4A" w:rsidTr="00232E4F">
        <w:trPr>
          <w:trHeight w:val="315"/>
        </w:trPr>
        <w:tc>
          <w:tcPr>
            <w:tcW w:w="3969" w:type="dxa"/>
            <w:shd w:val="clear" w:color="auto" w:fill="auto"/>
            <w:noWrap/>
            <w:vAlign w:val="center"/>
          </w:tcPr>
          <w:p w:rsidR="000016CA"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Fundos de Investimento</w:t>
            </w:r>
          </w:p>
        </w:tc>
        <w:tc>
          <w:tcPr>
            <w:tcW w:w="1346" w:type="dxa"/>
            <w:shd w:val="clear" w:color="auto" w:fill="auto"/>
            <w:noWrap/>
            <w:vAlign w:val="center"/>
          </w:tcPr>
          <w:p w:rsidR="000016CA"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39.860</w:t>
            </w:r>
          </w:p>
        </w:tc>
        <w:tc>
          <w:tcPr>
            <w:tcW w:w="1347" w:type="dxa"/>
            <w:shd w:val="clear" w:color="auto" w:fill="auto"/>
            <w:noWrap/>
            <w:vAlign w:val="center"/>
          </w:tcPr>
          <w:p w:rsidR="000016CA"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10,77%</w:t>
            </w:r>
          </w:p>
        </w:tc>
        <w:tc>
          <w:tcPr>
            <w:tcW w:w="1347" w:type="dxa"/>
            <w:vAlign w:val="center"/>
          </w:tcPr>
          <w:p w:rsidR="000016C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143.419</w:t>
            </w:r>
          </w:p>
        </w:tc>
        <w:tc>
          <w:tcPr>
            <w:tcW w:w="1347" w:type="dxa"/>
            <w:vAlign w:val="center"/>
          </w:tcPr>
          <w:p w:rsidR="000016C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24,59%</w:t>
            </w:r>
          </w:p>
        </w:tc>
      </w:tr>
      <w:tr w:rsidR="00232E4F" w:rsidRPr="002E7F4A" w:rsidTr="00232E4F">
        <w:trPr>
          <w:trHeight w:val="315"/>
        </w:trPr>
        <w:tc>
          <w:tcPr>
            <w:tcW w:w="3969" w:type="dxa"/>
            <w:shd w:val="clear" w:color="auto" w:fill="auto"/>
            <w:noWrap/>
            <w:vAlign w:val="center"/>
          </w:tcPr>
          <w:p w:rsidR="00232E4F" w:rsidRPr="00F079A2" w:rsidRDefault="00232E4F" w:rsidP="00905BDE">
            <w:pPr>
              <w:widowControl/>
              <w:ind w:firstLine="214"/>
              <w:rPr>
                <w:rFonts w:ascii="Calibri" w:hAnsi="Calibri" w:cs="Calibri"/>
                <w:snapToGrid/>
                <w:color w:val="000000"/>
                <w:sz w:val="24"/>
                <w:szCs w:val="24"/>
              </w:rPr>
            </w:pPr>
            <w:r>
              <w:rPr>
                <w:rFonts w:ascii="Calibri" w:hAnsi="Calibri" w:cs="Calibri"/>
                <w:snapToGrid/>
                <w:color w:val="000000"/>
                <w:sz w:val="24"/>
                <w:szCs w:val="24"/>
              </w:rPr>
              <w:t>Renda Fixa</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39.618</w:t>
            </w:r>
          </w:p>
        </w:tc>
        <w:tc>
          <w:tcPr>
            <w:tcW w:w="1347"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143.173</w:t>
            </w:r>
          </w:p>
        </w:tc>
        <w:tc>
          <w:tcPr>
            <w:tcW w:w="1347" w:type="dxa"/>
            <w:vAlign w:val="center"/>
          </w:tcPr>
          <w:p w:rsidR="00232E4F" w:rsidRDefault="00232E4F" w:rsidP="00232E4F">
            <w:pPr>
              <w:widowControl/>
              <w:jc w:val="right"/>
              <w:rPr>
                <w:rFonts w:ascii="Calibri" w:hAnsi="Calibri" w:cs="Calibri"/>
                <w:snapToGrid/>
                <w:color w:val="000000"/>
                <w:sz w:val="24"/>
                <w:szCs w:val="24"/>
              </w:rPr>
            </w:pPr>
          </w:p>
        </w:tc>
      </w:tr>
      <w:tr w:rsidR="00232E4F" w:rsidRPr="002E7F4A" w:rsidTr="00232E4F">
        <w:trPr>
          <w:trHeight w:val="315"/>
        </w:trPr>
        <w:tc>
          <w:tcPr>
            <w:tcW w:w="3969" w:type="dxa"/>
            <w:shd w:val="clear" w:color="auto" w:fill="auto"/>
            <w:noWrap/>
            <w:vAlign w:val="center"/>
          </w:tcPr>
          <w:p w:rsidR="00232E4F" w:rsidRPr="00F079A2" w:rsidRDefault="00232E4F" w:rsidP="00905BDE">
            <w:pPr>
              <w:widowControl/>
              <w:ind w:firstLine="214"/>
              <w:rPr>
                <w:rFonts w:ascii="Calibri" w:hAnsi="Calibri" w:cs="Calibri"/>
                <w:snapToGrid/>
                <w:color w:val="000000"/>
                <w:sz w:val="24"/>
                <w:szCs w:val="24"/>
              </w:rPr>
            </w:pPr>
            <w:r>
              <w:rPr>
                <w:rFonts w:ascii="Calibri" w:hAnsi="Calibri" w:cs="Calibri"/>
                <w:snapToGrid/>
                <w:color w:val="000000"/>
                <w:sz w:val="24"/>
                <w:szCs w:val="24"/>
              </w:rPr>
              <w:t>Imobiliário</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242</w:t>
            </w:r>
          </w:p>
        </w:tc>
        <w:tc>
          <w:tcPr>
            <w:tcW w:w="1347"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246</w:t>
            </w:r>
          </w:p>
        </w:tc>
        <w:tc>
          <w:tcPr>
            <w:tcW w:w="1347" w:type="dxa"/>
            <w:vAlign w:val="center"/>
          </w:tcPr>
          <w:p w:rsidR="00232E4F" w:rsidRDefault="00232E4F" w:rsidP="00232E4F">
            <w:pPr>
              <w:widowControl/>
              <w:jc w:val="right"/>
              <w:rPr>
                <w:rFonts w:ascii="Calibri" w:hAnsi="Calibri" w:cs="Calibri"/>
                <w:snapToGrid/>
                <w:color w:val="000000"/>
                <w:sz w:val="24"/>
                <w:szCs w:val="24"/>
              </w:rPr>
            </w:pPr>
          </w:p>
        </w:tc>
      </w:tr>
      <w:tr w:rsidR="00232E4F" w:rsidRPr="002E7F4A" w:rsidTr="00232E4F">
        <w:trPr>
          <w:trHeight w:val="315"/>
        </w:trPr>
        <w:tc>
          <w:tcPr>
            <w:tcW w:w="3969" w:type="dxa"/>
            <w:shd w:val="clear" w:color="auto" w:fill="auto"/>
            <w:noWrap/>
            <w:vAlign w:val="center"/>
          </w:tcPr>
          <w:p w:rsidR="00232E4F"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Investimentos Imobiliários</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115.982</w:t>
            </w:r>
          </w:p>
        </w:tc>
        <w:tc>
          <w:tcPr>
            <w:tcW w:w="1347" w:type="dxa"/>
            <w:shd w:val="clear" w:color="auto" w:fill="auto"/>
            <w:noWrap/>
            <w:vAlign w:val="center"/>
          </w:tcPr>
          <w:p w:rsidR="00232E4F"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31,33%</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118.048</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20,24%</w:t>
            </w:r>
          </w:p>
        </w:tc>
      </w:tr>
      <w:tr w:rsidR="00232E4F" w:rsidRPr="002E7F4A" w:rsidTr="00232E4F">
        <w:trPr>
          <w:trHeight w:val="315"/>
        </w:trPr>
        <w:tc>
          <w:tcPr>
            <w:tcW w:w="3969" w:type="dxa"/>
            <w:shd w:val="clear" w:color="auto" w:fill="auto"/>
            <w:noWrap/>
            <w:vAlign w:val="center"/>
          </w:tcPr>
          <w:p w:rsidR="00232E4F"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Empréstimos e Financiamentos</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w:t>
            </w:r>
          </w:p>
        </w:tc>
        <w:tc>
          <w:tcPr>
            <w:tcW w:w="1347" w:type="dxa"/>
            <w:shd w:val="clear" w:color="auto" w:fill="auto"/>
            <w:noWrap/>
            <w:vAlign w:val="center"/>
          </w:tcPr>
          <w:p w:rsidR="00232E4F"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0,00%</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0,00%</w:t>
            </w:r>
          </w:p>
        </w:tc>
      </w:tr>
      <w:tr w:rsidR="00232E4F" w:rsidRPr="002E7F4A" w:rsidTr="00232E4F">
        <w:trPr>
          <w:trHeight w:val="315"/>
        </w:trPr>
        <w:tc>
          <w:tcPr>
            <w:tcW w:w="3969" w:type="dxa"/>
            <w:shd w:val="clear" w:color="auto" w:fill="auto"/>
            <w:noWrap/>
            <w:vAlign w:val="center"/>
          </w:tcPr>
          <w:p w:rsidR="00232E4F"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Outros – Depósitos Judiciários</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10.627</w:t>
            </w:r>
          </w:p>
        </w:tc>
        <w:tc>
          <w:tcPr>
            <w:tcW w:w="1347" w:type="dxa"/>
            <w:shd w:val="clear" w:color="auto" w:fill="auto"/>
            <w:noWrap/>
            <w:vAlign w:val="center"/>
          </w:tcPr>
          <w:p w:rsidR="00232E4F"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2,87%</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10.469</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1,79%</w:t>
            </w:r>
          </w:p>
        </w:tc>
      </w:tr>
      <w:tr w:rsidR="00232E4F" w:rsidRPr="002E7F4A" w:rsidTr="00232E4F">
        <w:trPr>
          <w:trHeight w:val="315"/>
        </w:trPr>
        <w:tc>
          <w:tcPr>
            <w:tcW w:w="3969" w:type="dxa"/>
            <w:shd w:val="clear" w:color="auto" w:fill="auto"/>
            <w:noWrap/>
            <w:vAlign w:val="center"/>
          </w:tcPr>
          <w:p w:rsidR="00232E4F" w:rsidRPr="00F079A2" w:rsidRDefault="00232E4F" w:rsidP="00232E4F">
            <w:pPr>
              <w:widowControl/>
              <w:rPr>
                <w:rFonts w:ascii="Calibri" w:hAnsi="Calibri" w:cs="Calibri"/>
                <w:snapToGrid/>
                <w:color w:val="000000"/>
                <w:sz w:val="24"/>
                <w:szCs w:val="24"/>
              </w:rPr>
            </w:pPr>
            <w:r>
              <w:rPr>
                <w:rFonts w:ascii="Calibri" w:hAnsi="Calibri" w:cs="Calibri"/>
                <w:snapToGrid/>
                <w:color w:val="000000"/>
                <w:sz w:val="24"/>
                <w:szCs w:val="24"/>
              </w:rPr>
              <w:t>Total</w:t>
            </w:r>
            <w:r w:rsidR="007B271D">
              <w:rPr>
                <w:rFonts w:ascii="Calibri" w:hAnsi="Calibri" w:cs="Calibri"/>
                <w:snapToGrid/>
                <w:color w:val="000000"/>
                <w:sz w:val="24"/>
                <w:szCs w:val="24"/>
              </w:rPr>
              <w:t xml:space="preserve"> do Ativo</w:t>
            </w:r>
          </w:p>
        </w:tc>
        <w:tc>
          <w:tcPr>
            <w:tcW w:w="1346" w:type="dxa"/>
            <w:shd w:val="clear" w:color="auto" w:fill="auto"/>
            <w:noWrap/>
            <w:vAlign w:val="center"/>
          </w:tcPr>
          <w:p w:rsidR="00232E4F" w:rsidRPr="002E7F4A" w:rsidRDefault="00232E4F"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370.182</w:t>
            </w:r>
          </w:p>
        </w:tc>
        <w:tc>
          <w:tcPr>
            <w:tcW w:w="1347" w:type="dxa"/>
            <w:shd w:val="clear" w:color="auto" w:fill="auto"/>
            <w:noWrap/>
            <w:vAlign w:val="center"/>
          </w:tcPr>
          <w:p w:rsidR="00232E4F" w:rsidRPr="002E7F4A"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100,00%</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583.254</w:t>
            </w:r>
          </w:p>
        </w:tc>
        <w:tc>
          <w:tcPr>
            <w:tcW w:w="1347" w:type="dxa"/>
            <w:vAlign w:val="center"/>
          </w:tcPr>
          <w:p w:rsidR="00232E4F" w:rsidRDefault="00905BDE" w:rsidP="00232E4F">
            <w:pPr>
              <w:widowControl/>
              <w:jc w:val="right"/>
              <w:rPr>
                <w:rFonts w:ascii="Calibri" w:hAnsi="Calibri" w:cs="Calibri"/>
                <w:snapToGrid/>
                <w:color w:val="000000"/>
                <w:sz w:val="24"/>
                <w:szCs w:val="24"/>
              </w:rPr>
            </w:pPr>
            <w:r>
              <w:rPr>
                <w:rFonts w:ascii="Calibri" w:hAnsi="Calibri" w:cs="Calibri"/>
                <w:snapToGrid/>
                <w:color w:val="000000"/>
                <w:sz w:val="24"/>
                <w:szCs w:val="24"/>
              </w:rPr>
              <w:t>100,00%</w:t>
            </w:r>
          </w:p>
        </w:tc>
      </w:tr>
    </w:tbl>
    <w:p w:rsidR="007B271D" w:rsidRDefault="007B271D" w:rsidP="00E70A67">
      <w:pPr>
        <w:jc w:val="both"/>
        <w:rPr>
          <w:rFonts w:ascii="Calibri" w:hAnsi="Calibri" w:cs="Calibri"/>
          <w:sz w:val="24"/>
          <w:szCs w:val="2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1417"/>
        <w:gridCol w:w="1418"/>
      </w:tblGrid>
      <w:tr w:rsidR="007B271D" w:rsidRPr="002E7F4A" w:rsidTr="007B271D">
        <w:trPr>
          <w:trHeight w:val="315"/>
        </w:trPr>
        <w:tc>
          <w:tcPr>
            <w:tcW w:w="4253" w:type="dxa"/>
            <w:shd w:val="clear" w:color="auto" w:fill="auto"/>
            <w:noWrap/>
            <w:vAlign w:val="center"/>
          </w:tcPr>
          <w:p w:rsidR="007B271D" w:rsidRPr="00F079A2" w:rsidRDefault="007B271D" w:rsidP="00014E44">
            <w:pPr>
              <w:widowControl/>
              <w:rPr>
                <w:rFonts w:ascii="Calibri" w:hAnsi="Calibri" w:cs="Calibri"/>
                <w:snapToGrid/>
                <w:color w:val="000000"/>
                <w:sz w:val="24"/>
                <w:szCs w:val="24"/>
              </w:rPr>
            </w:pPr>
          </w:p>
        </w:tc>
        <w:tc>
          <w:tcPr>
            <w:tcW w:w="1417" w:type="dxa"/>
            <w:shd w:val="clear" w:color="auto" w:fill="auto"/>
            <w:noWrap/>
            <w:vAlign w:val="center"/>
          </w:tcPr>
          <w:p w:rsidR="007B271D" w:rsidRPr="007B271D" w:rsidRDefault="007B271D" w:rsidP="007B271D">
            <w:pPr>
              <w:widowControl/>
              <w:jc w:val="center"/>
              <w:rPr>
                <w:rFonts w:ascii="Calibri" w:hAnsi="Calibri" w:cs="Calibri"/>
                <w:b/>
                <w:snapToGrid/>
                <w:color w:val="000000"/>
                <w:sz w:val="24"/>
                <w:szCs w:val="24"/>
              </w:rPr>
            </w:pPr>
            <w:r w:rsidRPr="007B271D">
              <w:rPr>
                <w:rFonts w:ascii="Calibri" w:hAnsi="Calibri" w:cs="Calibri"/>
                <w:b/>
                <w:snapToGrid/>
                <w:color w:val="000000"/>
                <w:sz w:val="24"/>
                <w:szCs w:val="24"/>
              </w:rPr>
              <w:t>2019</w:t>
            </w:r>
          </w:p>
        </w:tc>
        <w:tc>
          <w:tcPr>
            <w:tcW w:w="1418" w:type="dxa"/>
            <w:vAlign w:val="center"/>
          </w:tcPr>
          <w:p w:rsidR="007B271D" w:rsidRPr="007B271D" w:rsidRDefault="007B271D" w:rsidP="007B271D">
            <w:pPr>
              <w:widowControl/>
              <w:jc w:val="center"/>
              <w:rPr>
                <w:rFonts w:ascii="Calibri" w:hAnsi="Calibri" w:cs="Calibri"/>
                <w:b/>
                <w:snapToGrid/>
                <w:color w:val="000000"/>
                <w:sz w:val="24"/>
                <w:szCs w:val="24"/>
              </w:rPr>
            </w:pPr>
            <w:r w:rsidRPr="007B271D">
              <w:rPr>
                <w:rFonts w:ascii="Calibri" w:hAnsi="Calibri" w:cs="Calibri"/>
                <w:b/>
                <w:snapToGrid/>
                <w:color w:val="000000"/>
                <w:sz w:val="24"/>
                <w:szCs w:val="24"/>
              </w:rPr>
              <w:t>2018</w:t>
            </w:r>
          </w:p>
        </w:tc>
      </w:tr>
      <w:tr w:rsidR="007B271D" w:rsidRPr="002E7F4A" w:rsidTr="007B271D">
        <w:trPr>
          <w:trHeight w:val="315"/>
        </w:trPr>
        <w:tc>
          <w:tcPr>
            <w:tcW w:w="4253" w:type="dxa"/>
            <w:shd w:val="clear" w:color="auto" w:fill="auto"/>
            <w:noWrap/>
            <w:vAlign w:val="center"/>
          </w:tcPr>
          <w:p w:rsidR="007B271D" w:rsidRPr="00F079A2" w:rsidRDefault="007B271D" w:rsidP="00014E44">
            <w:pPr>
              <w:widowControl/>
              <w:rPr>
                <w:rFonts w:ascii="Calibri" w:hAnsi="Calibri" w:cs="Calibri"/>
                <w:snapToGrid/>
                <w:color w:val="000000"/>
                <w:sz w:val="24"/>
                <w:szCs w:val="24"/>
              </w:rPr>
            </w:pPr>
            <w:r>
              <w:rPr>
                <w:rFonts w:ascii="Calibri" w:hAnsi="Calibri" w:cs="Calibri"/>
                <w:snapToGrid/>
                <w:color w:val="000000"/>
                <w:sz w:val="24"/>
                <w:szCs w:val="24"/>
              </w:rPr>
              <w:t>Total do Ativo</w:t>
            </w:r>
          </w:p>
        </w:tc>
        <w:tc>
          <w:tcPr>
            <w:tcW w:w="1417" w:type="dxa"/>
            <w:shd w:val="clear" w:color="auto" w:fill="auto"/>
            <w:noWrap/>
            <w:vAlign w:val="center"/>
          </w:tcPr>
          <w:p w:rsidR="007B271D" w:rsidRPr="002E7F4A" w:rsidRDefault="007B271D" w:rsidP="00014E44">
            <w:pPr>
              <w:widowControl/>
              <w:jc w:val="right"/>
              <w:rPr>
                <w:rFonts w:ascii="Calibri" w:hAnsi="Calibri" w:cs="Calibri"/>
                <w:snapToGrid/>
                <w:color w:val="000000"/>
                <w:sz w:val="24"/>
                <w:szCs w:val="24"/>
              </w:rPr>
            </w:pPr>
            <w:r>
              <w:rPr>
                <w:rFonts w:ascii="Calibri" w:hAnsi="Calibri" w:cs="Calibri"/>
                <w:snapToGrid/>
                <w:color w:val="000000"/>
                <w:sz w:val="24"/>
                <w:szCs w:val="24"/>
              </w:rPr>
              <w:t>370.182</w:t>
            </w:r>
          </w:p>
        </w:tc>
        <w:tc>
          <w:tcPr>
            <w:tcW w:w="1418" w:type="dxa"/>
            <w:vAlign w:val="center"/>
          </w:tcPr>
          <w:p w:rsidR="007B271D" w:rsidRDefault="007B271D" w:rsidP="00014E44">
            <w:pPr>
              <w:widowControl/>
              <w:jc w:val="right"/>
              <w:rPr>
                <w:rFonts w:ascii="Calibri" w:hAnsi="Calibri" w:cs="Calibri"/>
                <w:snapToGrid/>
                <w:color w:val="000000"/>
                <w:sz w:val="24"/>
                <w:szCs w:val="24"/>
              </w:rPr>
            </w:pPr>
            <w:r>
              <w:rPr>
                <w:rFonts w:ascii="Calibri" w:hAnsi="Calibri" w:cs="Calibri"/>
                <w:snapToGrid/>
                <w:color w:val="000000"/>
                <w:sz w:val="24"/>
                <w:szCs w:val="24"/>
              </w:rPr>
              <w:t>583.254</w:t>
            </w:r>
          </w:p>
        </w:tc>
      </w:tr>
      <w:tr w:rsidR="007B271D" w:rsidRPr="00905BDE" w:rsidTr="007B271D">
        <w:trPr>
          <w:trHeight w:val="315"/>
        </w:trPr>
        <w:tc>
          <w:tcPr>
            <w:tcW w:w="4253" w:type="dxa"/>
            <w:shd w:val="clear" w:color="auto" w:fill="auto"/>
            <w:noWrap/>
            <w:vAlign w:val="center"/>
          </w:tcPr>
          <w:p w:rsidR="007B271D" w:rsidRPr="002E7F4A" w:rsidRDefault="007B271D" w:rsidP="007B271D">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Contribuições Contratadas em Atraso</w:t>
            </w:r>
          </w:p>
        </w:tc>
        <w:tc>
          <w:tcPr>
            <w:tcW w:w="1417" w:type="dxa"/>
            <w:shd w:val="clear" w:color="auto" w:fill="auto"/>
            <w:noWrap/>
            <w:vAlign w:val="center"/>
          </w:tcPr>
          <w:p w:rsidR="007B271D" w:rsidRPr="00905BDE" w:rsidRDefault="007B271D" w:rsidP="007B271D">
            <w:pPr>
              <w:widowControl/>
              <w:jc w:val="right"/>
              <w:rPr>
                <w:rFonts w:ascii="Calibri" w:hAnsi="Calibri" w:cs="Calibri"/>
                <w:bCs/>
                <w:snapToGrid/>
                <w:color w:val="000000"/>
                <w:sz w:val="24"/>
                <w:szCs w:val="24"/>
              </w:rPr>
            </w:pPr>
            <w:r>
              <w:rPr>
                <w:rFonts w:ascii="Calibri" w:hAnsi="Calibri" w:cs="Calibri"/>
                <w:bCs/>
                <w:snapToGrid/>
                <w:color w:val="000000"/>
                <w:sz w:val="24"/>
                <w:szCs w:val="24"/>
              </w:rPr>
              <w:t>(8.828)</w:t>
            </w:r>
          </w:p>
        </w:tc>
        <w:tc>
          <w:tcPr>
            <w:tcW w:w="1418" w:type="dxa"/>
            <w:vAlign w:val="center"/>
          </w:tcPr>
          <w:p w:rsidR="007B271D" w:rsidRPr="00905BDE" w:rsidRDefault="007B271D" w:rsidP="007B271D">
            <w:pPr>
              <w:widowControl/>
              <w:jc w:val="right"/>
              <w:rPr>
                <w:rFonts w:ascii="Calibri" w:hAnsi="Calibri" w:cs="Calibri"/>
                <w:bCs/>
                <w:snapToGrid/>
                <w:color w:val="000000"/>
                <w:sz w:val="24"/>
                <w:szCs w:val="24"/>
              </w:rPr>
            </w:pPr>
            <w:r>
              <w:rPr>
                <w:rFonts w:ascii="Calibri" w:hAnsi="Calibri" w:cs="Calibri"/>
                <w:bCs/>
                <w:snapToGrid/>
                <w:color w:val="000000"/>
                <w:sz w:val="24"/>
                <w:szCs w:val="24"/>
              </w:rPr>
              <w:t>(80.415)</w:t>
            </w:r>
          </w:p>
        </w:tc>
      </w:tr>
      <w:tr w:rsidR="007B271D" w:rsidRPr="002E7F4A" w:rsidTr="007B271D">
        <w:trPr>
          <w:trHeight w:val="315"/>
        </w:trPr>
        <w:tc>
          <w:tcPr>
            <w:tcW w:w="4253" w:type="dxa"/>
            <w:shd w:val="clear" w:color="auto" w:fill="auto"/>
            <w:noWrap/>
            <w:vAlign w:val="center"/>
          </w:tcPr>
          <w:p w:rsidR="007B271D" w:rsidRPr="00F079A2" w:rsidRDefault="007B271D" w:rsidP="00014E44">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Uso Próprio</w:t>
            </w:r>
          </w:p>
        </w:tc>
        <w:tc>
          <w:tcPr>
            <w:tcW w:w="1417" w:type="dxa"/>
            <w:shd w:val="clear" w:color="auto" w:fill="auto"/>
            <w:noWrap/>
            <w:vAlign w:val="center"/>
          </w:tcPr>
          <w:p w:rsidR="007B271D" w:rsidRPr="002E7F4A" w:rsidRDefault="007B271D" w:rsidP="007B271D">
            <w:pPr>
              <w:widowControl/>
              <w:jc w:val="right"/>
              <w:rPr>
                <w:rFonts w:ascii="Calibri" w:hAnsi="Calibri" w:cs="Calibri"/>
                <w:snapToGrid/>
                <w:color w:val="000000"/>
                <w:sz w:val="24"/>
                <w:szCs w:val="24"/>
              </w:rPr>
            </w:pPr>
            <w:r>
              <w:rPr>
                <w:rFonts w:ascii="Calibri" w:hAnsi="Calibri" w:cs="Calibri"/>
                <w:snapToGrid/>
                <w:color w:val="000000"/>
                <w:sz w:val="24"/>
                <w:szCs w:val="24"/>
              </w:rPr>
              <w:t>(5.654)</w:t>
            </w:r>
          </w:p>
        </w:tc>
        <w:tc>
          <w:tcPr>
            <w:tcW w:w="1418" w:type="dxa"/>
            <w:vAlign w:val="center"/>
          </w:tcPr>
          <w:p w:rsidR="007B271D" w:rsidRPr="002E7F4A" w:rsidRDefault="007B271D" w:rsidP="007B271D">
            <w:pPr>
              <w:widowControl/>
              <w:jc w:val="right"/>
              <w:rPr>
                <w:rFonts w:ascii="Calibri" w:hAnsi="Calibri" w:cs="Calibri"/>
                <w:snapToGrid/>
                <w:color w:val="000000"/>
                <w:sz w:val="24"/>
                <w:szCs w:val="24"/>
              </w:rPr>
            </w:pPr>
            <w:r>
              <w:rPr>
                <w:rFonts w:ascii="Calibri" w:hAnsi="Calibri" w:cs="Calibri"/>
                <w:snapToGrid/>
                <w:color w:val="000000"/>
                <w:sz w:val="24"/>
                <w:szCs w:val="24"/>
              </w:rPr>
              <w:t>(7.491)</w:t>
            </w:r>
          </w:p>
        </w:tc>
      </w:tr>
      <w:tr w:rsidR="007B271D" w:rsidRPr="002E7F4A" w:rsidTr="007B271D">
        <w:trPr>
          <w:trHeight w:val="315"/>
        </w:trPr>
        <w:tc>
          <w:tcPr>
            <w:tcW w:w="4253" w:type="dxa"/>
            <w:shd w:val="clear" w:color="auto" w:fill="auto"/>
            <w:noWrap/>
            <w:vAlign w:val="center"/>
          </w:tcPr>
          <w:p w:rsidR="007B271D" w:rsidRPr="00F079A2" w:rsidRDefault="007B271D" w:rsidP="00014E44">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Exigível Operacional</w:t>
            </w:r>
          </w:p>
        </w:tc>
        <w:tc>
          <w:tcPr>
            <w:tcW w:w="1417" w:type="dxa"/>
            <w:shd w:val="clear" w:color="auto" w:fill="auto"/>
            <w:noWrap/>
            <w:vAlign w:val="center"/>
          </w:tcPr>
          <w:p w:rsidR="007B271D" w:rsidRPr="002E7F4A" w:rsidRDefault="007B271D" w:rsidP="007B271D">
            <w:pPr>
              <w:widowControl/>
              <w:jc w:val="right"/>
              <w:rPr>
                <w:rFonts w:ascii="Calibri" w:hAnsi="Calibri" w:cs="Calibri"/>
                <w:snapToGrid/>
                <w:color w:val="000000"/>
                <w:sz w:val="24"/>
                <w:szCs w:val="24"/>
              </w:rPr>
            </w:pPr>
            <w:r>
              <w:rPr>
                <w:rFonts w:ascii="Calibri" w:hAnsi="Calibri" w:cs="Calibri"/>
                <w:snapToGrid/>
                <w:color w:val="000000"/>
                <w:sz w:val="24"/>
                <w:szCs w:val="24"/>
              </w:rPr>
              <w:t>(18.652)</w:t>
            </w:r>
          </w:p>
        </w:tc>
        <w:tc>
          <w:tcPr>
            <w:tcW w:w="1418" w:type="dxa"/>
            <w:vAlign w:val="center"/>
          </w:tcPr>
          <w:p w:rsidR="007B271D" w:rsidRPr="002E7F4A" w:rsidRDefault="007B271D" w:rsidP="007B271D">
            <w:pPr>
              <w:widowControl/>
              <w:jc w:val="right"/>
              <w:rPr>
                <w:rFonts w:ascii="Calibri" w:hAnsi="Calibri" w:cs="Calibri"/>
                <w:snapToGrid/>
                <w:color w:val="000000"/>
                <w:sz w:val="24"/>
                <w:szCs w:val="24"/>
              </w:rPr>
            </w:pPr>
            <w:r>
              <w:rPr>
                <w:rFonts w:ascii="Calibri" w:hAnsi="Calibri" w:cs="Calibri"/>
                <w:snapToGrid/>
                <w:color w:val="000000"/>
                <w:sz w:val="24"/>
                <w:szCs w:val="24"/>
              </w:rPr>
              <w:t>(10.482)</w:t>
            </w:r>
          </w:p>
        </w:tc>
      </w:tr>
      <w:tr w:rsidR="000372E3" w:rsidRPr="002E7F4A" w:rsidTr="007B271D">
        <w:trPr>
          <w:trHeight w:val="315"/>
        </w:trPr>
        <w:tc>
          <w:tcPr>
            <w:tcW w:w="4253" w:type="dxa"/>
            <w:shd w:val="clear" w:color="auto" w:fill="auto"/>
            <w:noWrap/>
            <w:vAlign w:val="center"/>
          </w:tcPr>
          <w:p w:rsidR="000372E3" w:rsidRPr="00F079A2"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Exigível Contingencial</w:t>
            </w:r>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(15.680)</w:t>
            </w:r>
          </w:p>
        </w:tc>
        <w:tc>
          <w:tcPr>
            <w:tcW w:w="1418" w:type="dxa"/>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(17.043)</w:t>
            </w:r>
          </w:p>
        </w:tc>
      </w:tr>
      <w:tr w:rsidR="000372E3" w:rsidRPr="002E7F4A" w:rsidTr="007B271D">
        <w:trPr>
          <w:trHeight w:val="315"/>
        </w:trPr>
        <w:tc>
          <w:tcPr>
            <w:tcW w:w="4253" w:type="dxa"/>
            <w:shd w:val="clear" w:color="auto" w:fill="auto"/>
            <w:noWrap/>
            <w:vAlign w:val="center"/>
          </w:tcPr>
          <w:p w:rsidR="000372E3"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xml:space="preserve">–) Fundo </w:t>
            </w:r>
            <w:proofErr w:type="spellStart"/>
            <w:r>
              <w:rPr>
                <w:rFonts w:ascii="Calibri" w:hAnsi="Calibri" w:cs="Calibri"/>
                <w:sz w:val="24"/>
                <w:szCs w:val="24"/>
              </w:rPr>
              <w:t>Previdencial</w:t>
            </w:r>
            <w:proofErr w:type="spellEnd"/>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(40.348)</w:t>
            </w:r>
          </w:p>
        </w:tc>
        <w:tc>
          <w:tcPr>
            <w:tcW w:w="1418" w:type="dxa"/>
            <w:vAlign w:val="center"/>
          </w:tcPr>
          <w:p w:rsidR="000372E3"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(43.410)</w:t>
            </w:r>
          </w:p>
        </w:tc>
      </w:tr>
      <w:tr w:rsidR="000372E3" w:rsidTr="007B271D">
        <w:trPr>
          <w:trHeight w:val="315"/>
        </w:trPr>
        <w:tc>
          <w:tcPr>
            <w:tcW w:w="4253" w:type="dxa"/>
            <w:shd w:val="clear" w:color="auto" w:fill="auto"/>
            <w:noWrap/>
            <w:vAlign w:val="center"/>
          </w:tcPr>
          <w:p w:rsidR="000372E3" w:rsidRPr="00F079A2"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Fundo de Investimento</w:t>
            </w:r>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(6.798)</w:t>
            </w:r>
          </w:p>
        </w:tc>
        <w:tc>
          <w:tcPr>
            <w:tcW w:w="1418" w:type="dxa"/>
            <w:vAlign w:val="center"/>
          </w:tcPr>
          <w:p w:rsidR="000372E3"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(6.137)</w:t>
            </w:r>
          </w:p>
        </w:tc>
      </w:tr>
      <w:tr w:rsidR="000372E3" w:rsidTr="007B271D">
        <w:trPr>
          <w:trHeight w:val="315"/>
        </w:trPr>
        <w:tc>
          <w:tcPr>
            <w:tcW w:w="4253" w:type="dxa"/>
            <w:shd w:val="clear" w:color="auto" w:fill="auto"/>
            <w:noWrap/>
            <w:vAlign w:val="center"/>
          </w:tcPr>
          <w:p w:rsidR="000372E3" w:rsidRPr="00F079A2"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w:t>
            </w:r>
            <w:r>
              <w:rPr>
                <w:rFonts w:ascii="Calibri" w:hAnsi="Calibri" w:cs="Calibri"/>
                <w:sz w:val="24"/>
                <w:szCs w:val="24"/>
              </w:rPr>
              <w:t>–) Fundo Administrativo</w:t>
            </w:r>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(69.664)</w:t>
            </w:r>
          </w:p>
        </w:tc>
        <w:tc>
          <w:tcPr>
            <w:tcW w:w="1418" w:type="dxa"/>
            <w:vAlign w:val="center"/>
          </w:tcPr>
          <w:p w:rsidR="000372E3"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(84.635)</w:t>
            </w:r>
          </w:p>
        </w:tc>
      </w:tr>
      <w:tr w:rsidR="000372E3" w:rsidTr="007B271D">
        <w:trPr>
          <w:trHeight w:val="315"/>
        </w:trPr>
        <w:tc>
          <w:tcPr>
            <w:tcW w:w="4253" w:type="dxa"/>
            <w:shd w:val="clear" w:color="auto" w:fill="auto"/>
            <w:noWrap/>
            <w:vAlign w:val="center"/>
          </w:tcPr>
          <w:p w:rsidR="000372E3" w:rsidRPr="00F079A2"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Valor Justo dos Ativos</w:t>
            </w:r>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204.558</w:t>
            </w:r>
          </w:p>
        </w:tc>
        <w:tc>
          <w:tcPr>
            <w:tcW w:w="1418" w:type="dxa"/>
            <w:vAlign w:val="center"/>
          </w:tcPr>
          <w:p w:rsidR="000372E3"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333.641</w:t>
            </w:r>
          </w:p>
        </w:tc>
      </w:tr>
      <w:tr w:rsidR="000372E3" w:rsidTr="007B271D">
        <w:trPr>
          <w:trHeight w:val="315"/>
        </w:trPr>
        <w:tc>
          <w:tcPr>
            <w:tcW w:w="4253" w:type="dxa"/>
            <w:shd w:val="clear" w:color="auto" w:fill="auto"/>
            <w:noWrap/>
            <w:vAlign w:val="center"/>
          </w:tcPr>
          <w:p w:rsidR="000372E3" w:rsidRPr="00F079A2" w:rsidRDefault="000372E3" w:rsidP="000372E3">
            <w:pPr>
              <w:widowControl/>
              <w:rPr>
                <w:rFonts w:ascii="Calibri" w:hAnsi="Calibri" w:cs="Calibri"/>
                <w:snapToGrid/>
                <w:color w:val="000000"/>
                <w:sz w:val="24"/>
                <w:szCs w:val="24"/>
              </w:rPr>
            </w:pPr>
            <w:r>
              <w:rPr>
                <w:rFonts w:ascii="Calibri" w:hAnsi="Calibri" w:cs="Calibri"/>
                <w:snapToGrid/>
                <w:color w:val="000000"/>
                <w:sz w:val="24"/>
                <w:szCs w:val="24"/>
              </w:rPr>
              <w:t>Percentual de Rateio</w:t>
            </w:r>
          </w:p>
        </w:tc>
        <w:tc>
          <w:tcPr>
            <w:tcW w:w="1417" w:type="dxa"/>
            <w:shd w:val="clear" w:color="auto" w:fill="auto"/>
            <w:noWrap/>
            <w:vAlign w:val="center"/>
          </w:tcPr>
          <w:p w:rsidR="000372E3" w:rsidRPr="002E7F4A"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18,208%</w:t>
            </w:r>
          </w:p>
        </w:tc>
        <w:tc>
          <w:tcPr>
            <w:tcW w:w="1418" w:type="dxa"/>
            <w:vAlign w:val="center"/>
          </w:tcPr>
          <w:p w:rsidR="000372E3" w:rsidRDefault="000372E3"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18,208%</w:t>
            </w:r>
          </w:p>
        </w:tc>
      </w:tr>
      <w:tr w:rsidR="005E0B68" w:rsidTr="007B271D">
        <w:trPr>
          <w:trHeight w:val="315"/>
        </w:trPr>
        <w:tc>
          <w:tcPr>
            <w:tcW w:w="4253" w:type="dxa"/>
            <w:shd w:val="clear" w:color="auto" w:fill="auto"/>
            <w:noWrap/>
            <w:vAlign w:val="center"/>
          </w:tcPr>
          <w:p w:rsidR="005E0B68" w:rsidRDefault="005E0B68" w:rsidP="000372E3">
            <w:pPr>
              <w:widowControl/>
              <w:rPr>
                <w:rFonts w:ascii="Calibri" w:hAnsi="Calibri" w:cs="Calibri"/>
                <w:snapToGrid/>
                <w:color w:val="000000"/>
                <w:sz w:val="24"/>
                <w:szCs w:val="24"/>
              </w:rPr>
            </w:pPr>
            <w:r>
              <w:rPr>
                <w:rFonts w:ascii="Calibri" w:hAnsi="Calibri" w:cs="Calibri"/>
                <w:snapToGrid/>
                <w:color w:val="000000"/>
                <w:sz w:val="24"/>
                <w:szCs w:val="24"/>
              </w:rPr>
              <w:t>Valor Justo dos Ativos</w:t>
            </w:r>
          </w:p>
        </w:tc>
        <w:tc>
          <w:tcPr>
            <w:tcW w:w="1417" w:type="dxa"/>
            <w:shd w:val="clear" w:color="auto" w:fill="auto"/>
            <w:noWrap/>
            <w:vAlign w:val="center"/>
          </w:tcPr>
          <w:p w:rsidR="005E0B68" w:rsidRDefault="005E0B68"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37.247</w:t>
            </w:r>
          </w:p>
        </w:tc>
        <w:tc>
          <w:tcPr>
            <w:tcW w:w="1418" w:type="dxa"/>
            <w:vAlign w:val="center"/>
          </w:tcPr>
          <w:p w:rsidR="005E0B68" w:rsidRDefault="005E0B68" w:rsidP="000372E3">
            <w:pPr>
              <w:widowControl/>
              <w:jc w:val="right"/>
              <w:rPr>
                <w:rFonts w:ascii="Calibri" w:hAnsi="Calibri" w:cs="Calibri"/>
                <w:snapToGrid/>
                <w:color w:val="000000"/>
                <w:sz w:val="24"/>
                <w:szCs w:val="24"/>
              </w:rPr>
            </w:pPr>
            <w:r>
              <w:rPr>
                <w:rFonts w:ascii="Calibri" w:hAnsi="Calibri" w:cs="Calibri"/>
                <w:snapToGrid/>
                <w:color w:val="000000"/>
                <w:sz w:val="24"/>
                <w:szCs w:val="24"/>
              </w:rPr>
              <w:t>60.751</w:t>
            </w:r>
          </w:p>
        </w:tc>
      </w:tr>
    </w:tbl>
    <w:p w:rsidR="007B271D" w:rsidRDefault="007B271D" w:rsidP="00E70A67">
      <w:pPr>
        <w:jc w:val="both"/>
        <w:rPr>
          <w:rFonts w:ascii="Calibri" w:hAnsi="Calibri" w:cs="Calibri"/>
          <w:sz w:val="24"/>
          <w:szCs w:val="24"/>
        </w:rPr>
      </w:pPr>
    </w:p>
    <w:p w:rsidR="00643ADC" w:rsidRDefault="00643ADC" w:rsidP="00643ADC">
      <w:pPr>
        <w:jc w:val="both"/>
        <w:rPr>
          <w:rFonts w:ascii="Calibri" w:hAnsi="Calibri" w:cs="Calibri"/>
          <w:sz w:val="24"/>
          <w:szCs w:val="24"/>
        </w:rPr>
      </w:pPr>
      <w:r>
        <w:rPr>
          <w:rFonts w:ascii="Calibri" w:hAnsi="Calibri" w:cs="Calibri"/>
          <w:sz w:val="24"/>
          <w:szCs w:val="24"/>
        </w:rPr>
        <w:t>Conciliação da Obrigação de Benefício Definido – Segregado:</w:t>
      </w:r>
    </w:p>
    <w:p w:rsidR="00D414A4" w:rsidRDefault="00D414A4" w:rsidP="00643ADC">
      <w:pPr>
        <w:jc w:val="both"/>
        <w:rPr>
          <w:rFonts w:ascii="Calibri" w:hAnsi="Calibri" w:cs="Calibr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772"/>
        <w:gridCol w:w="1772"/>
      </w:tblGrid>
      <w:tr w:rsidR="00643ADC" w:rsidRPr="002E7F4A" w:rsidTr="00643ADC">
        <w:trPr>
          <w:trHeight w:val="315"/>
        </w:trPr>
        <w:tc>
          <w:tcPr>
            <w:tcW w:w="5387" w:type="dxa"/>
            <w:shd w:val="clear" w:color="auto" w:fill="auto"/>
            <w:noWrap/>
            <w:vAlign w:val="bottom"/>
          </w:tcPr>
          <w:p w:rsidR="00643ADC" w:rsidRPr="002E7F4A" w:rsidRDefault="00643ADC" w:rsidP="00FC72C3">
            <w:pPr>
              <w:widowControl/>
              <w:rPr>
                <w:rFonts w:ascii="Calibri" w:hAnsi="Calibri" w:cs="Calibri"/>
                <w:snapToGrid/>
                <w:color w:val="000000"/>
                <w:sz w:val="24"/>
                <w:szCs w:val="24"/>
              </w:rPr>
            </w:pPr>
          </w:p>
        </w:tc>
        <w:tc>
          <w:tcPr>
            <w:tcW w:w="1772" w:type="dxa"/>
            <w:shd w:val="clear" w:color="auto" w:fill="auto"/>
            <w:noWrap/>
            <w:vAlign w:val="bottom"/>
            <w:hideMark/>
          </w:tcPr>
          <w:p w:rsidR="00643ADC" w:rsidRPr="002E7F4A" w:rsidRDefault="00643ADC" w:rsidP="00FC72C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Ativo (BAC)</w:t>
            </w:r>
          </w:p>
        </w:tc>
        <w:tc>
          <w:tcPr>
            <w:tcW w:w="1772" w:type="dxa"/>
            <w:shd w:val="clear" w:color="auto" w:fill="auto"/>
            <w:noWrap/>
            <w:vAlign w:val="bottom"/>
            <w:hideMark/>
          </w:tcPr>
          <w:p w:rsidR="00643ADC" w:rsidRPr="002E7F4A" w:rsidRDefault="00643ADC" w:rsidP="00FC72C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Inativo (BC)</w:t>
            </w:r>
          </w:p>
        </w:tc>
      </w:tr>
      <w:tr w:rsidR="00643ADC" w:rsidRPr="002E7F4A" w:rsidTr="00643ADC">
        <w:trPr>
          <w:trHeight w:val="315"/>
        </w:trPr>
        <w:tc>
          <w:tcPr>
            <w:tcW w:w="5387" w:type="dxa"/>
            <w:shd w:val="clear" w:color="auto" w:fill="auto"/>
            <w:noWrap/>
            <w:vAlign w:val="bottom"/>
          </w:tcPr>
          <w:p w:rsidR="00643ADC" w:rsidRPr="00F079A2"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Obrigação de benefício definido no início do ano</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360.695</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357.400</w:t>
            </w:r>
          </w:p>
        </w:tc>
      </w:tr>
      <w:tr w:rsidR="00643ADC" w:rsidRPr="002E7F4A" w:rsidTr="00643ADC">
        <w:trPr>
          <w:trHeight w:val="315"/>
        </w:trPr>
        <w:tc>
          <w:tcPr>
            <w:tcW w:w="5387" w:type="dxa"/>
            <w:shd w:val="clear" w:color="auto" w:fill="auto"/>
            <w:noWrap/>
            <w:vAlign w:val="bottom"/>
          </w:tcPr>
          <w:p w:rsidR="00643ADC" w:rsidRPr="00F079A2"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Custo do serviço corrente (parte patronal)</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(3.675)</w:t>
            </w:r>
          </w:p>
        </w:tc>
        <w:tc>
          <w:tcPr>
            <w:tcW w:w="1772" w:type="dxa"/>
            <w:shd w:val="clear" w:color="auto" w:fill="auto"/>
            <w:noWrap/>
            <w:vAlign w:val="bottom"/>
          </w:tcPr>
          <w:p w:rsidR="00643ADC" w:rsidRPr="002E7F4A" w:rsidRDefault="00D414A4"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ADC" w:rsidRPr="002E7F4A" w:rsidTr="00643ADC">
        <w:trPr>
          <w:trHeight w:val="315"/>
        </w:trPr>
        <w:tc>
          <w:tcPr>
            <w:tcW w:w="5387" w:type="dxa"/>
            <w:shd w:val="clear" w:color="auto" w:fill="auto"/>
            <w:noWrap/>
            <w:vAlign w:val="bottom"/>
          </w:tcPr>
          <w:p w:rsidR="00643ADC"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Custo dos juros</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32.809</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30.954</w:t>
            </w:r>
          </w:p>
        </w:tc>
      </w:tr>
      <w:tr w:rsidR="00643ADC" w:rsidRPr="002E7F4A" w:rsidTr="00643ADC">
        <w:trPr>
          <w:trHeight w:val="315"/>
        </w:trPr>
        <w:tc>
          <w:tcPr>
            <w:tcW w:w="5387" w:type="dxa"/>
            <w:shd w:val="clear" w:color="auto" w:fill="auto"/>
            <w:noWrap/>
            <w:vAlign w:val="bottom"/>
          </w:tcPr>
          <w:p w:rsidR="00643ADC" w:rsidRPr="00F079A2"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Contribuições de participantes do plano</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4.948</w:t>
            </w:r>
          </w:p>
        </w:tc>
        <w:tc>
          <w:tcPr>
            <w:tcW w:w="1772" w:type="dxa"/>
            <w:shd w:val="clear" w:color="auto" w:fill="auto"/>
            <w:noWrap/>
            <w:vAlign w:val="bottom"/>
          </w:tcPr>
          <w:p w:rsidR="00643ADC" w:rsidRPr="002E7F4A" w:rsidRDefault="00D414A4"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643ADC" w:rsidRPr="002E7F4A" w:rsidTr="00643ADC">
        <w:trPr>
          <w:trHeight w:val="315"/>
        </w:trPr>
        <w:tc>
          <w:tcPr>
            <w:tcW w:w="5387" w:type="dxa"/>
            <w:shd w:val="clear" w:color="auto" w:fill="auto"/>
            <w:noWrap/>
            <w:vAlign w:val="bottom"/>
          </w:tcPr>
          <w:p w:rsidR="00643ADC" w:rsidRPr="00F079A2"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Benefícios pagos</w:t>
            </w:r>
          </w:p>
        </w:tc>
        <w:tc>
          <w:tcPr>
            <w:tcW w:w="1772" w:type="dxa"/>
            <w:shd w:val="clear" w:color="auto" w:fill="auto"/>
            <w:noWrap/>
            <w:vAlign w:val="bottom"/>
          </w:tcPr>
          <w:p w:rsidR="00643ADC" w:rsidRPr="002E7F4A" w:rsidRDefault="00D414A4"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(34.935)</w:t>
            </w:r>
          </w:p>
        </w:tc>
      </w:tr>
      <w:tr w:rsidR="00643ADC" w:rsidRPr="002E7F4A" w:rsidTr="00643ADC">
        <w:trPr>
          <w:trHeight w:val="315"/>
        </w:trPr>
        <w:tc>
          <w:tcPr>
            <w:tcW w:w="5387" w:type="dxa"/>
            <w:shd w:val="clear" w:color="auto" w:fill="auto"/>
            <w:noWrap/>
            <w:vAlign w:val="bottom"/>
          </w:tcPr>
          <w:p w:rsidR="00643ADC" w:rsidRPr="00F079A2" w:rsidRDefault="00643ADC" w:rsidP="00FC72C3">
            <w:pPr>
              <w:widowControl/>
              <w:rPr>
                <w:rFonts w:ascii="Calibri" w:hAnsi="Calibri" w:cs="Calibri"/>
                <w:snapToGrid/>
                <w:color w:val="000000"/>
                <w:sz w:val="24"/>
                <w:szCs w:val="24"/>
              </w:rPr>
            </w:pPr>
            <w:r>
              <w:rPr>
                <w:rFonts w:ascii="Calibri" w:hAnsi="Calibri" w:cs="Calibri"/>
                <w:snapToGrid/>
                <w:color w:val="000000"/>
                <w:sz w:val="24"/>
                <w:szCs w:val="24"/>
              </w:rPr>
              <w:t>(Ganho) / perda atuarial</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(164.916)</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(58.728)</w:t>
            </w:r>
          </w:p>
        </w:tc>
      </w:tr>
      <w:tr w:rsidR="00643ADC" w:rsidRPr="002E7F4A" w:rsidTr="00643ADC">
        <w:trPr>
          <w:trHeight w:val="315"/>
        </w:trPr>
        <w:tc>
          <w:tcPr>
            <w:tcW w:w="5387" w:type="dxa"/>
            <w:shd w:val="clear" w:color="auto" w:fill="auto"/>
            <w:noWrap/>
            <w:vAlign w:val="bottom"/>
          </w:tcPr>
          <w:p w:rsidR="00643ADC" w:rsidRPr="00F079A2" w:rsidRDefault="00643ADC" w:rsidP="00643ADC">
            <w:pPr>
              <w:widowControl/>
              <w:ind w:firstLine="356"/>
              <w:rPr>
                <w:rFonts w:ascii="Calibri" w:hAnsi="Calibri" w:cs="Calibri"/>
                <w:snapToGrid/>
                <w:color w:val="000000"/>
                <w:sz w:val="24"/>
                <w:szCs w:val="24"/>
              </w:rPr>
            </w:pPr>
            <w:r>
              <w:rPr>
                <w:rFonts w:ascii="Calibri" w:hAnsi="Calibri" w:cs="Calibri"/>
                <w:snapToGrid/>
                <w:color w:val="000000"/>
                <w:sz w:val="24"/>
                <w:szCs w:val="24"/>
              </w:rPr>
              <w:t>(Ganho) / perda atuarial – mudança de premissas</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55.173</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54.031</w:t>
            </w:r>
          </w:p>
        </w:tc>
      </w:tr>
      <w:tr w:rsidR="00643ADC" w:rsidRPr="002E7F4A" w:rsidTr="00643ADC">
        <w:trPr>
          <w:trHeight w:val="315"/>
        </w:trPr>
        <w:tc>
          <w:tcPr>
            <w:tcW w:w="5387" w:type="dxa"/>
            <w:shd w:val="clear" w:color="auto" w:fill="auto"/>
            <w:noWrap/>
            <w:vAlign w:val="bottom"/>
          </w:tcPr>
          <w:p w:rsidR="00643ADC" w:rsidRPr="00F079A2" w:rsidRDefault="00643ADC" w:rsidP="00643ADC">
            <w:pPr>
              <w:widowControl/>
              <w:ind w:firstLine="356"/>
              <w:rPr>
                <w:rFonts w:ascii="Calibri" w:hAnsi="Calibri" w:cs="Calibri"/>
                <w:snapToGrid/>
                <w:color w:val="000000"/>
                <w:sz w:val="24"/>
                <w:szCs w:val="24"/>
              </w:rPr>
            </w:pPr>
            <w:r>
              <w:rPr>
                <w:rFonts w:ascii="Calibri" w:hAnsi="Calibri" w:cs="Calibri"/>
                <w:snapToGrid/>
                <w:color w:val="000000"/>
                <w:sz w:val="24"/>
                <w:szCs w:val="24"/>
              </w:rPr>
              <w:t>(Ganho) / perda atuarial – ajuste de experiência</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(51.263)</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7.463</w:t>
            </w:r>
          </w:p>
        </w:tc>
      </w:tr>
      <w:tr w:rsidR="00643ADC" w:rsidRPr="002E7F4A" w:rsidTr="00643ADC">
        <w:trPr>
          <w:trHeight w:val="315"/>
        </w:trPr>
        <w:tc>
          <w:tcPr>
            <w:tcW w:w="5387" w:type="dxa"/>
            <w:shd w:val="clear" w:color="auto" w:fill="auto"/>
            <w:noWrap/>
            <w:vAlign w:val="bottom"/>
          </w:tcPr>
          <w:p w:rsidR="00643ADC" w:rsidRPr="00F079A2" w:rsidRDefault="00643ADC" w:rsidP="00643ADC">
            <w:pPr>
              <w:widowControl/>
              <w:ind w:firstLine="356"/>
              <w:rPr>
                <w:rFonts w:ascii="Calibri" w:hAnsi="Calibri" w:cs="Calibri"/>
                <w:snapToGrid/>
                <w:color w:val="000000"/>
                <w:sz w:val="24"/>
                <w:szCs w:val="24"/>
              </w:rPr>
            </w:pPr>
            <w:r>
              <w:rPr>
                <w:rFonts w:ascii="Calibri" w:hAnsi="Calibri" w:cs="Calibri"/>
                <w:snapToGrid/>
                <w:color w:val="000000"/>
                <w:sz w:val="24"/>
                <w:szCs w:val="24"/>
              </w:rPr>
              <w:t>(Ganho) / perda atuarial – redução de direitos</w:t>
            </w:r>
          </w:p>
        </w:tc>
        <w:tc>
          <w:tcPr>
            <w:tcW w:w="1772" w:type="dxa"/>
            <w:shd w:val="clear" w:color="auto" w:fill="auto"/>
            <w:noWrap/>
            <w:vAlign w:val="bottom"/>
          </w:tcPr>
          <w:p w:rsidR="00643ADC" w:rsidRPr="002E7F4A"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(168.826)</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(120.222)</w:t>
            </w:r>
          </w:p>
        </w:tc>
      </w:tr>
      <w:tr w:rsidR="00643ADC" w:rsidRPr="002E7F4A" w:rsidTr="00643ADC">
        <w:trPr>
          <w:trHeight w:val="315"/>
        </w:trPr>
        <w:tc>
          <w:tcPr>
            <w:tcW w:w="5387" w:type="dxa"/>
            <w:shd w:val="clear" w:color="auto" w:fill="auto"/>
            <w:noWrap/>
            <w:vAlign w:val="bottom"/>
          </w:tcPr>
          <w:p w:rsidR="00643ADC" w:rsidRPr="00F079A2" w:rsidRDefault="00643ADC" w:rsidP="00643ADC">
            <w:pPr>
              <w:widowControl/>
              <w:rPr>
                <w:rFonts w:ascii="Calibri" w:hAnsi="Calibri" w:cs="Calibri"/>
                <w:snapToGrid/>
                <w:color w:val="000000"/>
                <w:sz w:val="24"/>
                <w:szCs w:val="24"/>
              </w:rPr>
            </w:pPr>
            <w:r>
              <w:rPr>
                <w:rFonts w:ascii="Calibri" w:hAnsi="Calibri" w:cs="Calibri"/>
                <w:snapToGrid/>
                <w:color w:val="000000"/>
                <w:sz w:val="24"/>
                <w:szCs w:val="24"/>
              </w:rPr>
              <w:t>Obrigação de benefício definido no final do ano</w:t>
            </w:r>
          </w:p>
        </w:tc>
        <w:tc>
          <w:tcPr>
            <w:tcW w:w="1772" w:type="dxa"/>
            <w:shd w:val="clear" w:color="auto" w:fill="auto"/>
            <w:noWrap/>
            <w:vAlign w:val="bottom"/>
          </w:tcPr>
          <w:p w:rsidR="00643ADC" w:rsidRPr="002E7F4A" w:rsidRDefault="005E0B68"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229.861</w:t>
            </w:r>
          </w:p>
        </w:tc>
        <w:tc>
          <w:tcPr>
            <w:tcW w:w="1772" w:type="dxa"/>
            <w:shd w:val="clear" w:color="auto" w:fill="auto"/>
            <w:noWrap/>
            <w:vAlign w:val="bottom"/>
          </w:tcPr>
          <w:p w:rsidR="00643ADC" w:rsidRDefault="00643ADC" w:rsidP="00643ADC">
            <w:pPr>
              <w:widowControl/>
              <w:jc w:val="right"/>
              <w:rPr>
                <w:rFonts w:ascii="Calibri" w:hAnsi="Calibri" w:cs="Calibri"/>
                <w:snapToGrid/>
                <w:color w:val="000000"/>
                <w:sz w:val="24"/>
                <w:szCs w:val="24"/>
              </w:rPr>
            </w:pPr>
            <w:r>
              <w:rPr>
                <w:rFonts w:ascii="Calibri" w:hAnsi="Calibri" w:cs="Calibri"/>
                <w:snapToGrid/>
                <w:color w:val="000000"/>
                <w:sz w:val="24"/>
                <w:szCs w:val="24"/>
              </w:rPr>
              <w:t>294.691</w:t>
            </w:r>
          </w:p>
        </w:tc>
      </w:tr>
    </w:tbl>
    <w:p w:rsidR="005E0B68" w:rsidRDefault="005E0B68" w:rsidP="00E70A67">
      <w:pPr>
        <w:jc w:val="both"/>
        <w:rPr>
          <w:rFonts w:ascii="Calibri" w:hAnsi="Calibri" w:cs="Calibri"/>
          <w:sz w:val="24"/>
          <w:szCs w:val="24"/>
        </w:rPr>
      </w:pPr>
    </w:p>
    <w:p w:rsidR="005E0B68" w:rsidRDefault="005E0B68" w:rsidP="005E0B68">
      <w:pPr>
        <w:jc w:val="both"/>
        <w:rPr>
          <w:rFonts w:ascii="Calibri" w:hAnsi="Calibri" w:cs="Calibri"/>
          <w:sz w:val="24"/>
          <w:szCs w:val="24"/>
        </w:rPr>
      </w:pPr>
      <w:r>
        <w:rPr>
          <w:rFonts w:ascii="Calibri" w:hAnsi="Calibri" w:cs="Calibri"/>
          <w:sz w:val="24"/>
          <w:szCs w:val="24"/>
        </w:rPr>
        <w:t>Análises de Sensibilidade</w:t>
      </w:r>
      <w:r w:rsidR="00D414A4">
        <w:rPr>
          <w:rFonts w:ascii="Calibri" w:hAnsi="Calibri" w:cs="Calibri"/>
          <w:sz w:val="24"/>
          <w:szCs w:val="24"/>
        </w:rPr>
        <w:t>:</w:t>
      </w:r>
    </w:p>
    <w:p w:rsidR="00D414A4" w:rsidRDefault="00D414A4" w:rsidP="005E0B68">
      <w:pPr>
        <w:jc w:val="both"/>
        <w:rPr>
          <w:rFonts w:ascii="Calibri" w:hAnsi="Calibri" w:cs="Calibr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1205"/>
        <w:gridCol w:w="1205"/>
        <w:gridCol w:w="1205"/>
        <w:gridCol w:w="1205"/>
      </w:tblGrid>
      <w:tr w:rsidR="005C2D87" w:rsidRPr="00905BDE" w:rsidTr="00FC72C3">
        <w:trPr>
          <w:trHeight w:val="315"/>
        </w:trPr>
        <w:tc>
          <w:tcPr>
            <w:tcW w:w="5103" w:type="dxa"/>
            <w:vMerge w:val="restart"/>
            <w:shd w:val="clear" w:color="auto" w:fill="auto"/>
            <w:noWrap/>
            <w:vAlign w:val="center"/>
          </w:tcPr>
          <w:p w:rsidR="005C2D87" w:rsidRPr="005C2D87" w:rsidRDefault="005C2D87" w:rsidP="005C2D87">
            <w:pPr>
              <w:widowControl/>
              <w:rPr>
                <w:rFonts w:ascii="Calibri" w:hAnsi="Calibri" w:cs="Calibri"/>
                <w:b/>
                <w:snapToGrid/>
                <w:color w:val="000000"/>
                <w:sz w:val="24"/>
                <w:szCs w:val="24"/>
              </w:rPr>
            </w:pPr>
          </w:p>
        </w:tc>
        <w:tc>
          <w:tcPr>
            <w:tcW w:w="2410" w:type="dxa"/>
            <w:gridSpan w:val="2"/>
            <w:shd w:val="clear" w:color="auto" w:fill="auto"/>
            <w:noWrap/>
            <w:vAlign w:val="center"/>
          </w:tcPr>
          <w:p w:rsidR="005C2D87" w:rsidRPr="002E7F4A" w:rsidRDefault="005C2D87" w:rsidP="005C2D8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Tábua Biométrica</w:t>
            </w:r>
          </w:p>
        </w:tc>
        <w:tc>
          <w:tcPr>
            <w:tcW w:w="2410" w:type="dxa"/>
            <w:gridSpan w:val="2"/>
            <w:vAlign w:val="center"/>
          </w:tcPr>
          <w:p w:rsidR="005C2D87" w:rsidRPr="002E7F4A" w:rsidRDefault="005C2D87" w:rsidP="005C2D8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Taxa de Juros</w:t>
            </w:r>
          </w:p>
        </w:tc>
      </w:tr>
      <w:tr w:rsidR="005C2D87" w:rsidRPr="00905BDE" w:rsidTr="00C24B11">
        <w:trPr>
          <w:trHeight w:val="315"/>
        </w:trPr>
        <w:tc>
          <w:tcPr>
            <w:tcW w:w="5103" w:type="dxa"/>
            <w:vMerge/>
            <w:shd w:val="clear" w:color="auto" w:fill="auto"/>
            <w:noWrap/>
            <w:vAlign w:val="center"/>
          </w:tcPr>
          <w:p w:rsidR="005C2D87" w:rsidRPr="002E7F4A" w:rsidRDefault="005C2D87" w:rsidP="00FC72C3">
            <w:pPr>
              <w:widowControl/>
              <w:rPr>
                <w:rFonts w:ascii="Calibri" w:hAnsi="Calibri" w:cs="Calibri"/>
                <w:snapToGrid/>
                <w:color w:val="000000"/>
                <w:sz w:val="24"/>
                <w:szCs w:val="24"/>
              </w:rPr>
            </w:pPr>
          </w:p>
        </w:tc>
        <w:tc>
          <w:tcPr>
            <w:tcW w:w="1205" w:type="dxa"/>
            <w:shd w:val="clear" w:color="auto" w:fill="auto"/>
            <w:noWrap/>
            <w:vAlign w:val="center"/>
          </w:tcPr>
          <w:p w:rsidR="005C2D87" w:rsidRPr="00905BDE" w:rsidRDefault="005C2D87" w:rsidP="00FC72C3">
            <w:pPr>
              <w:widowControl/>
              <w:jc w:val="center"/>
              <w:rPr>
                <w:rFonts w:ascii="Calibri" w:hAnsi="Calibri" w:cs="Calibri"/>
                <w:bCs/>
                <w:snapToGrid/>
                <w:color w:val="000000"/>
                <w:sz w:val="24"/>
                <w:szCs w:val="24"/>
              </w:rPr>
            </w:pPr>
            <w:r>
              <w:rPr>
                <w:rFonts w:ascii="Calibri" w:hAnsi="Calibri" w:cs="Calibri"/>
                <w:bCs/>
                <w:snapToGrid/>
                <w:color w:val="000000"/>
                <w:sz w:val="24"/>
                <w:szCs w:val="24"/>
              </w:rPr>
              <w:t>10%</w:t>
            </w:r>
          </w:p>
        </w:tc>
        <w:tc>
          <w:tcPr>
            <w:tcW w:w="1205" w:type="dxa"/>
            <w:shd w:val="clear" w:color="auto" w:fill="auto"/>
            <w:noWrap/>
            <w:vAlign w:val="center"/>
          </w:tcPr>
          <w:p w:rsidR="005C2D87" w:rsidRPr="00905BDE" w:rsidRDefault="005C2D87" w:rsidP="00FC72C3">
            <w:pPr>
              <w:widowControl/>
              <w:jc w:val="center"/>
              <w:rPr>
                <w:rFonts w:ascii="Calibri" w:hAnsi="Calibri" w:cs="Calibri"/>
                <w:bCs/>
                <w:snapToGrid/>
                <w:color w:val="000000"/>
                <w:sz w:val="24"/>
                <w:szCs w:val="24"/>
              </w:rPr>
            </w:pPr>
            <w:r>
              <w:rPr>
                <w:rFonts w:ascii="Calibri" w:hAnsi="Calibri" w:cs="Calibri"/>
                <w:bCs/>
                <w:snapToGrid/>
                <w:color w:val="000000"/>
                <w:sz w:val="24"/>
                <w:szCs w:val="24"/>
              </w:rPr>
              <w:t>- 10%</w:t>
            </w:r>
          </w:p>
        </w:tc>
        <w:tc>
          <w:tcPr>
            <w:tcW w:w="1205" w:type="dxa"/>
            <w:vAlign w:val="center"/>
          </w:tcPr>
          <w:p w:rsidR="005C2D87" w:rsidRPr="00905BDE" w:rsidRDefault="005C2D87" w:rsidP="00FC72C3">
            <w:pPr>
              <w:widowControl/>
              <w:jc w:val="center"/>
              <w:rPr>
                <w:rFonts w:ascii="Calibri" w:hAnsi="Calibri" w:cs="Calibri"/>
                <w:bCs/>
                <w:snapToGrid/>
                <w:color w:val="000000"/>
                <w:sz w:val="24"/>
                <w:szCs w:val="24"/>
              </w:rPr>
            </w:pPr>
            <w:r>
              <w:rPr>
                <w:rFonts w:ascii="Calibri" w:hAnsi="Calibri" w:cs="Calibri"/>
                <w:bCs/>
                <w:snapToGrid/>
                <w:color w:val="000000"/>
                <w:sz w:val="24"/>
                <w:szCs w:val="24"/>
              </w:rPr>
              <w:t>0,25%</w:t>
            </w:r>
          </w:p>
        </w:tc>
        <w:tc>
          <w:tcPr>
            <w:tcW w:w="1205" w:type="dxa"/>
            <w:vAlign w:val="center"/>
          </w:tcPr>
          <w:p w:rsidR="005C2D87" w:rsidRPr="00905BDE" w:rsidRDefault="005C2D87" w:rsidP="00FC72C3">
            <w:pPr>
              <w:widowControl/>
              <w:jc w:val="center"/>
              <w:rPr>
                <w:rFonts w:ascii="Calibri" w:hAnsi="Calibri" w:cs="Calibri"/>
                <w:bCs/>
                <w:snapToGrid/>
                <w:color w:val="000000"/>
                <w:sz w:val="24"/>
                <w:szCs w:val="24"/>
              </w:rPr>
            </w:pPr>
            <w:r>
              <w:rPr>
                <w:rFonts w:ascii="Calibri" w:hAnsi="Calibri" w:cs="Calibri"/>
                <w:bCs/>
                <w:snapToGrid/>
                <w:color w:val="000000"/>
                <w:sz w:val="24"/>
                <w:szCs w:val="24"/>
              </w:rPr>
              <w:t>-0,25%</w:t>
            </w:r>
          </w:p>
        </w:tc>
      </w:tr>
      <w:tr w:rsidR="005E0B68" w:rsidRPr="002E7F4A" w:rsidTr="00C24B11">
        <w:trPr>
          <w:trHeight w:val="315"/>
        </w:trPr>
        <w:tc>
          <w:tcPr>
            <w:tcW w:w="5103" w:type="dxa"/>
            <w:shd w:val="clear" w:color="auto" w:fill="auto"/>
            <w:noWrap/>
            <w:vAlign w:val="center"/>
          </w:tcPr>
          <w:p w:rsidR="005E0B68" w:rsidRPr="00F079A2"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Valor presente da obrigação atuarial do plano</w:t>
            </w:r>
          </w:p>
        </w:tc>
        <w:tc>
          <w:tcPr>
            <w:tcW w:w="1205" w:type="dxa"/>
            <w:shd w:val="clear" w:color="auto" w:fill="auto"/>
            <w:noWrap/>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513.658</w:t>
            </w:r>
          </w:p>
        </w:tc>
        <w:tc>
          <w:tcPr>
            <w:tcW w:w="1205" w:type="dxa"/>
            <w:shd w:val="clear" w:color="auto" w:fill="auto"/>
            <w:noWrap/>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536.380</w:t>
            </w:r>
          </w:p>
        </w:tc>
        <w:tc>
          <w:tcPr>
            <w:tcW w:w="1205" w:type="dxa"/>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513.502</w:t>
            </w:r>
          </w:p>
        </w:tc>
        <w:tc>
          <w:tcPr>
            <w:tcW w:w="1205" w:type="dxa"/>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536.045</w:t>
            </w:r>
          </w:p>
        </w:tc>
      </w:tr>
      <w:tr w:rsidR="005E0B68" w:rsidRPr="002E7F4A" w:rsidTr="00C24B11">
        <w:trPr>
          <w:trHeight w:val="315"/>
        </w:trPr>
        <w:tc>
          <w:tcPr>
            <w:tcW w:w="5103" w:type="dxa"/>
            <w:shd w:val="clear" w:color="auto" w:fill="auto"/>
            <w:noWrap/>
            <w:vAlign w:val="center"/>
          </w:tcPr>
          <w:p w:rsidR="005E0B68" w:rsidRPr="00F079A2"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Valor justo dos ativos do plano</w:t>
            </w:r>
          </w:p>
        </w:tc>
        <w:tc>
          <w:tcPr>
            <w:tcW w:w="1205" w:type="dxa"/>
            <w:shd w:val="clear" w:color="auto" w:fill="auto"/>
            <w:noWrap/>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37.247</w:t>
            </w:r>
          </w:p>
        </w:tc>
        <w:tc>
          <w:tcPr>
            <w:tcW w:w="1205" w:type="dxa"/>
            <w:shd w:val="clear" w:color="auto" w:fill="auto"/>
            <w:noWrap/>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37.247</w:t>
            </w:r>
          </w:p>
        </w:tc>
        <w:tc>
          <w:tcPr>
            <w:tcW w:w="1205" w:type="dxa"/>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37.247</w:t>
            </w:r>
          </w:p>
        </w:tc>
        <w:tc>
          <w:tcPr>
            <w:tcW w:w="1205" w:type="dxa"/>
            <w:vAlign w:val="center"/>
          </w:tcPr>
          <w:p w:rsidR="005E0B68" w:rsidRPr="002E7F4A" w:rsidRDefault="005E0B68"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37.247</w:t>
            </w:r>
          </w:p>
        </w:tc>
      </w:tr>
      <w:tr w:rsidR="005E0B68" w:rsidRPr="002E7F4A" w:rsidTr="00C24B11">
        <w:trPr>
          <w:trHeight w:val="315"/>
        </w:trPr>
        <w:tc>
          <w:tcPr>
            <w:tcW w:w="5103" w:type="dxa"/>
            <w:shd w:val="clear" w:color="auto" w:fill="auto"/>
            <w:noWrap/>
            <w:vAlign w:val="center"/>
          </w:tcPr>
          <w:p w:rsidR="005E0B68"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(Passivo) / ativo líquido inicial</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(476.411)</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(499.133)</w:t>
            </w:r>
          </w:p>
        </w:tc>
        <w:tc>
          <w:tcPr>
            <w:tcW w:w="1205" w:type="dxa"/>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(476.255)</w:t>
            </w:r>
          </w:p>
        </w:tc>
        <w:tc>
          <w:tcPr>
            <w:tcW w:w="1205" w:type="dxa"/>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(498.798)</w:t>
            </w:r>
          </w:p>
        </w:tc>
      </w:tr>
      <w:tr w:rsidR="005E0B68" w:rsidRPr="002E7F4A" w:rsidTr="00C24B11">
        <w:trPr>
          <w:trHeight w:val="315"/>
        </w:trPr>
        <w:tc>
          <w:tcPr>
            <w:tcW w:w="5103" w:type="dxa"/>
            <w:shd w:val="clear" w:color="auto" w:fill="auto"/>
            <w:noWrap/>
            <w:vAlign w:val="center"/>
          </w:tcPr>
          <w:p w:rsidR="005E0B68" w:rsidRPr="00F079A2"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Passivo do patrocinador com redução de direitos</w:t>
            </w:r>
          </w:p>
        </w:tc>
        <w:tc>
          <w:tcPr>
            <w:tcW w:w="1205" w:type="dxa"/>
            <w:shd w:val="clear" w:color="auto" w:fill="auto"/>
            <w:noWrap/>
            <w:vAlign w:val="center"/>
          </w:tcPr>
          <w:p w:rsidR="005E0B68" w:rsidRPr="002E7F4A" w:rsidRDefault="00C24B11" w:rsidP="00C24B11">
            <w:pPr>
              <w:widowControl/>
              <w:jc w:val="right"/>
              <w:rPr>
                <w:rFonts w:ascii="Calibri" w:hAnsi="Calibri" w:cs="Calibri"/>
                <w:snapToGrid/>
                <w:color w:val="000000"/>
                <w:sz w:val="24"/>
                <w:szCs w:val="24"/>
              </w:rPr>
            </w:pPr>
            <w:r>
              <w:rPr>
                <w:rFonts w:ascii="Calibri" w:hAnsi="Calibri" w:cs="Calibri"/>
                <w:snapToGrid/>
                <w:color w:val="000000"/>
                <w:sz w:val="24"/>
                <w:szCs w:val="24"/>
              </w:rPr>
              <w:t>234.355</w:t>
            </w:r>
          </w:p>
        </w:tc>
        <w:tc>
          <w:tcPr>
            <w:tcW w:w="1205" w:type="dxa"/>
            <w:shd w:val="clear" w:color="auto" w:fill="auto"/>
            <w:noWrap/>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244.721</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234.283</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244.568</w:t>
            </w:r>
          </w:p>
        </w:tc>
      </w:tr>
      <w:tr w:rsidR="005E0B68" w:rsidRPr="002E7F4A" w:rsidTr="00C24B11">
        <w:trPr>
          <w:trHeight w:val="315"/>
        </w:trPr>
        <w:tc>
          <w:tcPr>
            <w:tcW w:w="5103" w:type="dxa"/>
            <w:shd w:val="clear" w:color="auto" w:fill="auto"/>
            <w:noWrap/>
            <w:vAlign w:val="center"/>
          </w:tcPr>
          <w:p w:rsidR="005E0B68" w:rsidRPr="00F079A2"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Passivo do patrocinador com contribuiç</w:t>
            </w:r>
            <w:r w:rsidR="00C24B11">
              <w:rPr>
                <w:rFonts w:ascii="Calibri" w:hAnsi="Calibri" w:cs="Calibri"/>
                <w:snapToGrid/>
                <w:color w:val="000000"/>
                <w:sz w:val="24"/>
                <w:szCs w:val="24"/>
              </w:rPr>
              <w:t>ões futuras</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45.781</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47.807</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45.768</w:t>
            </w:r>
          </w:p>
        </w:tc>
        <w:tc>
          <w:tcPr>
            <w:tcW w:w="1205" w:type="dxa"/>
            <w:vAlign w:val="center"/>
          </w:tcPr>
          <w:p w:rsidR="005E0B68" w:rsidRDefault="00C24B11" w:rsidP="00C24B11">
            <w:pPr>
              <w:widowControl/>
              <w:jc w:val="right"/>
              <w:rPr>
                <w:rFonts w:ascii="Calibri" w:hAnsi="Calibri" w:cs="Calibri"/>
                <w:snapToGrid/>
                <w:color w:val="000000"/>
                <w:sz w:val="24"/>
                <w:szCs w:val="24"/>
              </w:rPr>
            </w:pPr>
            <w:r>
              <w:rPr>
                <w:rFonts w:ascii="Calibri" w:hAnsi="Calibri" w:cs="Calibri"/>
                <w:snapToGrid/>
                <w:color w:val="000000"/>
                <w:sz w:val="24"/>
                <w:szCs w:val="24"/>
              </w:rPr>
              <w:t>47.777</w:t>
            </w:r>
          </w:p>
        </w:tc>
      </w:tr>
      <w:tr w:rsidR="005E0B68" w:rsidRPr="002E7F4A" w:rsidTr="00C24B11">
        <w:trPr>
          <w:trHeight w:val="315"/>
        </w:trPr>
        <w:tc>
          <w:tcPr>
            <w:tcW w:w="5103" w:type="dxa"/>
            <w:shd w:val="clear" w:color="auto" w:fill="auto"/>
            <w:noWrap/>
            <w:vAlign w:val="center"/>
          </w:tcPr>
          <w:p w:rsidR="005E0B68" w:rsidRPr="00F079A2" w:rsidRDefault="005E0B68" w:rsidP="005E0B68">
            <w:pPr>
              <w:widowControl/>
              <w:rPr>
                <w:rFonts w:ascii="Calibri" w:hAnsi="Calibri" w:cs="Calibri"/>
                <w:snapToGrid/>
                <w:color w:val="000000"/>
                <w:sz w:val="24"/>
                <w:szCs w:val="24"/>
              </w:rPr>
            </w:pPr>
            <w:r>
              <w:rPr>
                <w:rFonts w:ascii="Calibri" w:hAnsi="Calibri" w:cs="Calibri"/>
                <w:snapToGrid/>
                <w:color w:val="000000"/>
                <w:sz w:val="24"/>
                <w:szCs w:val="24"/>
              </w:rPr>
              <w:t>(Passivo) / ativo líquido a ser compartilhado</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(196.275)</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(206.605)</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(196.204)</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(206.453)</w:t>
            </w:r>
          </w:p>
        </w:tc>
      </w:tr>
      <w:tr w:rsidR="005E0B68" w:rsidRPr="002E7F4A" w:rsidTr="00C24B11">
        <w:trPr>
          <w:trHeight w:val="315"/>
        </w:trPr>
        <w:tc>
          <w:tcPr>
            <w:tcW w:w="5103" w:type="dxa"/>
            <w:shd w:val="clear" w:color="auto" w:fill="auto"/>
            <w:noWrap/>
            <w:vAlign w:val="center"/>
          </w:tcPr>
          <w:p w:rsidR="005E0B68" w:rsidRPr="00F079A2" w:rsidRDefault="005E0B68" w:rsidP="005E0B68">
            <w:pPr>
              <w:widowControl/>
              <w:rPr>
                <w:rFonts w:ascii="Calibri" w:hAnsi="Calibri" w:cs="Calibri"/>
                <w:snapToGrid/>
                <w:color w:val="000000"/>
                <w:sz w:val="24"/>
                <w:szCs w:val="24"/>
              </w:rPr>
            </w:pPr>
            <w:r>
              <w:rPr>
                <w:rFonts w:ascii="Calibri" w:hAnsi="Calibri" w:cs="Calibri"/>
                <w:snapToGrid/>
                <w:color w:val="000000"/>
                <w:sz w:val="24"/>
                <w:szCs w:val="24"/>
              </w:rPr>
              <w:t>Efeito compartilhamento de riscos – participantes</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101.258</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106.588</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101.222</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106.509</w:t>
            </w:r>
          </w:p>
        </w:tc>
      </w:tr>
      <w:tr w:rsidR="005E0B68" w:rsidRPr="002E7F4A" w:rsidTr="00C24B11">
        <w:trPr>
          <w:trHeight w:val="315"/>
        </w:trPr>
        <w:tc>
          <w:tcPr>
            <w:tcW w:w="5103" w:type="dxa"/>
            <w:shd w:val="clear" w:color="auto" w:fill="auto"/>
            <w:noWrap/>
            <w:vAlign w:val="center"/>
          </w:tcPr>
          <w:p w:rsidR="005E0B68" w:rsidRPr="00F079A2" w:rsidRDefault="005E0B68" w:rsidP="00FC72C3">
            <w:pPr>
              <w:widowControl/>
              <w:rPr>
                <w:rFonts w:ascii="Calibri" w:hAnsi="Calibri" w:cs="Calibri"/>
                <w:snapToGrid/>
                <w:color w:val="000000"/>
                <w:sz w:val="24"/>
                <w:szCs w:val="24"/>
              </w:rPr>
            </w:pPr>
            <w:r>
              <w:rPr>
                <w:rFonts w:ascii="Calibri" w:hAnsi="Calibri" w:cs="Calibri"/>
                <w:snapToGrid/>
                <w:color w:val="000000"/>
                <w:sz w:val="24"/>
                <w:szCs w:val="24"/>
              </w:rPr>
              <w:t>(Passivo) / ativo líquido a ser reconhecido</w:t>
            </w:r>
          </w:p>
        </w:tc>
        <w:tc>
          <w:tcPr>
            <w:tcW w:w="1205" w:type="dxa"/>
            <w:shd w:val="clear" w:color="auto" w:fill="auto"/>
            <w:noWrap/>
            <w:vAlign w:val="center"/>
          </w:tcPr>
          <w:p w:rsidR="005E0B68" w:rsidRPr="002E7F4A"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(375.153)</w:t>
            </w:r>
          </w:p>
        </w:tc>
        <w:tc>
          <w:tcPr>
            <w:tcW w:w="1205" w:type="dxa"/>
            <w:shd w:val="clear" w:color="auto" w:fill="auto"/>
            <w:noWrap/>
            <w:vAlign w:val="center"/>
          </w:tcPr>
          <w:p w:rsidR="005E0B68" w:rsidRPr="002E7F4A" w:rsidRDefault="00C24B11" w:rsidP="00C24B11">
            <w:pPr>
              <w:widowControl/>
              <w:jc w:val="right"/>
              <w:rPr>
                <w:rFonts w:ascii="Calibri" w:hAnsi="Calibri" w:cs="Calibri"/>
                <w:snapToGrid/>
                <w:color w:val="000000"/>
                <w:sz w:val="24"/>
                <w:szCs w:val="24"/>
              </w:rPr>
            </w:pPr>
            <w:r>
              <w:rPr>
                <w:rFonts w:ascii="Calibri" w:hAnsi="Calibri" w:cs="Calibri"/>
                <w:snapToGrid/>
                <w:color w:val="000000"/>
                <w:sz w:val="24"/>
                <w:szCs w:val="24"/>
              </w:rPr>
              <w:t>(392.546)</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(375.033)</w:t>
            </w:r>
          </w:p>
        </w:tc>
        <w:tc>
          <w:tcPr>
            <w:tcW w:w="1205" w:type="dxa"/>
            <w:vAlign w:val="center"/>
          </w:tcPr>
          <w:p w:rsidR="005E0B68" w:rsidRDefault="00C24B11" w:rsidP="00FC72C3">
            <w:pPr>
              <w:widowControl/>
              <w:jc w:val="right"/>
              <w:rPr>
                <w:rFonts w:ascii="Calibri" w:hAnsi="Calibri" w:cs="Calibri"/>
                <w:snapToGrid/>
                <w:color w:val="000000"/>
                <w:sz w:val="24"/>
                <w:szCs w:val="24"/>
              </w:rPr>
            </w:pPr>
            <w:r>
              <w:rPr>
                <w:rFonts w:ascii="Calibri" w:hAnsi="Calibri" w:cs="Calibri"/>
                <w:snapToGrid/>
                <w:color w:val="000000"/>
                <w:sz w:val="24"/>
                <w:szCs w:val="24"/>
              </w:rPr>
              <w:t>(392.289)</w:t>
            </w:r>
          </w:p>
        </w:tc>
      </w:tr>
    </w:tbl>
    <w:p w:rsidR="00014E44" w:rsidRDefault="00014E44" w:rsidP="00E70A67">
      <w:pPr>
        <w:jc w:val="both"/>
        <w:rPr>
          <w:rFonts w:ascii="Calibri" w:hAnsi="Calibri" w:cs="Calibri"/>
          <w:sz w:val="24"/>
          <w:szCs w:val="24"/>
        </w:rPr>
      </w:pPr>
    </w:p>
    <w:p w:rsidR="00D414A4" w:rsidRDefault="00D414A4" w:rsidP="00E70A67">
      <w:pPr>
        <w:jc w:val="both"/>
        <w:rPr>
          <w:rFonts w:ascii="Calibri" w:hAnsi="Calibri" w:cs="Calibri"/>
          <w:sz w:val="24"/>
          <w:szCs w:val="24"/>
        </w:rPr>
      </w:pPr>
    </w:p>
    <w:p w:rsidR="00032785" w:rsidRDefault="00032785" w:rsidP="00E70A67">
      <w:pPr>
        <w:jc w:val="both"/>
        <w:rPr>
          <w:rFonts w:ascii="Calibri" w:hAnsi="Calibri" w:cs="Calibr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1205"/>
        <w:gridCol w:w="1205"/>
        <w:gridCol w:w="1205"/>
        <w:gridCol w:w="1205"/>
      </w:tblGrid>
      <w:tr w:rsidR="005C2D87" w:rsidRPr="002E7F4A" w:rsidTr="00FC72C3">
        <w:trPr>
          <w:trHeight w:val="315"/>
        </w:trPr>
        <w:tc>
          <w:tcPr>
            <w:tcW w:w="5103" w:type="dxa"/>
            <w:shd w:val="clear" w:color="auto" w:fill="auto"/>
            <w:noWrap/>
            <w:vAlign w:val="center"/>
          </w:tcPr>
          <w:p w:rsidR="005C2D87" w:rsidRPr="005C2D87" w:rsidRDefault="005C2D87" w:rsidP="005C2D87">
            <w:pPr>
              <w:widowControl/>
              <w:rPr>
                <w:rFonts w:ascii="Calibri" w:hAnsi="Calibri" w:cs="Calibri"/>
                <w:b/>
                <w:snapToGrid/>
                <w:color w:val="000000"/>
                <w:sz w:val="24"/>
                <w:szCs w:val="24"/>
              </w:rPr>
            </w:pPr>
            <w:r w:rsidRPr="005C2D87">
              <w:rPr>
                <w:rFonts w:ascii="Calibri" w:hAnsi="Calibri" w:cs="Calibri"/>
                <w:b/>
                <w:snapToGrid/>
                <w:color w:val="000000"/>
                <w:sz w:val="24"/>
                <w:szCs w:val="24"/>
              </w:rPr>
              <w:lastRenderedPageBreak/>
              <w:t>Variações</w:t>
            </w:r>
          </w:p>
        </w:tc>
        <w:tc>
          <w:tcPr>
            <w:tcW w:w="2410" w:type="dxa"/>
            <w:gridSpan w:val="2"/>
            <w:shd w:val="clear" w:color="auto" w:fill="auto"/>
            <w:noWrap/>
            <w:vAlign w:val="center"/>
          </w:tcPr>
          <w:p w:rsidR="005C2D87" w:rsidRPr="002E7F4A" w:rsidRDefault="005C2D87" w:rsidP="005C2D8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Tábua Biométrica</w:t>
            </w:r>
          </w:p>
        </w:tc>
        <w:tc>
          <w:tcPr>
            <w:tcW w:w="2410" w:type="dxa"/>
            <w:gridSpan w:val="2"/>
            <w:vAlign w:val="center"/>
          </w:tcPr>
          <w:p w:rsidR="005C2D87" w:rsidRPr="002E7F4A" w:rsidRDefault="005C2D87" w:rsidP="005C2D8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Taxa de Juros</w:t>
            </w:r>
          </w:p>
        </w:tc>
      </w:tr>
      <w:tr w:rsidR="005C2D87" w:rsidRPr="002E7F4A" w:rsidTr="00FC72C3">
        <w:trPr>
          <w:trHeight w:val="315"/>
        </w:trPr>
        <w:tc>
          <w:tcPr>
            <w:tcW w:w="5103" w:type="dxa"/>
            <w:shd w:val="clear" w:color="auto" w:fill="auto"/>
            <w:noWrap/>
            <w:vAlign w:val="center"/>
          </w:tcPr>
          <w:p w:rsidR="005C2D87" w:rsidRPr="00F079A2" w:rsidRDefault="005C2D87" w:rsidP="005C2D87">
            <w:pPr>
              <w:widowControl/>
              <w:rPr>
                <w:rFonts w:ascii="Calibri" w:hAnsi="Calibri" w:cs="Calibri"/>
                <w:snapToGrid/>
                <w:color w:val="000000"/>
                <w:sz w:val="24"/>
                <w:szCs w:val="24"/>
              </w:rPr>
            </w:pPr>
            <w:r>
              <w:rPr>
                <w:rFonts w:ascii="Calibri" w:hAnsi="Calibri" w:cs="Calibri"/>
                <w:snapToGrid/>
                <w:color w:val="000000"/>
                <w:sz w:val="24"/>
                <w:szCs w:val="24"/>
              </w:rPr>
              <w:t>Variação da obrigação atuarial</w:t>
            </w:r>
          </w:p>
        </w:tc>
        <w:tc>
          <w:tcPr>
            <w:tcW w:w="1205" w:type="dxa"/>
            <w:shd w:val="clear" w:color="auto" w:fill="auto"/>
            <w:noWrap/>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-2,08%</w:t>
            </w:r>
          </w:p>
        </w:tc>
        <w:tc>
          <w:tcPr>
            <w:tcW w:w="1205" w:type="dxa"/>
            <w:shd w:val="clear" w:color="auto" w:fill="auto"/>
            <w:noWrap/>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2,25%</w:t>
            </w:r>
          </w:p>
        </w:tc>
        <w:tc>
          <w:tcPr>
            <w:tcW w:w="1205" w:type="dxa"/>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-2,11%</w:t>
            </w:r>
          </w:p>
        </w:tc>
        <w:tc>
          <w:tcPr>
            <w:tcW w:w="1205" w:type="dxa"/>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2,19%</w:t>
            </w:r>
          </w:p>
        </w:tc>
      </w:tr>
      <w:tr w:rsidR="005C2D87" w:rsidRPr="002E7F4A" w:rsidTr="00FC72C3">
        <w:trPr>
          <w:trHeight w:val="315"/>
        </w:trPr>
        <w:tc>
          <w:tcPr>
            <w:tcW w:w="5103" w:type="dxa"/>
            <w:shd w:val="clear" w:color="auto" w:fill="auto"/>
            <w:noWrap/>
            <w:vAlign w:val="center"/>
          </w:tcPr>
          <w:p w:rsidR="005C2D87" w:rsidRPr="00F079A2" w:rsidRDefault="005C2D87" w:rsidP="005C2D87">
            <w:pPr>
              <w:widowControl/>
              <w:rPr>
                <w:rFonts w:ascii="Calibri" w:hAnsi="Calibri" w:cs="Calibri"/>
                <w:snapToGrid/>
                <w:color w:val="000000"/>
                <w:sz w:val="24"/>
                <w:szCs w:val="24"/>
              </w:rPr>
            </w:pPr>
            <w:r>
              <w:rPr>
                <w:rFonts w:ascii="Calibri" w:hAnsi="Calibri" w:cs="Calibri"/>
                <w:snapToGrid/>
                <w:color w:val="000000"/>
                <w:sz w:val="24"/>
                <w:szCs w:val="24"/>
              </w:rPr>
              <w:t>Variação do passivo / ativo líq. a ser reconhecido</w:t>
            </w:r>
          </w:p>
        </w:tc>
        <w:tc>
          <w:tcPr>
            <w:tcW w:w="1205" w:type="dxa"/>
            <w:shd w:val="clear" w:color="auto" w:fill="auto"/>
            <w:noWrap/>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-2,24%</w:t>
            </w:r>
          </w:p>
        </w:tc>
        <w:tc>
          <w:tcPr>
            <w:tcW w:w="1205" w:type="dxa"/>
            <w:shd w:val="clear" w:color="auto" w:fill="auto"/>
            <w:noWrap/>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2,43%</w:t>
            </w:r>
          </w:p>
        </w:tc>
        <w:tc>
          <w:tcPr>
            <w:tcW w:w="1205" w:type="dxa"/>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-2,27%</w:t>
            </w:r>
          </w:p>
        </w:tc>
        <w:tc>
          <w:tcPr>
            <w:tcW w:w="1205" w:type="dxa"/>
            <w:vAlign w:val="center"/>
          </w:tcPr>
          <w:p w:rsidR="005C2D87" w:rsidRPr="002E7F4A" w:rsidRDefault="005C2D87" w:rsidP="005C2D87">
            <w:pPr>
              <w:widowControl/>
              <w:jc w:val="right"/>
              <w:rPr>
                <w:rFonts w:ascii="Calibri" w:hAnsi="Calibri" w:cs="Calibri"/>
                <w:snapToGrid/>
                <w:color w:val="000000"/>
                <w:sz w:val="24"/>
                <w:szCs w:val="24"/>
              </w:rPr>
            </w:pPr>
            <w:r>
              <w:rPr>
                <w:rFonts w:ascii="Calibri" w:hAnsi="Calibri" w:cs="Calibri"/>
                <w:snapToGrid/>
                <w:color w:val="000000"/>
                <w:sz w:val="24"/>
                <w:szCs w:val="24"/>
              </w:rPr>
              <w:t>2,36%</w:t>
            </w:r>
          </w:p>
        </w:tc>
      </w:tr>
    </w:tbl>
    <w:p w:rsidR="00C24B11" w:rsidRDefault="00C24B11" w:rsidP="00E70A67">
      <w:pPr>
        <w:jc w:val="both"/>
        <w:rPr>
          <w:rFonts w:ascii="Calibri" w:hAnsi="Calibri" w:cs="Calibri"/>
          <w:sz w:val="24"/>
          <w:szCs w:val="24"/>
        </w:rPr>
      </w:pPr>
    </w:p>
    <w:p w:rsidR="00905BDE" w:rsidRDefault="00905BDE" w:rsidP="00E70A67">
      <w:pPr>
        <w:jc w:val="both"/>
        <w:rPr>
          <w:rFonts w:ascii="Calibri" w:hAnsi="Calibri" w:cs="Calibri"/>
          <w:sz w:val="24"/>
          <w:szCs w:val="24"/>
        </w:rPr>
      </w:pPr>
    </w:p>
    <w:p w:rsidR="00C16DDB" w:rsidRPr="00312424" w:rsidRDefault="002500FC" w:rsidP="00C16DDB">
      <w:pPr>
        <w:jc w:val="both"/>
        <w:rPr>
          <w:rFonts w:ascii="Calibri" w:hAnsi="Calibri" w:cs="Calibri"/>
          <w:b/>
          <w:sz w:val="24"/>
          <w:szCs w:val="24"/>
        </w:rPr>
      </w:pPr>
      <w:r>
        <w:rPr>
          <w:rFonts w:ascii="Calibri" w:hAnsi="Calibri" w:cs="Calibri"/>
          <w:b/>
          <w:sz w:val="24"/>
          <w:szCs w:val="24"/>
        </w:rPr>
        <w:t>18</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PROVISÃO PARA CONTINGÊNCIA</w:t>
      </w:r>
      <w:r w:rsidR="00D26FE5">
        <w:rPr>
          <w:rFonts w:ascii="Calibri" w:hAnsi="Calibri" w:cs="Calibri"/>
          <w:b/>
          <w:sz w:val="24"/>
          <w:szCs w:val="24"/>
          <w:u w:val="single"/>
        </w:rPr>
        <w:t>S</w:t>
      </w:r>
    </w:p>
    <w:p w:rsidR="00C16DDB" w:rsidRPr="00312424" w:rsidRDefault="00C16DDB" w:rsidP="00C16DDB">
      <w:pPr>
        <w:jc w:val="both"/>
        <w:rPr>
          <w:rFonts w:ascii="Calibri" w:hAnsi="Calibri" w:cs="Calibri"/>
          <w:b/>
          <w:sz w:val="24"/>
          <w:szCs w:val="24"/>
        </w:rPr>
      </w:pPr>
    </w:p>
    <w:p w:rsidR="00C16DDB" w:rsidRDefault="00C16DDB" w:rsidP="00C16DDB">
      <w:pPr>
        <w:jc w:val="both"/>
        <w:rPr>
          <w:rFonts w:ascii="Calibri" w:hAnsi="Calibri" w:cs="Calibri"/>
          <w:sz w:val="24"/>
          <w:szCs w:val="24"/>
        </w:rPr>
      </w:pPr>
      <w:r w:rsidRPr="00312424">
        <w:rPr>
          <w:rFonts w:ascii="Calibri" w:hAnsi="Calibri" w:cs="Calibri"/>
          <w:sz w:val="24"/>
          <w:szCs w:val="24"/>
        </w:rPr>
        <w:t xml:space="preserve">A CDRJ constitui provisões para processos trabalhistas, cíveis e tributários a valores considerados pela Superintendência Jurídica como sendo suficientes para cobrir perdas prováveis e </w:t>
      </w:r>
      <w:r w:rsidR="00D26FE5">
        <w:rPr>
          <w:rFonts w:ascii="Calibri" w:hAnsi="Calibri" w:cs="Calibri"/>
          <w:sz w:val="24"/>
          <w:szCs w:val="24"/>
        </w:rPr>
        <w:t>estão</w:t>
      </w:r>
      <w:r w:rsidRPr="00312424">
        <w:rPr>
          <w:rFonts w:ascii="Calibri" w:hAnsi="Calibri" w:cs="Calibri"/>
          <w:sz w:val="24"/>
          <w:szCs w:val="24"/>
        </w:rPr>
        <w:t xml:space="preserve"> compostas da seguinte maneira:</w:t>
      </w:r>
    </w:p>
    <w:p w:rsidR="00F10FEB" w:rsidRDefault="00F10FEB" w:rsidP="00C16DDB">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BC027A" w:rsidRPr="004B7AFD" w:rsidTr="00BC027A">
        <w:trPr>
          <w:trHeight w:val="284"/>
          <w:jc w:val="center"/>
        </w:trPr>
        <w:tc>
          <w:tcPr>
            <w:tcW w:w="2860" w:type="dxa"/>
            <w:tcBorders>
              <w:top w:val="nil"/>
              <w:left w:val="nil"/>
              <w:bottom w:val="single" w:sz="4" w:space="0" w:color="auto"/>
              <w:right w:val="single" w:sz="4" w:space="0" w:color="auto"/>
            </w:tcBorders>
            <w:shd w:val="clear" w:color="auto" w:fill="auto"/>
            <w:noWrap/>
            <w:vAlign w:val="center"/>
            <w:hideMark/>
          </w:tcPr>
          <w:p w:rsidR="00BC027A" w:rsidRPr="004B7AFD" w:rsidRDefault="00BC027A" w:rsidP="00BC027A">
            <w:pPr>
              <w:widowControl/>
              <w:rPr>
                <w:rFonts w:ascii="Calibri" w:hAnsi="Calibri" w:cs="Calibri"/>
                <w:snapToGrid/>
                <w:color w:val="000000"/>
                <w:sz w:val="24"/>
                <w:szCs w:val="24"/>
              </w:rPr>
            </w:pPr>
            <w:r w:rsidRPr="004B7AFD">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27A" w:rsidRPr="004B7AFD"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vAlign w:val="center"/>
          </w:tcPr>
          <w:p w:rsidR="00BC027A" w:rsidRPr="004B7AFD" w:rsidRDefault="00BC027A"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BC027A" w:rsidRPr="004B7AFD" w:rsidTr="00BC027A">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4B7AFD" w:rsidRDefault="00BC027A" w:rsidP="00BC027A">
            <w:pPr>
              <w:widowControl/>
              <w:rPr>
                <w:rFonts w:ascii="Calibri" w:hAnsi="Calibri" w:cs="Calibri"/>
                <w:snapToGrid/>
                <w:color w:val="000000"/>
                <w:sz w:val="24"/>
                <w:szCs w:val="24"/>
              </w:rPr>
            </w:pPr>
            <w:r w:rsidRPr="004B7AFD">
              <w:rPr>
                <w:rFonts w:ascii="Calibri" w:hAnsi="Calibri" w:cs="Calibri"/>
                <w:snapToGrid/>
                <w:color w:val="000000"/>
                <w:sz w:val="24"/>
                <w:szCs w:val="24"/>
              </w:rPr>
              <w:t>Trabalhistas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4B7AFD"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253.579</w:t>
            </w:r>
          </w:p>
        </w:tc>
        <w:tc>
          <w:tcPr>
            <w:tcW w:w="1760" w:type="dxa"/>
            <w:tcBorders>
              <w:top w:val="single" w:sz="4" w:space="0" w:color="auto"/>
              <w:left w:val="single" w:sz="4" w:space="0" w:color="auto"/>
              <w:bottom w:val="single" w:sz="4" w:space="0" w:color="auto"/>
              <w:right w:val="single" w:sz="4" w:space="0" w:color="auto"/>
            </w:tcBorders>
            <w:vAlign w:val="bottom"/>
          </w:tcPr>
          <w:p w:rsidR="00BC027A" w:rsidRPr="004B7AFD" w:rsidRDefault="00BC027A" w:rsidP="0068333C">
            <w:pPr>
              <w:widowControl/>
              <w:jc w:val="right"/>
              <w:rPr>
                <w:rFonts w:ascii="Calibri" w:hAnsi="Calibri" w:cs="Calibri"/>
                <w:snapToGrid/>
                <w:color w:val="000000"/>
                <w:sz w:val="24"/>
                <w:szCs w:val="24"/>
              </w:rPr>
            </w:pPr>
            <w:r>
              <w:rPr>
                <w:rFonts w:ascii="Calibri" w:hAnsi="Calibri" w:cs="Calibri"/>
                <w:snapToGrid/>
                <w:color w:val="000000"/>
                <w:sz w:val="24"/>
                <w:szCs w:val="24"/>
              </w:rPr>
              <w:t>246.19</w:t>
            </w:r>
            <w:r w:rsidR="0068333C">
              <w:rPr>
                <w:rFonts w:ascii="Calibri" w:hAnsi="Calibri" w:cs="Calibri"/>
                <w:snapToGrid/>
                <w:color w:val="000000"/>
                <w:sz w:val="24"/>
                <w:szCs w:val="24"/>
              </w:rPr>
              <w:t>4</w:t>
            </w:r>
          </w:p>
        </w:tc>
      </w:tr>
      <w:tr w:rsidR="00BC027A" w:rsidRPr="004B7AFD" w:rsidTr="00BC027A">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4B7AFD" w:rsidRDefault="00BC027A" w:rsidP="00BC027A">
            <w:pPr>
              <w:widowControl/>
              <w:rPr>
                <w:rFonts w:ascii="Calibri" w:hAnsi="Calibri" w:cs="Calibri"/>
                <w:snapToGrid/>
                <w:color w:val="000000"/>
                <w:sz w:val="24"/>
                <w:szCs w:val="24"/>
              </w:rPr>
            </w:pPr>
            <w:r w:rsidRPr="004B7AFD">
              <w:rPr>
                <w:rFonts w:ascii="Calibri" w:hAnsi="Calibri" w:cs="Calibri"/>
                <w:snapToGrid/>
                <w:color w:val="000000"/>
                <w:sz w:val="24"/>
                <w:szCs w:val="24"/>
              </w:rPr>
              <w:t>Cíveis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4B7AFD"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206.795</w:t>
            </w:r>
          </w:p>
        </w:tc>
        <w:tc>
          <w:tcPr>
            <w:tcW w:w="1760" w:type="dxa"/>
            <w:tcBorders>
              <w:top w:val="single" w:sz="4" w:space="0" w:color="auto"/>
              <w:left w:val="single" w:sz="4" w:space="0" w:color="auto"/>
              <w:bottom w:val="single" w:sz="4" w:space="0" w:color="auto"/>
              <w:right w:val="single" w:sz="4" w:space="0" w:color="auto"/>
            </w:tcBorders>
            <w:vAlign w:val="bottom"/>
          </w:tcPr>
          <w:p w:rsidR="00BC027A" w:rsidRPr="004B7AFD"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149.651</w:t>
            </w:r>
          </w:p>
        </w:tc>
      </w:tr>
      <w:tr w:rsidR="00BC027A" w:rsidRPr="004B7AFD" w:rsidTr="00BC027A">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4B7AFD" w:rsidRDefault="00BC027A" w:rsidP="00BC027A">
            <w:pPr>
              <w:widowControl/>
              <w:rPr>
                <w:rFonts w:ascii="Calibri" w:hAnsi="Calibri" w:cs="Calibri"/>
                <w:snapToGrid/>
                <w:color w:val="000000"/>
                <w:sz w:val="24"/>
                <w:szCs w:val="24"/>
              </w:rPr>
            </w:pPr>
            <w:r w:rsidRPr="004B7AFD">
              <w:rPr>
                <w:rFonts w:ascii="Calibri" w:hAnsi="Calibri" w:cs="Calibri"/>
                <w:snapToGrid/>
                <w:color w:val="000000"/>
                <w:sz w:val="24"/>
                <w:szCs w:val="24"/>
              </w:rPr>
              <w:t>Tributárias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4B7AFD"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312.064</w:t>
            </w:r>
          </w:p>
        </w:tc>
        <w:tc>
          <w:tcPr>
            <w:tcW w:w="1760" w:type="dxa"/>
            <w:tcBorders>
              <w:top w:val="single" w:sz="4" w:space="0" w:color="auto"/>
              <w:left w:val="single" w:sz="4" w:space="0" w:color="auto"/>
              <w:bottom w:val="single" w:sz="4" w:space="0" w:color="auto"/>
              <w:right w:val="single" w:sz="4" w:space="0" w:color="auto"/>
            </w:tcBorders>
            <w:vAlign w:val="bottom"/>
          </w:tcPr>
          <w:p w:rsidR="00BC027A" w:rsidRPr="004B7AFD" w:rsidRDefault="00BC027A" w:rsidP="00BC027A">
            <w:pPr>
              <w:widowControl/>
              <w:jc w:val="right"/>
              <w:rPr>
                <w:rFonts w:ascii="Calibri" w:hAnsi="Calibri" w:cs="Calibri"/>
                <w:snapToGrid/>
                <w:color w:val="000000"/>
                <w:sz w:val="24"/>
                <w:szCs w:val="24"/>
              </w:rPr>
            </w:pPr>
            <w:r>
              <w:rPr>
                <w:rFonts w:ascii="Calibri" w:hAnsi="Calibri" w:cs="Calibri"/>
                <w:snapToGrid/>
                <w:color w:val="000000"/>
                <w:sz w:val="24"/>
                <w:szCs w:val="24"/>
              </w:rPr>
              <w:t>302.974</w:t>
            </w:r>
          </w:p>
        </w:tc>
      </w:tr>
      <w:tr w:rsidR="00BC027A" w:rsidRPr="004B7AFD" w:rsidTr="00BC027A">
        <w:trPr>
          <w:trHeight w:val="284"/>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27A" w:rsidRPr="004B7AFD" w:rsidRDefault="00BC027A" w:rsidP="00BC027A">
            <w:pPr>
              <w:widowControl/>
              <w:rPr>
                <w:rFonts w:ascii="Calibri" w:hAnsi="Calibri" w:cs="Calibri"/>
                <w:b/>
                <w:bCs/>
                <w:snapToGrid/>
                <w:color w:val="000000"/>
                <w:sz w:val="24"/>
                <w:szCs w:val="24"/>
              </w:rPr>
            </w:pPr>
            <w:r w:rsidRPr="004B7AFD">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27A" w:rsidRPr="004B7AFD" w:rsidRDefault="00BC027A"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772.438</w:t>
            </w:r>
          </w:p>
        </w:tc>
        <w:tc>
          <w:tcPr>
            <w:tcW w:w="1760" w:type="dxa"/>
            <w:tcBorders>
              <w:top w:val="single" w:sz="4" w:space="0" w:color="auto"/>
              <w:left w:val="single" w:sz="4" w:space="0" w:color="auto"/>
              <w:bottom w:val="single" w:sz="4" w:space="0" w:color="auto"/>
              <w:right w:val="single" w:sz="4" w:space="0" w:color="auto"/>
            </w:tcBorders>
            <w:vAlign w:val="bottom"/>
          </w:tcPr>
          <w:p w:rsidR="00BC027A" w:rsidRPr="004B7AFD" w:rsidRDefault="0068333C" w:rsidP="00BC027A">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698.819</w:t>
            </w:r>
          </w:p>
        </w:tc>
      </w:tr>
    </w:tbl>
    <w:p w:rsidR="004A7359" w:rsidRDefault="004A7359" w:rsidP="00C16DDB">
      <w:pPr>
        <w:jc w:val="both"/>
        <w:rPr>
          <w:rFonts w:ascii="Calibri" w:hAnsi="Calibri" w:cs="Calibri"/>
          <w:sz w:val="24"/>
          <w:szCs w:val="24"/>
        </w:rPr>
      </w:pPr>
    </w:p>
    <w:p w:rsidR="00FE514C" w:rsidRDefault="00A60029" w:rsidP="00C16DDB">
      <w:pPr>
        <w:jc w:val="both"/>
        <w:rPr>
          <w:rFonts w:ascii="Calibri" w:hAnsi="Calibri" w:cs="Calibri"/>
          <w:sz w:val="24"/>
          <w:szCs w:val="24"/>
        </w:rPr>
      </w:pPr>
      <w:r>
        <w:rPr>
          <w:rFonts w:ascii="Calibri" w:hAnsi="Calibri" w:cs="Calibri"/>
          <w:sz w:val="24"/>
          <w:szCs w:val="24"/>
        </w:rPr>
        <w:t>Segundo informações da Superintendência Jurídica da CDRJ, a</w:t>
      </w:r>
      <w:r w:rsidR="00C16DDB" w:rsidRPr="00312424">
        <w:rPr>
          <w:rFonts w:ascii="Calibri" w:hAnsi="Calibri" w:cs="Calibri"/>
          <w:sz w:val="24"/>
          <w:szCs w:val="24"/>
        </w:rPr>
        <w:t>s Provisões são reconhecidas tendo como base as opiniões dos advogados sobre o valor a</w:t>
      </w:r>
      <w:r>
        <w:rPr>
          <w:rFonts w:ascii="Calibri" w:hAnsi="Calibri" w:cs="Calibri"/>
          <w:sz w:val="24"/>
          <w:szCs w:val="24"/>
        </w:rPr>
        <w:t xml:space="preserve"> ser desembolsado em cada ação, considerando a fase processual em que se encontram, levando em consideração os valores depositados, levantamentos e cálculos homologados. </w:t>
      </w:r>
    </w:p>
    <w:p w:rsidR="00FE514C" w:rsidRDefault="00FE514C" w:rsidP="00C16DDB">
      <w:pPr>
        <w:jc w:val="both"/>
        <w:rPr>
          <w:rFonts w:ascii="Calibri" w:hAnsi="Calibri" w:cs="Calibri"/>
          <w:sz w:val="24"/>
          <w:szCs w:val="24"/>
        </w:rPr>
      </w:pPr>
    </w:p>
    <w:p w:rsidR="00A60029" w:rsidRDefault="00A60029" w:rsidP="00C16DDB">
      <w:pPr>
        <w:jc w:val="both"/>
        <w:rPr>
          <w:rFonts w:ascii="Calibri" w:hAnsi="Calibri" w:cs="Calibri"/>
          <w:sz w:val="24"/>
          <w:szCs w:val="24"/>
        </w:rPr>
      </w:pPr>
      <w:r>
        <w:rPr>
          <w:rFonts w:ascii="Calibri" w:hAnsi="Calibri" w:cs="Calibri"/>
          <w:sz w:val="24"/>
          <w:szCs w:val="24"/>
        </w:rPr>
        <w:t>Os valores foram atualizados pelos índices dos respectivos tribunais em que tramitam as ações, acrescidos de juros de mora, conforme legislação vigente. Os processos classificados como perda remota foram calculados com base nos pedidos apresentados na inicial. Aqueles considerados como perda possível tiveram seus valores definidos com base em decisões na primeira instância. Os processos classificados como perdas prováveis foram calculados com base na decisão em segunda instância.</w:t>
      </w:r>
    </w:p>
    <w:p w:rsidR="00FE514C" w:rsidRDefault="00FE514C" w:rsidP="00C16DDB">
      <w:pPr>
        <w:jc w:val="both"/>
        <w:rPr>
          <w:rFonts w:ascii="Calibri" w:hAnsi="Calibri" w:cs="Calibri"/>
          <w:sz w:val="24"/>
          <w:szCs w:val="24"/>
        </w:rPr>
      </w:pPr>
    </w:p>
    <w:p w:rsidR="004B7AFD" w:rsidRPr="00FE514C" w:rsidRDefault="004B7AFD" w:rsidP="002500FC">
      <w:pPr>
        <w:pStyle w:val="Recuodecorpodetexto"/>
        <w:widowControl/>
        <w:numPr>
          <w:ilvl w:val="1"/>
          <w:numId w:val="19"/>
        </w:numPr>
        <w:autoSpaceDE w:val="0"/>
        <w:autoSpaceDN w:val="0"/>
        <w:rPr>
          <w:rFonts w:ascii="Calibri" w:hAnsi="Calibri" w:cs="Calibri"/>
          <w:b/>
          <w:szCs w:val="24"/>
        </w:rPr>
      </w:pPr>
      <w:r>
        <w:rPr>
          <w:rFonts w:ascii="Calibri" w:hAnsi="Calibri" w:cs="Calibri"/>
          <w:b/>
          <w:szCs w:val="24"/>
          <w:lang w:val="pt-BR"/>
        </w:rPr>
        <w:t xml:space="preserve"> Perdas Possíveis Não Provisionadas no Balanço</w:t>
      </w:r>
    </w:p>
    <w:p w:rsidR="00FE514C" w:rsidRDefault="00FE514C" w:rsidP="00FE514C">
      <w:pPr>
        <w:pStyle w:val="Recuodecorpodetexto"/>
        <w:widowControl/>
        <w:autoSpaceDE w:val="0"/>
        <w:autoSpaceDN w:val="0"/>
        <w:ind w:left="420"/>
        <w:rPr>
          <w:rFonts w:ascii="Calibri" w:hAnsi="Calibri" w:cs="Calibri"/>
          <w:b/>
          <w:szCs w:val="24"/>
          <w:lang w:val="pt-BR"/>
        </w:rPr>
      </w:pPr>
    </w:p>
    <w:p w:rsidR="00FE514C" w:rsidRDefault="00FE514C" w:rsidP="00FE514C">
      <w:pPr>
        <w:pStyle w:val="Ttulo3"/>
        <w:ind w:left="851"/>
        <w:jc w:val="both"/>
        <w:rPr>
          <w:rFonts w:ascii="Calibri" w:hAnsi="Calibri" w:cs="Calibri"/>
          <w:sz w:val="24"/>
          <w:szCs w:val="24"/>
        </w:rPr>
      </w:pPr>
      <w:r>
        <w:rPr>
          <w:rFonts w:ascii="Calibri" w:hAnsi="Calibri" w:cs="Calibri"/>
          <w:sz w:val="24"/>
          <w:szCs w:val="24"/>
        </w:rPr>
        <w:t>A Companhia possui outras contingências nas quais, conforme opinião dos advogados, as probabilidades de perdas são remotas ou até possíveis. Contudo, há contingências que, devido ao valor das ações, podem propiciar perdas relevantes à CDRJ em R$ 88</w:t>
      </w:r>
      <w:r w:rsidR="00CD633B">
        <w:rPr>
          <w:rFonts w:ascii="Calibri" w:hAnsi="Calibri" w:cs="Calibri"/>
          <w:sz w:val="24"/>
          <w:szCs w:val="24"/>
        </w:rPr>
        <w:t>4</w:t>
      </w:r>
      <w:r>
        <w:rPr>
          <w:rFonts w:ascii="Calibri" w:hAnsi="Calibri" w:cs="Calibri"/>
          <w:sz w:val="24"/>
          <w:szCs w:val="24"/>
        </w:rPr>
        <w:t>.</w:t>
      </w:r>
      <w:r w:rsidR="00CD633B">
        <w:rPr>
          <w:rFonts w:ascii="Calibri" w:hAnsi="Calibri" w:cs="Calibri"/>
          <w:sz w:val="24"/>
          <w:szCs w:val="24"/>
        </w:rPr>
        <w:t>011</w:t>
      </w:r>
      <w:r>
        <w:rPr>
          <w:rFonts w:ascii="Calibri" w:hAnsi="Calibri" w:cs="Calibri"/>
          <w:sz w:val="24"/>
          <w:szCs w:val="24"/>
        </w:rPr>
        <w:t xml:space="preserve"> mil (R$ 8</w:t>
      </w:r>
      <w:r w:rsidR="00CD633B">
        <w:rPr>
          <w:rFonts w:ascii="Calibri" w:hAnsi="Calibri" w:cs="Calibri"/>
          <w:sz w:val="24"/>
          <w:szCs w:val="24"/>
        </w:rPr>
        <w:t>58</w:t>
      </w:r>
      <w:r>
        <w:rPr>
          <w:rFonts w:ascii="Calibri" w:hAnsi="Calibri" w:cs="Calibri"/>
          <w:sz w:val="24"/>
          <w:szCs w:val="24"/>
        </w:rPr>
        <w:t>.</w:t>
      </w:r>
      <w:r w:rsidR="00CD633B">
        <w:rPr>
          <w:rFonts w:ascii="Calibri" w:hAnsi="Calibri" w:cs="Calibri"/>
          <w:sz w:val="24"/>
          <w:szCs w:val="24"/>
        </w:rPr>
        <w:t>263</w:t>
      </w:r>
      <w:r>
        <w:rPr>
          <w:rFonts w:ascii="Calibri" w:hAnsi="Calibri" w:cs="Calibri"/>
          <w:sz w:val="24"/>
          <w:szCs w:val="24"/>
        </w:rPr>
        <w:t xml:space="preserve"> mil em </w:t>
      </w:r>
      <w:r w:rsidR="00CD633B">
        <w:rPr>
          <w:rFonts w:ascii="Calibri" w:hAnsi="Calibri" w:cs="Calibri"/>
          <w:sz w:val="24"/>
          <w:szCs w:val="24"/>
        </w:rPr>
        <w:t>31/12/</w:t>
      </w:r>
      <w:r>
        <w:rPr>
          <w:rFonts w:ascii="Calibri" w:hAnsi="Calibri" w:cs="Calibri"/>
          <w:sz w:val="24"/>
          <w:szCs w:val="24"/>
        </w:rPr>
        <w:t>201</w:t>
      </w:r>
      <w:r w:rsidR="00CD633B">
        <w:rPr>
          <w:rFonts w:ascii="Calibri" w:hAnsi="Calibri" w:cs="Calibri"/>
          <w:sz w:val="24"/>
          <w:szCs w:val="24"/>
        </w:rPr>
        <w:t>9</w:t>
      </w:r>
      <w:r>
        <w:rPr>
          <w:rFonts w:ascii="Calibri" w:hAnsi="Calibri" w:cs="Calibri"/>
          <w:sz w:val="24"/>
          <w:szCs w:val="24"/>
        </w:rPr>
        <w:t>), sendo:</w:t>
      </w:r>
    </w:p>
    <w:p w:rsidR="00FE514C" w:rsidRDefault="00FE514C" w:rsidP="00FE514C">
      <w:pPr>
        <w:pStyle w:val="Ttulo3"/>
        <w:ind w:left="851"/>
        <w:jc w:val="both"/>
        <w:rPr>
          <w:rFonts w:ascii="Calibri" w:hAnsi="Calibri" w:cs="Calibri"/>
          <w:sz w:val="24"/>
          <w:szCs w:val="24"/>
        </w:rPr>
      </w:pPr>
      <w:r>
        <w:rPr>
          <w:rFonts w:ascii="Calibri" w:hAnsi="Calibri" w:cs="Calibri"/>
          <w:sz w:val="24"/>
          <w:szCs w:val="24"/>
        </w:rPr>
        <w:t>- A</w:t>
      </w:r>
      <w:r w:rsidR="00CD633B">
        <w:rPr>
          <w:rFonts w:ascii="Calibri" w:hAnsi="Calibri" w:cs="Calibri"/>
          <w:sz w:val="24"/>
          <w:szCs w:val="24"/>
        </w:rPr>
        <w:t>ções Trabalhistas</w:t>
      </w:r>
      <w:r w:rsidR="00CD633B">
        <w:rPr>
          <w:rFonts w:ascii="Calibri" w:hAnsi="Calibri" w:cs="Calibri"/>
          <w:sz w:val="24"/>
          <w:szCs w:val="24"/>
        </w:rPr>
        <w:tab/>
        <w:t>- R$   39.888</w:t>
      </w:r>
    </w:p>
    <w:p w:rsidR="00FE514C" w:rsidRDefault="00CD633B" w:rsidP="00FE514C">
      <w:pPr>
        <w:pStyle w:val="Ttulo3"/>
        <w:ind w:left="851"/>
        <w:jc w:val="both"/>
        <w:rPr>
          <w:rFonts w:ascii="Calibri" w:hAnsi="Calibri" w:cs="Calibri"/>
          <w:sz w:val="24"/>
          <w:szCs w:val="24"/>
        </w:rPr>
      </w:pPr>
      <w:r>
        <w:rPr>
          <w:rFonts w:ascii="Calibri" w:hAnsi="Calibri" w:cs="Calibri"/>
          <w:sz w:val="24"/>
          <w:szCs w:val="24"/>
        </w:rPr>
        <w:t>- Ações Cíveis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R$ 695.488</w:t>
      </w:r>
    </w:p>
    <w:p w:rsidR="00FE514C" w:rsidRDefault="00FE514C" w:rsidP="00FE514C">
      <w:pPr>
        <w:pStyle w:val="Ttulo3"/>
        <w:ind w:left="851"/>
        <w:jc w:val="both"/>
        <w:rPr>
          <w:rFonts w:ascii="Calibri" w:hAnsi="Calibri" w:cs="Calibri"/>
          <w:sz w:val="24"/>
          <w:szCs w:val="24"/>
        </w:rPr>
      </w:pPr>
      <w:r>
        <w:rPr>
          <w:rFonts w:ascii="Calibri" w:hAnsi="Calibri" w:cs="Calibri"/>
          <w:sz w:val="24"/>
          <w:szCs w:val="24"/>
        </w:rPr>
        <w:t>- Ações Tributárias</w:t>
      </w:r>
      <w:r w:rsidRPr="00D15E30">
        <w:rPr>
          <w:rFonts w:ascii="Calibri" w:hAnsi="Calibri" w:cs="Calibri"/>
          <w:sz w:val="24"/>
          <w:szCs w:val="24"/>
        </w:rPr>
        <w:t xml:space="preserve"> </w:t>
      </w:r>
      <w:r w:rsidR="00CD633B">
        <w:rPr>
          <w:rFonts w:ascii="Calibri" w:hAnsi="Calibri" w:cs="Calibri"/>
          <w:sz w:val="24"/>
          <w:szCs w:val="24"/>
        </w:rPr>
        <w:tab/>
        <w:t>- R$ 148.635</w:t>
      </w:r>
    </w:p>
    <w:p w:rsidR="00E43C77" w:rsidRDefault="00E43C77" w:rsidP="00E43C77"/>
    <w:p w:rsidR="00DD1114" w:rsidRPr="00312424" w:rsidRDefault="00DD1114" w:rsidP="004B7AFD">
      <w:pPr>
        <w:jc w:val="both"/>
        <w:rPr>
          <w:rFonts w:ascii="Calibri" w:hAnsi="Calibri" w:cs="Calibri"/>
          <w:sz w:val="24"/>
          <w:szCs w:val="24"/>
        </w:rPr>
      </w:pPr>
    </w:p>
    <w:p w:rsidR="00C16DDB" w:rsidRPr="00312424" w:rsidRDefault="002500FC" w:rsidP="00C16DDB">
      <w:pPr>
        <w:rPr>
          <w:rFonts w:ascii="Calibri" w:hAnsi="Calibri" w:cs="Calibri"/>
          <w:b/>
          <w:sz w:val="24"/>
          <w:szCs w:val="24"/>
          <w:u w:val="single"/>
        </w:rPr>
      </w:pPr>
      <w:r>
        <w:rPr>
          <w:rFonts w:ascii="Calibri" w:hAnsi="Calibri" w:cs="Calibri"/>
          <w:b/>
          <w:sz w:val="24"/>
          <w:szCs w:val="24"/>
        </w:rPr>
        <w:t>19</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ADIANTAMENTO PARA FUTURO AUMENTO DE CAPITAL</w:t>
      </w:r>
    </w:p>
    <w:p w:rsidR="00C16DDB" w:rsidRPr="00312424" w:rsidRDefault="00C16DDB" w:rsidP="00C16DDB">
      <w:pPr>
        <w:rPr>
          <w:rFonts w:ascii="Calibri" w:hAnsi="Calibri" w:cs="Calibri"/>
          <w:b/>
          <w:sz w:val="24"/>
          <w:szCs w:val="24"/>
          <w:u w:val="single"/>
        </w:rPr>
      </w:pPr>
    </w:p>
    <w:p w:rsidR="00462F47" w:rsidRDefault="00C16DDB" w:rsidP="00C16DDB">
      <w:pPr>
        <w:widowControl/>
        <w:jc w:val="both"/>
        <w:rPr>
          <w:rFonts w:ascii="Calibri" w:hAnsi="Calibri" w:cs="Calibri"/>
          <w:sz w:val="24"/>
          <w:szCs w:val="24"/>
        </w:rPr>
      </w:pPr>
      <w:r w:rsidRPr="00312424">
        <w:rPr>
          <w:rFonts w:ascii="Calibri" w:hAnsi="Calibri" w:cs="Calibri"/>
          <w:sz w:val="24"/>
          <w:szCs w:val="24"/>
        </w:rPr>
        <w:t>Trata-se de recursos aportados pela União destinados a programas de investimentos na Companhia. Os valores sofrem a incidência de atualização financeira com base na variação da Taxa SELIC até a sua capitalização,</w:t>
      </w:r>
      <w:r w:rsidR="00A05CB8">
        <w:rPr>
          <w:rFonts w:ascii="Calibri" w:hAnsi="Calibri" w:cs="Calibri"/>
          <w:sz w:val="24"/>
          <w:szCs w:val="24"/>
        </w:rPr>
        <w:t xml:space="preserve"> conforme Decreto nº 2.673/1998</w:t>
      </w:r>
      <w:r w:rsidR="00462F47">
        <w:rPr>
          <w:rFonts w:ascii="Calibri" w:hAnsi="Calibri" w:cs="Calibri"/>
          <w:sz w:val="24"/>
          <w:szCs w:val="24"/>
        </w:rPr>
        <w:t>.</w:t>
      </w:r>
    </w:p>
    <w:p w:rsidR="00B22F57" w:rsidRDefault="00B22F57" w:rsidP="00C16DDB">
      <w:pPr>
        <w:widowControl/>
        <w:jc w:val="both"/>
        <w:rPr>
          <w:rFonts w:ascii="Calibri" w:hAnsi="Calibri" w:cs="Calibri"/>
          <w:sz w:val="24"/>
          <w:szCs w:val="24"/>
        </w:rPr>
      </w:pPr>
    </w:p>
    <w:p w:rsidR="00DD1114" w:rsidRDefault="00DD1114" w:rsidP="00C16DDB">
      <w:pPr>
        <w:widowControl/>
        <w:jc w:val="both"/>
        <w:rPr>
          <w:rFonts w:ascii="Calibri" w:hAnsi="Calibri" w:cs="Calibri"/>
          <w:sz w:val="24"/>
          <w:szCs w:val="24"/>
        </w:rPr>
      </w:pPr>
    </w:p>
    <w:p w:rsidR="00C16DDB" w:rsidRPr="00312424" w:rsidRDefault="00462F47" w:rsidP="00C16DDB">
      <w:pPr>
        <w:widowControl/>
        <w:jc w:val="both"/>
        <w:rPr>
          <w:rFonts w:ascii="Calibri" w:hAnsi="Calibri" w:cs="Calibri"/>
          <w:sz w:val="24"/>
          <w:szCs w:val="24"/>
        </w:rPr>
      </w:pPr>
      <w:r>
        <w:rPr>
          <w:rFonts w:ascii="Calibri" w:hAnsi="Calibri" w:cs="Calibri"/>
          <w:sz w:val="24"/>
          <w:szCs w:val="24"/>
        </w:rPr>
        <w:lastRenderedPageBreak/>
        <w:t>O grupo possui a</w:t>
      </w:r>
      <w:r w:rsidR="00A05CB8">
        <w:rPr>
          <w:rFonts w:ascii="Calibri" w:hAnsi="Calibri" w:cs="Calibri"/>
          <w:sz w:val="24"/>
          <w:szCs w:val="24"/>
        </w:rPr>
        <w:t xml:space="preserve"> seguinte composição:</w:t>
      </w:r>
    </w:p>
    <w:p w:rsidR="00C16DDB" w:rsidRDefault="00C16DDB" w:rsidP="00C16DDB">
      <w:pPr>
        <w:widowControl/>
        <w:jc w:val="both"/>
        <w:rPr>
          <w:rFonts w:ascii="Calibri" w:hAnsi="Calibri" w:cs="Calibri"/>
          <w:sz w:val="24"/>
          <w:szCs w:val="24"/>
        </w:rPr>
      </w:pPr>
    </w:p>
    <w:tbl>
      <w:tblPr>
        <w:tblW w:w="7500" w:type="dxa"/>
        <w:jc w:val="center"/>
        <w:tblCellMar>
          <w:left w:w="70" w:type="dxa"/>
          <w:right w:w="70" w:type="dxa"/>
        </w:tblCellMar>
        <w:tblLook w:val="04A0" w:firstRow="1" w:lastRow="0" w:firstColumn="1" w:lastColumn="0" w:noHBand="0" w:noVBand="1"/>
      </w:tblPr>
      <w:tblGrid>
        <w:gridCol w:w="3980"/>
        <w:gridCol w:w="1760"/>
        <w:gridCol w:w="1760"/>
      </w:tblGrid>
      <w:tr w:rsidR="00CD633B" w:rsidRPr="00197D3F" w:rsidTr="00CD633B">
        <w:trPr>
          <w:trHeight w:val="284"/>
          <w:jc w:val="center"/>
        </w:trPr>
        <w:tc>
          <w:tcPr>
            <w:tcW w:w="3980" w:type="dxa"/>
            <w:tcBorders>
              <w:top w:val="nil"/>
              <w:left w:val="nil"/>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31/12/2019</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 xml:space="preserve">Repasse ao </w:t>
            </w:r>
            <w:proofErr w:type="spellStart"/>
            <w:r w:rsidRPr="00197D3F">
              <w:rPr>
                <w:rFonts w:ascii="Calibri" w:hAnsi="Calibri" w:cs="Calibri"/>
                <w:snapToGrid/>
                <w:color w:val="000000"/>
                <w:sz w:val="24"/>
                <w:szCs w:val="24"/>
              </w:rPr>
              <w:t>Portus</w:t>
            </w:r>
            <w:proofErr w:type="spellEnd"/>
            <w:r>
              <w:rPr>
                <w:rFonts w:ascii="Calibri" w:hAnsi="Calibri" w:cs="Calibri"/>
                <w:snapToGrid/>
                <w:color w:val="000000"/>
                <w:sz w:val="24"/>
                <w:szCs w:val="24"/>
              </w:rPr>
              <w:t xml:space="preserve"> (2013 a 2016)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3E75B4"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196.803</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194.826</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Subscrição do Estado do Rio de Janeiro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3E75B4"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2</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2</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Modernização Portuária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3E75B4"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10.262</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10.158</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Gerenciamento de Resíduos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3E75B4"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1.212</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1.200</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snapToGrid/>
                <w:color w:val="000000"/>
                <w:sz w:val="24"/>
                <w:szCs w:val="24"/>
              </w:rPr>
            </w:pPr>
            <w:r w:rsidRPr="00197D3F">
              <w:rPr>
                <w:rFonts w:ascii="Calibri" w:hAnsi="Calibri" w:cs="Calibri"/>
                <w:snapToGrid/>
                <w:color w:val="000000"/>
                <w:sz w:val="24"/>
                <w:szCs w:val="24"/>
              </w:rPr>
              <w:t>Correção Monetária Decreto 2.673/98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3E75B4"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1.210</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snapToGrid/>
                <w:color w:val="000000"/>
                <w:sz w:val="24"/>
                <w:szCs w:val="24"/>
              </w:rPr>
            </w:pPr>
            <w:r>
              <w:rPr>
                <w:rFonts w:ascii="Calibri" w:hAnsi="Calibri" w:cs="Calibri"/>
                <w:snapToGrid/>
                <w:color w:val="000000"/>
                <w:sz w:val="24"/>
                <w:szCs w:val="24"/>
              </w:rPr>
              <w:t>1.198</w:t>
            </w:r>
          </w:p>
        </w:tc>
      </w:tr>
      <w:tr w:rsidR="00CD633B" w:rsidRPr="00197D3F"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33B" w:rsidRPr="00197D3F" w:rsidRDefault="00CD633B" w:rsidP="00CD633B">
            <w:pPr>
              <w:widowControl/>
              <w:rPr>
                <w:rFonts w:ascii="Calibri" w:hAnsi="Calibri" w:cs="Calibri"/>
                <w:b/>
                <w:bCs/>
                <w:snapToGrid/>
                <w:color w:val="000000"/>
                <w:sz w:val="24"/>
                <w:szCs w:val="24"/>
              </w:rPr>
            </w:pPr>
            <w:r w:rsidRPr="00197D3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3B" w:rsidRPr="00197D3F" w:rsidRDefault="00CD633B" w:rsidP="00CD633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209.489</w:t>
            </w:r>
          </w:p>
        </w:tc>
        <w:tc>
          <w:tcPr>
            <w:tcW w:w="1760" w:type="dxa"/>
            <w:tcBorders>
              <w:top w:val="single" w:sz="4" w:space="0" w:color="auto"/>
              <w:left w:val="single" w:sz="4" w:space="0" w:color="auto"/>
              <w:bottom w:val="single" w:sz="4" w:space="0" w:color="auto"/>
              <w:right w:val="single" w:sz="4" w:space="0" w:color="auto"/>
            </w:tcBorders>
            <w:vAlign w:val="bottom"/>
          </w:tcPr>
          <w:p w:rsidR="00CD633B" w:rsidRPr="00197D3F" w:rsidRDefault="00CD633B" w:rsidP="00CD633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207.384</w:t>
            </w:r>
          </w:p>
        </w:tc>
      </w:tr>
    </w:tbl>
    <w:p w:rsidR="00FE514C" w:rsidRDefault="00FE514C" w:rsidP="00C16DDB">
      <w:pPr>
        <w:jc w:val="both"/>
        <w:rPr>
          <w:rFonts w:ascii="Calibri" w:hAnsi="Calibri" w:cs="Calibri"/>
          <w:b/>
          <w:sz w:val="24"/>
          <w:szCs w:val="24"/>
        </w:rPr>
      </w:pPr>
    </w:p>
    <w:p w:rsidR="00FE514C" w:rsidRDefault="00FE514C" w:rsidP="00C16DDB">
      <w:pPr>
        <w:jc w:val="both"/>
        <w:rPr>
          <w:rFonts w:ascii="Calibri" w:hAnsi="Calibri" w:cs="Calibri"/>
          <w:b/>
          <w:sz w:val="24"/>
          <w:szCs w:val="24"/>
        </w:rPr>
      </w:pPr>
    </w:p>
    <w:p w:rsidR="00C16DDB" w:rsidRPr="00312424" w:rsidRDefault="002500FC" w:rsidP="00C16DDB">
      <w:pPr>
        <w:jc w:val="both"/>
        <w:rPr>
          <w:rFonts w:ascii="Calibri" w:hAnsi="Calibri" w:cs="Calibri"/>
          <w:b/>
          <w:sz w:val="24"/>
          <w:szCs w:val="24"/>
          <w:u w:val="single"/>
        </w:rPr>
      </w:pPr>
      <w:r>
        <w:rPr>
          <w:rFonts w:ascii="Calibri" w:hAnsi="Calibri" w:cs="Calibri"/>
          <w:b/>
          <w:sz w:val="24"/>
          <w:szCs w:val="24"/>
        </w:rPr>
        <w:t>20</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CAPITAL SOCIAL</w:t>
      </w:r>
    </w:p>
    <w:p w:rsidR="00C16DDB" w:rsidRPr="00312424" w:rsidRDefault="00C16DDB" w:rsidP="00C16DDB">
      <w:pPr>
        <w:jc w:val="both"/>
        <w:rPr>
          <w:rFonts w:ascii="Calibri" w:hAnsi="Calibri" w:cs="Calibri"/>
          <w:sz w:val="24"/>
          <w:szCs w:val="24"/>
          <w:highlight w:val="magenta"/>
        </w:rPr>
      </w:pPr>
    </w:p>
    <w:p w:rsidR="00C16DDB" w:rsidRDefault="00C16DDB" w:rsidP="00C16DDB">
      <w:pPr>
        <w:jc w:val="both"/>
        <w:rPr>
          <w:rFonts w:ascii="Calibri" w:hAnsi="Calibri" w:cs="Calibri"/>
          <w:sz w:val="24"/>
          <w:szCs w:val="24"/>
        </w:rPr>
      </w:pPr>
      <w:r w:rsidRPr="00312424">
        <w:rPr>
          <w:rFonts w:ascii="Calibri" w:hAnsi="Calibri" w:cs="Calibri"/>
          <w:sz w:val="24"/>
          <w:szCs w:val="24"/>
        </w:rPr>
        <w:t>O Capital Social</w:t>
      </w:r>
      <w:r w:rsidR="003D77DC">
        <w:rPr>
          <w:rFonts w:ascii="Calibri" w:hAnsi="Calibri" w:cs="Calibri"/>
          <w:sz w:val="24"/>
          <w:szCs w:val="24"/>
        </w:rPr>
        <w:t>,</w:t>
      </w:r>
      <w:r w:rsidRPr="00312424">
        <w:rPr>
          <w:rFonts w:ascii="Calibri" w:hAnsi="Calibri" w:cs="Calibri"/>
          <w:sz w:val="24"/>
          <w:szCs w:val="24"/>
        </w:rPr>
        <w:t xml:space="preserve"> no montante de R$ 2.455.537 mil está representado por 1.222.461.</w:t>
      </w:r>
      <w:r w:rsidR="00B22F57">
        <w:rPr>
          <w:rFonts w:ascii="Calibri" w:hAnsi="Calibri" w:cs="Calibri"/>
          <w:sz w:val="24"/>
          <w:szCs w:val="24"/>
        </w:rPr>
        <w:t>484</w:t>
      </w:r>
      <w:r w:rsidRPr="00312424">
        <w:rPr>
          <w:rFonts w:ascii="Calibri" w:hAnsi="Calibri" w:cs="Calibri"/>
          <w:sz w:val="24"/>
          <w:szCs w:val="24"/>
        </w:rPr>
        <w:t xml:space="preserve"> ações:</w:t>
      </w:r>
    </w:p>
    <w:p w:rsidR="00B22F57" w:rsidRDefault="00B22F57" w:rsidP="00C16DDB">
      <w:pPr>
        <w:jc w:val="both"/>
        <w:rPr>
          <w:rFonts w:ascii="Calibri" w:hAnsi="Calibri" w:cs="Calibri"/>
          <w:sz w:val="24"/>
          <w:szCs w:val="24"/>
        </w:rPr>
      </w:pPr>
    </w:p>
    <w:tbl>
      <w:tblPr>
        <w:tblW w:w="8564" w:type="dxa"/>
        <w:jc w:val="center"/>
        <w:tblCellMar>
          <w:left w:w="70" w:type="dxa"/>
          <w:right w:w="70" w:type="dxa"/>
        </w:tblCellMar>
        <w:tblLook w:val="04A0" w:firstRow="1" w:lastRow="0" w:firstColumn="1" w:lastColumn="0" w:noHBand="0" w:noVBand="1"/>
      </w:tblPr>
      <w:tblGrid>
        <w:gridCol w:w="3104"/>
        <w:gridCol w:w="1820"/>
        <w:gridCol w:w="1820"/>
        <w:gridCol w:w="1820"/>
      </w:tblGrid>
      <w:tr w:rsidR="00B22F57" w:rsidRPr="00B22F57" w:rsidTr="00857F3A">
        <w:trPr>
          <w:trHeight w:val="284"/>
          <w:jc w:val="center"/>
        </w:trPr>
        <w:tc>
          <w:tcPr>
            <w:tcW w:w="3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F57" w:rsidRPr="00B22F57" w:rsidRDefault="00B22F57" w:rsidP="00B22F57">
            <w:pPr>
              <w:widowControl/>
              <w:jc w:val="center"/>
              <w:rPr>
                <w:rFonts w:ascii="Calibri" w:hAnsi="Calibri" w:cs="Calibri"/>
                <w:b/>
                <w:bCs/>
                <w:snapToGrid/>
                <w:color w:val="000000"/>
                <w:sz w:val="24"/>
                <w:szCs w:val="24"/>
              </w:rPr>
            </w:pPr>
            <w:r w:rsidRPr="00B22F57">
              <w:rPr>
                <w:rFonts w:ascii="Calibri" w:hAnsi="Calibri" w:cs="Calibri"/>
                <w:b/>
                <w:bCs/>
                <w:snapToGrid/>
                <w:color w:val="000000"/>
                <w:sz w:val="24"/>
                <w:szCs w:val="24"/>
              </w:rPr>
              <w:t>Acionistas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center"/>
              <w:rPr>
                <w:rFonts w:ascii="Calibri" w:hAnsi="Calibri" w:cs="Calibri"/>
                <w:b/>
                <w:bCs/>
                <w:snapToGrid/>
                <w:color w:val="000000"/>
                <w:sz w:val="24"/>
                <w:szCs w:val="24"/>
              </w:rPr>
            </w:pPr>
            <w:r w:rsidRPr="00B22F57">
              <w:rPr>
                <w:rFonts w:ascii="Calibri" w:hAnsi="Calibri" w:cs="Calibri"/>
                <w:b/>
                <w:bCs/>
                <w:snapToGrid/>
                <w:color w:val="000000"/>
                <w:sz w:val="24"/>
                <w:szCs w:val="24"/>
              </w:rPr>
              <w:t>Ordinárias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center"/>
              <w:rPr>
                <w:rFonts w:ascii="Calibri" w:hAnsi="Calibri" w:cs="Calibri"/>
                <w:b/>
                <w:bCs/>
                <w:snapToGrid/>
                <w:color w:val="000000"/>
                <w:sz w:val="24"/>
                <w:szCs w:val="24"/>
              </w:rPr>
            </w:pPr>
            <w:r w:rsidRPr="00B22F57">
              <w:rPr>
                <w:rFonts w:ascii="Calibri" w:hAnsi="Calibri" w:cs="Calibri"/>
                <w:b/>
                <w:bCs/>
                <w:snapToGrid/>
                <w:color w:val="000000"/>
                <w:sz w:val="24"/>
                <w:szCs w:val="24"/>
              </w:rPr>
              <w:t>Preferenciais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center"/>
              <w:rPr>
                <w:rFonts w:ascii="Calibri" w:hAnsi="Calibri" w:cs="Calibri"/>
                <w:b/>
                <w:bCs/>
                <w:snapToGrid/>
                <w:color w:val="000000"/>
                <w:sz w:val="24"/>
                <w:szCs w:val="24"/>
              </w:rPr>
            </w:pPr>
            <w:r w:rsidRPr="00B22F57">
              <w:rPr>
                <w:rFonts w:ascii="Calibri" w:hAnsi="Calibri" w:cs="Calibri"/>
                <w:b/>
                <w:bCs/>
                <w:snapToGrid/>
                <w:color w:val="000000"/>
                <w:sz w:val="24"/>
                <w:szCs w:val="24"/>
              </w:rPr>
              <w:t>Total</w:t>
            </w:r>
          </w:p>
        </w:tc>
      </w:tr>
      <w:tr w:rsidR="00B22F57" w:rsidRPr="00B22F5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B22F57" w:rsidRPr="00B22F57" w:rsidRDefault="00B22F57" w:rsidP="00B22F57">
            <w:pPr>
              <w:widowControl/>
              <w:rPr>
                <w:rFonts w:ascii="Calibri" w:hAnsi="Calibri" w:cs="Calibri"/>
                <w:snapToGrid/>
                <w:color w:val="000000"/>
                <w:sz w:val="24"/>
                <w:szCs w:val="24"/>
              </w:rPr>
            </w:pPr>
            <w:r w:rsidRPr="00B22F57">
              <w:rPr>
                <w:rFonts w:ascii="Calibri" w:hAnsi="Calibri" w:cs="Calibri"/>
                <w:snapToGrid/>
                <w:color w:val="000000"/>
                <w:sz w:val="24"/>
                <w:szCs w:val="24"/>
              </w:rPr>
              <w:t>União</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611.151.091</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611.151.092</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1.222.302.183</w:t>
            </w:r>
          </w:p>
        </w:tc>
      </w:tr>
      <w:tr w:rsidR="00B22F57" w:rsidRPr="00B22F5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B22F57" w:rsidRPr="00B22F57" w:rsidRDefault="00B22F57" w:rsidP="00B22F57">
            <w:pPr>
              <w:widowControl/>
              <w:rPr>
                <w:rFonts w:ascii="Calibri" w:hAnsi="Calibri" w:cs="Calibri"/>
                <w:snapToGrid/>
                <w:color w:val="000000"/>
                <w:sz w:val="24"/>
                <w:szCs w:val="24"/>
              </w:rPr>
            </w:pPr>
            <w:r w:rsidRPr="00B22F57">
              <w:rPr>
                <w:rFonts w:ascii="Calibri" w:hAnsi="Calibri" w:cs="Calibri"/>
                <w:snapToGrid/>
                <w:color w:val="000000"/>
                <w:sz w:val="24"/>
                <w:szCs w:val="24"/>
              </w:rPr>
              <w:t>Estado do Rio de Janeiro</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79.651</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79.650</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B22F57" w:rsidRDefault="00B22F57" w:rsidP="00B22F57">
            <w:pPr>
              <w:widowControl/>
              <w:jc w:val="right"/>
              <w:rPr>
                <w:rFonts w:ascii="Calibri" w:hAnsi="Calibri" w:cs="Calibri"/>
                <w:snapToGrid/>
                <w:color w:val="000000"/>
                <w:sz w:val="24"/>
                <w:szCs w:val="24"/>
              </w:rPr>
            </w:pPr>
            <w:r w:rsidRPr="00B22F57">
              <w:rPr>
                <w:rFonts w:ascii="Calibri" w:hAnsi="Calibri" w:cs="Calibri"/>
                <w:snapToGrid/>
                <w:color w:val="000000"/>
                <w:sz w:val="24"/>
                <w:szCs w:val="24"/>
              </w:rPr>
              <w:t>159.301</w:t>
            </w:r>
          </w:p>
        </w:tc>
      </w:tr>
      <w:tr w:rsidR="00B22F57" w:rsidRPr="005D7DDB"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B22F57" w:rsidRPr="005D7DDB" w:rsidRDefault="005D7DDB" w:rsidP="00B22F57">
            <w:pPr>
              <w:widowControl/>
              <w:rPr>
                <w:rFonts w:ascii="Calibri" w:hAnsi="Calibri" w:cs="Calibri"/>
                <w:b/>
                <w:snapToGrid/>
                <w:color w:val="000000"/>
                <w:sz w:val="24"/>
                <w:szCs w:val="24"/>
              </w:rPr>
            </w:pPr>
            <w:r w:rsidRPr="005D7DDB">
              <w:rPr>
                <w:rFonts w:ascii="Calibri" w:hAnsi="Calibri" w:cs="Calibri"/>
                <w:b/>
                <w:snapToGrid/>
                <w:color w:val="000000"/>
                <w:sz w:val="24"/>
                <w:szCs w:val="24"/>
              </w:rPr>
              <w:t>Totais</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5D7DDB" w:rsidRDefault="00B22F57" w:rsidP="00B22F57">
            <w:pPr>
              <w:widowControl/>
              <w:jc w:val="right"/>
              <w:rPr>
                <w:rFonts w:ascii="Calibri" w:hAnsi="Calibri" w:cs="Calibri"/>
                <w:b/>
                <w:snapToGrid/>
                <w:color w:val="000000"/>
                <w:sz w:val="24"/>
                <w:szCs w:val="24"/>
              </w:rPr>
            </w:pPr>
            <w:r w:rsidRPr="005D7DDB">
              <w:rPr>
                <w:rFonts w:ascii="Calibri" w:hAnsi="Calibri" w:cs="Calibri"/>
                <w:b/>
                <w:snapToGrid/>
                <w:color w:val="000000"/>
                <w:sz w:val="24"/>
                <w:szCs w:val="24"/>
              </w:rPr>
              <w:t>611.230.742</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5D7DDB" w:rsidRDefault="00B22F57" w:rsidP="00B22F57">
            <w:pPr>
              <w:widowControl/>
              <w:jc w:val="right"/>
              <w:rPr>
                <w:rFonts w:ascii="Calibri" w:hAnsi="Calibri" w:cs="Calibri"/>
                <w:b/>
                <w:snapToGrid/>
                <w:color w:val="000000"/>
                <w:sz w:val="24"/>
                <w:szCs w:val="24"/>
              </w:rPr>
            </w:pPr>
            <w:r w:rsidRPr="005D7DDB">
              <w:rPr>
                <w:rFonts w:ascii="Calibri" w:hAnsi="Calibri" w:cs="Calibri"/>
                <w:b/>
                <w:snapToGrid/>
                <w:color w:val="000000"/>
                <w:sz w:val="24"/>
                <w:szCs w:val="24"/>
              </w:rPr>
              <w:t>611.230.742</w:t>
            </w:r>
          </w:p>
        </w:tc>
        <w:tc>
          <w:tcPr>
            <w:tcW w:w="1820" w:type="dxa"/>
            <w:tcBorders>
              <w:top w:val="nil"/>
              <w:left w:val="nil"/>
              <w:bottom w:val="single" w:sz="4" w:space="0" w:color="auto"/>
              <w:right w:val="single" w:sz="4" w:space="0" w:color="auto"/>
            </w:tcBorders>
            <w:shd w:val="clear" w:color="auto" w:fill="auto"/>
            <w:noWrap/>
            <w:vAlign w:val="bottom"/>
            <w:hideMark/>
          </w:tcPr>
          <w:p w:rsidR="00B22F57" w:rsidRPr="005D7DDB" w:rsidRDefault="00B22F57" w:rsidP="00B22F57">
            <w:pPr>
              <w:widowControl/>
              <w:jc w:val="right"/>
              <w:rPr>
                <w:rFonts w:ascii="Calibri" w:hAnsi="Calibri" w:cs="Calibri"/>
                <w:b/>
                <w:snapToGrid/>
                <w:color w:val="000000"/>
                <w:sz w:val="24"/>
                <w:szCs w:val="24"/>
              </w:rPr>
            </w:pPr>
            <w:r w:rsidRPr="005D7DDB">
              <w:rPr>
                <w:rFonts w:ascii="Calibri" w:hAnsi="Calibri" w:cs="Calibri"/>
                <w:b/>
                <w:snapToGrid/>
                <w:color w:val="000000"/>
                <w:sz w:val="24"/>
                <w:szCs w:val="24"/>
              </w:rPr>
              <w:t>1.222.461.484</w:t>
            </w:r>
          </w:p>
        </w:tc>
      </w:tr>
    </w:tbl>
    <w:p w:rsidR="00925710" w:rsidRDefault="00925710" w:rsidP="00C16DDB">
      <w:pPr>
        <w:jc w:val="both"/>
        <w:rPr>
          <w:rFonts w:ascii="Calibri" w:hAnsi="Calibri" w:cs="Calibri"/>
          <w:sz w:val="24"/>
          <w:szCs w:val="24"/>
        </w:rPr>
      </w:pPr>
    </w:p>
    <w:p w:rsidR="00707B6E" w:rsidRDefault="00707B6E" w:rsidP="00C16DDB">
      <w:pPr>
        <w:jc w:val="both"/>
        <w:rPr>
          <w:rFonts w:ascii="Calibri" w:hAnsi="Calibri" w:cs="Calibri"/>
          <w:b/>
          <w:sz w:val="24"/>
          <w:szCs w:val="24"/>
        </w:rPr>
      </w:pPr>
    </w:p>
    <w:p w:rsidR="00345CD5" w:rsidRPr="00312424" w:rsidRDefault="002500FC" w:rsidP="00345CD5">
      <w:pPr>
        <w:jc w:val="both"/>
        <w:rPr>
          <w:rFonts w:ascii="Calibri" w:hAnsi="Calibri" w:cs="Calibri"/>
          <w:b/>
          <w:sz w:val="24"/>
          <w:szCs w:val="24"/>
          <w:u w:val="single"/>
        </w:rPr>
      </w:pPr>
      <w:r>
        <w:rPr>
          <w:rFonts w:ascii="Calibri" w:hAnsi="Calibri" w:cs="Calibri"/>
          <w:b/>
          <w:sz w:val="24"/>
          <w:szCs w:val="24"/>
        </w:rPr>
        <w:t>21</w:t>
      </w:r>
      <w:r w:rsidR="00345CD5" w:rsidRPr="00312424">
        <w:rPr>
          <w:rFonts w:ascii="Calibri" w:hAnsi="Calibri" w:cs="Calibri"/>
          <w:b/>
          <w:sz w:val="24"/>
          <w:szCs w:val="24"/>
        </w:rPr>
        <w:t xml:space="preserve"> – </w:t>
      </w:r>
      <w:r w:rsidR="00345CD5">
        <w:rPr>
          <w:rFonts w:ascii="Calibri" w:hAnsi="Calibri" w:cs="Calibri"/>
          <w:b/>
          <w:sz w:val="24"/>
          <w:szCs w:val="24"/>
          <w:u w:val="single"/>
        </w:rPr>
        <w:t>RECEITA OPERACIONAL LÍQUIDA</w:t>
      </w:r>
    </w:p>
    <w:p w:rsidR="00345CD5" w:rsidRPr="00312424" w:rsidRDefault="00345CD5" w:rsidP="00345CD5">
      <w:pPr>
        <w:jc w:val="both"/>
        <w:rPr>
          <w:rFonts w:ascii="Calibri" w:hAnsi="Calibri" w:cs="Calibri"/>
          <w:b/>
          <w:sz w:val="24"/>
          <w:szCs w:val="24"/>
          <w:u w:val="single"/>
        </w:rPr>
      </w:pPr>
    </w:p>
    <w:p w:rsidR="00345CD5" w:rsidRDefault="00861708" w:rsidP="00345CD5">
      <w:pPr>
        <w:jc w:val="both"/>
        <w:rPr>
          <w:rFonts w:ascii="Calibri" w:hAnsi="Calibri" w:cs="Calibri"/>
          <w:sz w:val="24"/>
          <w:szCs w:val="24"/>
        </w:rPr>
      </w:pPr>
      <w:r>
        <w:rPr>
          <w:rFonts w:ascii="Calibri" w:hAnsi="Calibri" w:cs="Calibri"/>
          <w:sz w:val="24"/>
          <w:szCs w:val="24"/>
        </w:rPr>
        <w:t>A Receita Operacional Líquida está composta da seguinte maneira:</w:t>
      </w:r>
    </w:p>
    <w:p w:rsidR="00345CD5" w:rsidRDefault="00345CD5" w:rsidP="00345CD5">
      <w:pPr>
        <w:jc w:val="both"/>
        <w:rPr>
          <w:rFonts w:ascii="Calibri" w:hAnsi="Calibri" w:cs="Calibri"/>
          <w:sz w:val="24"/>
          <w:szCs w:val="24"/>
        </w:rPr>
      </w:pPr>
    </w:p>
    <w:tbl>
      <w:tblPr>
        <w:tblW w:w="6840" w:type="dxa"/>
        <w:jc w:val="center"/>
        <w:tblCellMar>
          <w:left w:w="70" w:type="dxa"/>
          <w:right w:w="70" w:type="dxa"/>
        </w:tblCellMar>
        <w:tblLook w:val="04A0" w:firstRow="1" w:lastRow="0" w:firstColumn="1" w:lastColumn="0" w:noHBand="0" w:noVBand="1"/>
      </w:tblPr>
      <w:tblGrid>
        <w:gridCol w:w="3320"/>
        <w:gridCol w:w="1760"/>
        <w:gridCol w:w="1760"/>
      </w:tblGrid>
      <w:tr w:rsidR="00345CD5" w:rsidRPr="002060DA" w:rsidTr="00184338">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rsidR="00345CD5" w:rsidRPr="002060DA" w:rsidRDefault="00345CD5" w:rsidP="00184338">
            <w:pPr>
              <w:widowControl/>
              <w:rPr>
                <w:rFonts w:ascii="Calibri" w:hAnsi="Calibri" w:cs="Calibri"/>
                <w:snapToGrid/>
                <w:color w:val="000000"/>
                <w:sz w:val="24"/>
                <w:szCs w:val="24"/>
              </w:rPr>
            </w:pPr>
            <w:r w:rsidRPr="002060DA">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CD5" w:rsidRPr="002060DA" w:rsidRDefault="00345CD5" w:rsidP="003E75B4">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003E75B4">
              <w:rPr>
                <w:rFonts w:ascii="Calibri" w:hAnsi="Calibri" w:cs="Calibri"/>
                <w:b/>
                <w:bCs/>
                <w:snapToGrid/>
                <w:color w:val="000000"/>
                <w:sz w:val="24"/>
                <w:szCs w:val="24"/>
              </w:rPr>
              <w:t>03</w:t>
            </w:r>
            <w:r>
              <w:rPr>
                <w:rFonts w:ascii="Calibri" w:hAnsi="Calibri" w:cs="Calibri"/>
                <w:b/>
                <w:bCs/>
                <w:snapToGrid/>
                <w:color w:val="000000"/>
                <w:sz w:val="24"/>
                <w:szCs w:val="24"/>
              </w:rPr>
              <w:t>/20</w:t>
            </w:r>
            <w:r w:rsidR="003E75B4">
              <w:rPr>
                <w:rFonts w:ascii="Calibri" w:hAnsi="Calibri" w:cs="Calibri"/>
                <w:b/>
                <w:bCs/>
                <w:snapToGrid/>
                <w:color w:val="000000"/>
                <w:sz w:val="24"/>
                <w:szCs w:val="24"/>
              </w:rPr>
              <w:t>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CD5" w:rsidRPr="002060DA" w:rsidRDefault="00345CD5" w:rsidP="003E75B4">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Pr="002060DA">
              <w:rPr>
                <w:rFonts w:ascii="Calibri" w:hAnsi="Calibri" w:cs="Calibri"/>
                <w:b/>
                <w:bCs/>
                <w:snapToGrid/>
                <w:color w:val="000000"/>
                <w:sz w:val="24"/>
                <w:szCs w:val="24"/>
              </w:rPr>
              <w:t>/</w:t>
            </w:r>
            <w:r w:rsidR="003E75B4">
              <w:rPr>
                <w:rFonts w:ascii="Calibri" w:hAnsi="Calibri" w:cs="Calibri"/>
                <w:b/>
                <w:bCs/>
                <w:snapToGrid/>
                <w:color w:val="000000"/>
                <w:sz w:val="24"/>
                <w:szCs w:val="24"/>
              </w:rPr>
              <w:t>03</w:t>
            </w:r>
            <w:r w:rsidRPr="002060DA">
              <w:rPr>
                <w:rFonts w:ascii="Calibri" w:hAnsi="Calibri" w:cs="Calibri"/>
                <w:b/>
                <w:bCs/>
                <w:snapToGrid/>
                <w:color w:val="000000"/>
                <w:sz w:val="24"/>
                <w:szCs w:val="24"/>
              </w:rPr>
              <w:t>/20</w:t>
            </w:r>
            <w:r w:rsidR="003E75B4">
              <w:rPr>
                <w:rFonts w:ascii="Calibri" w:hAnsi="Calibri" w:cs="Calibri"/>
                <w:b/>
                <w:bCs/>
                <w:snapToGrid/>
                <w:color w:val="000000"/>
                <w:sz w:val="24"/>
                <w:szCs w:val="24"/>
              </w:rPr>
              <w:t>19</w:t>
            </w:r>
          </w:p>
        </w:tc>
      </w:tr>
      <w:tr w:rsidR="00345CD5" w:rsidRPr="002060DA" w:rsidTr="00345CD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45CD5" w:rsidP="00184338">
            <w:pPr>
              <w:widowControl/>
              <w:rPr>
                <w:rFonts w:ascii="Calibri" w:hAnsi="Calibri" w:cs="Calibri"/>
                <w:snapToGrid/>
                <w:color w:val="000000"/>
                <w:sz w:val="24"/>
                <w:szCs w:val="24"/>
              </w:rPr>
            </w:pPr>
            <w:r>
              <w:rPr>
                <w:rFonts w:ascii="Calibri" w:hAnsi="Calibri" w:cs="Calibri"/>
                <w:snapToGrid/>
                <w:color w:val="000000"/>
                <w:sz w:val="24"/>
                <w:szCs w:val="24"/>
              </w:rPr>
              <w:t>Receita com Arrendamentos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C76698"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126.645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4360A3"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116.044</w:t>
            </w:r>
          </w:p>
        </w:tc>
      </w:tr>
      <w:tr w:rsidR="00345CD5" w:rsidRPr="002060DA" w:rsidTr="00345CD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45CD5" w:rsidP="00184338">
            <w:pPr>
              <w:widowControl/>
              <w:rPr>
                <w:rFonts w:ascii="Calibri" w:hAnsi="Calibri" w:cs="Calibri"/>
                <w:snapToGrid/>
                <w:color w:val="000000"/>
                <w:sz w:val="24"/>
                <w:szCs w:val="24"/>
              </w:rPr>
            </w:pPr>
            <w:r>
              <w:rPr>
                <w:rFonts w:ascii="Calibri" w:hAnsi="Calibri" w:cs="Calibri"/>
                <w:snapToGrid/>
                <w:color w:val="000000"/>
                <w:sz w:val="24"/>
                <w:szCs w:val="24"/>
              </w:rPr>
              <w:t>Receitas Tarifárias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C76698"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22.626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4360A3"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24.932</w:t>
            </w:r>
          </w:p>
        </w:tc>
      </w:tr>
      <w:tr w:rsidR="00345CD5" w:rsidRPr="002060DA" w:rsidTr="00345CD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45CD5" w:rsidP="00184338">
            <w:pPr>
              <w:widowControl/>
              <w:rPr>
                <w:rFonts w:ascii="Calibri" w:hAnsi="Calibri" w:cs="Calibri"/>
                <w:snapToGrid/>
                <w:color w:val="000000"/>
                <w:sz w:val="24"/>
                <w:szCs w:val="24"/>
              </w:rPr>
            </w:pPr>
            <w:r>
              <w:rPr>
                <w:rFonts w:ascii="Calibri" w:hAnsi="Calibri" w:cs="Calibri"/>
                <w:snapToGrid/>
                <w:color w:val="000000"/>
                <w:sz w:val="24"/>
                <w:szCs w:val="24"/>
              </w:rPr>
              <w:t>Impostos Federais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C76698"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(14.176)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4360A3"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(13.322)</w:t>
            </w:r>
          </w:p>
        </w:tc>
      </w:tr>
      <w:tr w:rsidR="00345CD5" w:rsidRPr="002060DA" w:rsidTr="00345CD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45CD5" w:rsidP="00184338">
            <w:pPr>
              <w:widowControl/>
              <w:rPr>
                <w:rFonts w:ascii="Calibri" w:hAnsi="Calibri" w:cs="Calibri"/>
                <w:snapToGrid/>
                <w:color w:val="000000"/>
                <w:sz w:val="24"/>
                <w:szCs w:val="24"/>
              </w:rPr>
            </w:pPr>
            <w:r>
              <w:rPr>
                <w:rFonts w:ascii="Calibri" w:hAnsi="Calibri" w:cs="Calibri"/>
                <w:snapToGrid/>
                <w:color w:val="000000"/>
                <w:sz w:val="24"/>
                <w:szCs w:val="24"/>
              </w:rPr>
              <w:t>Impostos Municipais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C76698"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4360A3" w:rsidP="00184338">
            <w:pPr>
              <w:widowControl/>
              <w:jc w:val="right"/>
              <w:rPr>
                <w:rFonts w:ascii="Calibri" w:hAnsi="Calibri" w:cs="Calibri"/>
                <w:snapToGrid/>
                <w:color w:val="000000"/>
                <w:sz w:val="24"/>
                <w:szCs w:val="24"/>
              </w:rPr>
            </w:pPr>
            <w:r>
              <w:rPr>
                <w:rFonts w:ascii="Calibri" w:hAnsi="Calibri" w:cs="Calibri"/>
                <w:snapToGrid/>
                <w:color w:val="000000"/>
                <w:sz w:val="24"/>
                <w:szCs w:val="24"/>
              </w:rPr>
              <w:t>(170)</w:t>
            </w:r>
          </w:p>
        </w:tc>
      </w:tr>
      <w:tr w:rsidR="00345CD5" w:rsidRPr="002060DA" w:rsidTr="00184338">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CD5" w:rsidRPr="002060DA" w:rsidRDefault="00345CD5" w:rsidP="00184338">
            <w:pPr>
              <w:widowControl/>
              <w:rPr>
                <w:rFonts w:ascii="Calibri" w:hAnsi="Calibri" w:cs="Calibri"/>
                <w:b/>
                <w:bCs/>
                <w:snapToGrid/>
                <w:color w:val="000000"/>
                <w:sz w:val="24"/>
                <w:szCs w:val="24"/>
              </w:rPr>
            </w:pPr>
            <w:r>
              <w:rPr>
                <w:rFonts w:ascii="Calibri" w:hAnsi="Calibri" w:cs="Calibri"/>
                <w:b/>
                <w:bCs/>
                <w:snapToGrid/>
                <w:color w:val="000000"/>
                <w:sz w:val="24"/>
                <w:szCs w:val="24"/>
              </w:rPr>
              <w:t>Receita Líquida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E75B4" w:rsidP="00345CD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134.965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CD5" w:rsidRPr="002060DA" w:rsidRDefault="003E75B4" w:rsidP="00345CD5">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127.484</w:t>
            </w:r>
          </w:p>
        </w:tc>
      </w:tr>
    </w:tbl>
    <w:p w:rsidR="00DD1114" w:rsidRDefault="00DD1114" w:rsidP="00C16DDB">
      <w:pPr>
        <w:jc w:val="both"/>
        <w:rPr>
          <w:rFonts w:ascii="Calibri" w:hAnsi="Calibri" w:cs="Calibri"/>
          <w:b/>
          <w:sz w:val="24"/>
          <w:szCs w:val="24"/>
        </w:rPr>
      </w:pPr>
    </w:p>
    <w:p w:rsidR="001C4695" w:rsidRDefault="001C4695" w:rsidP="00C16DDB">
      <w:pPr>
        <w:jc w:val="both"/>
        <w:rPr>
          <w:rFonts w:ascii="Calibri" w:hAnsi="Calibri" w:cs="Calibri"/>
          <w:b/>
          <w:sz w:val="24"/>
          <w:szCs w:val="24"/>
        </w:rPr>
      </w:pPr>
    </w:p>
    <w:p w:rsidR="00C16DDB" w:rsidRPr="00312424" w:rsidRDefault="002500FC" w:rsidP="00C16DDB">
      <w:pPr>
        <w:jc w:val="both"/>
        <w:rPr>
          <w:rFonts w:ascii="Calibri" w:hAnsi="Calibri" w:cs="Calibri"/>
          <w:b/>
          <w:sz w:val="24"/>
          <w:szCs w:val="24"/>
          <w:u w:val="single"/>
        </w:rPr>
      </w:pPr>
      <w:r>
        <w:rPr>
          <w:rFonts w:ascii="Calibri" w:hAnsi="Calibri" w:cs="Calibri"/>
          <w:b/>
          <w:sz w:val="24"/>
          <w:szCs w:val="24"/>
        </w:rPr>
        <w:t>22</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CUSTOS DA OPERAÇÃO</w:t>
      </w:r>
    </w:p>
    <w:p w:rsidR="00C16DDB" w:rsidRPr="00312424" w:rsidRDefault="00C16DDB" w:rsidP="00C16DDB">
      <w:pPr>
        <w:jc w:val="both"/>
        <w:rPr>
          <w:rFonts w:ascii="Calibri" w:hAnsi="Calibri" w:cs="Calibri"/>
          <w:b/>
          <w:sz w:val="24"/>
          <w:szCs w:val="24"/>
          <w:u w:val="single"/>
        </w:rPr>
      </w:pPr>
    </w:p>
    <w:p w:rsidR="00FD1B30" w:rsidRDefault="00C16DDB" w:rsidP="00C16DDB">
      <w:pPr>
        <w:jc w:val="both"/>
        <w:rPr>
          <w:rFonts w:ascii="Calibri" w:hAnsi="Calibri" w:cs="Calibri"/>
          <w:sz w:val="24"/>
          <w:szCs w:val="24"/>
        </w:rPr>
      </w:pPr>
      <w:r w:rsidRPr="00312424">
        <w:rPr>
          <w:rFonts w:ascii="Calibri" w:hAnsi="Calibri" w:cs="Calibri"/>
          <w:sz w:val="24"/>
          <w:szCs w:val="24"/>
        </w:rPr>
        <w:t>O</w:t>
      </w:r>
      <w:r w:rsidR="00FD1B30">
        <w:rPr>
          <w:rFonts w:ascii="Calibri" w:hAnsi="Calibri" w:cs="Calibri"/>
          <w:sz w:val="24"/>
          <w:szCs w:val="24"/>
        </w:rPr>
        <w:t>s</w:t>
      </w:r>
      <w:r w:rsidRPr="00312424">
        <w:rPr>
          <w:rFonts w:ascii="Calibri" w:hAnsi="Calibri" w:cs="Calibri"/>
          <w:sz w:val="24"/>
          <w:szCs w:val="24"/>
        </w:rPr>
        <w:t xml:space="preserve"> custo</w:t>
      </w:r>
      <w:r w:rsidR="00FD1B30">
        <w:rPr>
          <w:rFonts w:ascii="Calibri" w:hAnsi="Calibri" w:cs="Calibri"/>
          <w:sz w:val="24"/>
          <w:szCs w:val="24"/>
        </w:rPr>
        <w:t>s</w:t>
      </w:r>
      <w:r w:rsidRPr="00312424">
        <w:rPr>
          <w:rFonts w:ascii="Calibri" w:hAnsi="Calibri" w:cs="Calibri"/>
          <w:sz w:val="24"/>
          <w:szCs w:val="24"/>
        </w:rPr>
        <w:t xml:space="preserve"> das operações </w:t>
      </w:r>
      <w:r w:rsidR="00FD1B30">
        <w:rPr>
          <w:rFonts w:ascii="Calibri" w:hAnsi="Calibri" w:cs="Calibri"/>
          <w:sz w:val="24"/>
          <w:szCs w:val="24"/>
        </w:rPr>
        <w:t>possuem a seguinte composição:</w:t>
      </w:r>
    </w:p>
    <w:p w:rsidR="002060DA" w:rsidRDefault="002060DA" w:rsidP="00C16DDB">
      <w:pPr>
        <w:jc w:val="both"/>
        <w:rPr>
          <w:rFonts w:ascii="Calibri" w:hAnsi="Calibri" w:cs="Calibri"/>
          <w:sz w:val="24"/>
          <w:szCs w:val="24"/>
        </w:rPr>
      </w:pPr>
    </w:p>
    <w:tbl>
      <w:tblPr>
        <w:tblW w:w="6840" w:type="dxa"/>
        <w:jc w:val="center"/>
        <w:tblCellMar>
          <w:left w:w="70" w:type="dxa"/>
          <w:right w:w="70" w:type="dxa"/>
        </w:tblCellMar>
        <w:tblLook w:val="04A0" w:firstRow="1" w:lastRow="0" w:firstColumn="1" w:lastColumn="0" w:noHBand="0" w:noVBand="1"/>
      </w:tblPr>
      <w:tblGrid>
        <w:gridCol w:w="3320"/>
        <w:gridCol w:w="1760"/>
        <w:gridCol w:w="1760"/>
      </w:tblGrid>
      <w:tr w:rsidR="002060DA" w:rsidRPr="002060DA" w:rsidTr="00697525">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D0760C" w:rsidP="004360A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004360A3">
              <w:rPr>
                <w:rFonts w:ascii="Calibri" w:hAnsi="Calibri" w:cs="Calibri"/>
                <w:b/>
                <w:bCs/>
                <w:snapToGrid/>
                <w:color w:val="000000"/>
                <w:sz w:val="24"/>
                <w:szCs w:val="24"/>
              </w:rPr>
              <w:t>03</w:t>
            </w:r>
            <w:r>
              <w:rPr>
                <w:rFonts w:ascii="Calibri" w:hAnsi="Calibri" w:cs="Calibri"/>
                <w:b/>
                <w:bCs/>
                <w:snapToGrid/>
                <w:color w:val="000000"/>
                <w:sz w:val="24"/>
                <w:szCs w:val="24"/>
              </w:rPr>
              <w:t>/20</w:t>
            </w:r>
            <w:r w:rsidR="004360A3">
              <w:rPr>
                <w:rFonts w:ascii="Calibri" w:hAnsi="Calibri" w:cs="Calibri"/>
                <w:b/>
                <w:bCs/>
                <w:snapToGrid/>
                <w:color w:val="000000"/>
                <w:sz w:val="24"/>
                <w:szCs w:val="24"/>
              </w:rPr>
              <w:t>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D0760C" w:rsidP="004360A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002060DA" w:rsidRPr="002060DA">
              <w:rPr>
                <w:rFonts w:ascii="Calibri" w:hAnsi="Calibri" w:cs="Calibri"/>
                <w:b/>
                <w:bCs/>
                <w:snapToGrid/>
                <w:color w:val="000000"/>
                <w:sz w:val="24"/>
                <w:szCs w:val="24"/>
              </w:rPr>
              <w:t>/</w:t>
            </w:r>
            <w:r w:rsidR="004360A3">
              <w:rPr>
                <w:rFonts w:ascii="Calibri" w:hAnsi="Calibri" w:cs="Calibri"/>
                <w:b/>
                <w:bCs/>
                <w:snapToGrid/>
                <w:color w:val="000000"/>
                <w:sz w:val="24"/>
                <w:szCs w:val="24"/>
              </w:rPr>
              <w:t>03</w:t>
            </w:r>
            <w:r w:rsidR="002060DA" w:rsidRPr="002060DA">
              <w:rPr>
                <w:rFonts w:ascii="Calibri" w:hAnsi="Calibri" w:cs="Calibri"/>
                <w:b/>
                <w:bCs/>
                <w:snapToGrid/>
                <w:color w:val="000000"/>
                <w:sz w:val="24"/>
                <w:szCs w:val="24"/>
              </w:rPr>
              <w:t>/20</w:t>
            </w:r>
            <w:r w:rsidR="004360A3">
              <w:rPr>
                <w:rFonts w:ascii="Calibri" w:hAnsi="Calibri" w:cs="Calibri"/>
                <w:b/>
                <w:bCs/>
                <w:snapToGrid/>
                <w:color w:val="000000"/>
                <w:sz w:val="24"/>
                <w:szCs w:val="24"/>
              </w:rPr>
              <w:t>19</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Pessoal e Encargos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7B05CF">
            <w:pPr>
              <w:widowControl/>
              <w:jc w:val="right"/>
              <w:rPr>
                <w:rFonts w:ascii="Calibri" w:hAnsi="Calibri" w:cs="Calibri"/>
                <w:snapToGrid/>
                <w:color w:val="000000"/>
                <w:sz w:val="24"/>
                <w:szCs w:val="24"/>
              </w:rPr>
            </w:pPr>
            <w:r>
              <w:rPr>
                <w:rFonts w:ascii="Calibri" w:hAnsi="Calibri" w:cs="Calibri"/>
                <w:snapToGrid/>
                <w:color w:val="000000"/>
                <w:sz w:val="24"/>
                <w:szCs w:val="24"/>
              </w:rPr>
              <w:t>16.210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13.962</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Manutenção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5D7DDB">
            <w:pPr>
              <w:widowControl/>
              <w:jc w:val="right"/>
              <w:rPr>
                <w:rFonts w:ascii="Calibri" w:hAnsi="Calibri" w:cs="Calibri"/>
                <w:snapToGrid/>
                <w:color w:val="000000"/>
                <w:sz w:val="24"/>
                <w:szCs w:val="24"/>
              </w:rPr>
            </w:pPr>
            <w:r>
              <w:rPr>
                <w:rFonts w:ascii="Calibri" w:hAnsi="Calibri" w:cs="Calibri"/>
                <w:snapToGrid/>
                <w:color w:val="000000"/>
                <w:sz w:val="24"/>
                <w:szCs w:val="24"/>
              </w:rPr>
              <w:t>4.205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2.112</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Serviços de Terceiros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1.315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1.470</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Depreciação e Amortização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7.162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1.661</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Provisões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3.515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750</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snapToGrid/>
                <w:color w:val="000000"/>
                <w:sz w:val="24"/>
                <w:szCs w:val="24"/>
              </w:rPr>
            </w:pPr>
            <w:r w:rsidRPr="002060DA">
              <w:rPr>
                <w:rFonts w:ascii="Calibri" w:hAnsi="Calibri" w:cs="Calibri"/>
                <w:snapToGrid/>
                <w:color w:val="000000"/>
                <w:sz w:val="24"/>
                <w:szCs w:val="24"/>
              </w:rPr>
              <w:t>Impostos e Taxas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475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060DA">
            <w:pPr>
              <w:widowControl/>
              <w:jc w:val="right"/>
              <w:rPr>
                <w:rFonts w:ascii="Calibri" w:hAnsi="Calibri" w:cs="Calibri"/>
                <w:snapToGrid/>
                <w:color w:val="000000"/>
                <w:sz w:val="24"/>
                <w:szCs w:val="24"/>
              </w:rPr>
            </w:pPr>
            <w:r>
              <w:rPr>
                <w:rFonts w:ascii="Calibri" w:hAnsi="Calibri" w:cs="Calibri"/>
                <w:snapToGrid/>
                <w:color w:val="000000"/>
                <w:sz w:val="24"/>
                <w:szCs w:val="24"/>
              </w:rPr>
              <w:t>1.524</w:t>
            </w:r>
          </w:p>
        </w:tc>
      </w:tr>
      <w:tr w:rsidR="002060DA" w:rsidRPr="002060DA"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0DA" w:rsidRPr="002060DA" w:rsidRDefault="002060DA" w:rsidP="002060DA">
            <w:pPr>
              <w:widowControl/>
              <w:rPr>
                <w:rFonts w:ascii="Calibri" w:hAnsi="Calibri" w:cs="Calibri"/>
                <w:b/>
                <w:bCs/>
                <w:snapToGrid/>
                <w:color w:val="000000"/>
                <w:sz w:val="24"/>
                <w:szCs w:val="24"/>
              </w:rPr>
            </w:pPr>
            <w:r w:rsidRPr="002060DA">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7B05CF">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32.882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0DA" w:rsidRPr="002060DA" w:rsidRDefault="004360A3" w:rsidP="002A7BFC">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21.479</w:t>
            </w:r>
          </w:p>
        </w:tc>
      </w:tr>
    </w:tbl>
    <w:p w:rsidR="00C16DDB" w:rsidRPr="00312424" w:rsidRDefault="002500FC" w:rsidP="00C16DDB">
      <w:pPr>
        <w:jc w:val="both"/>
        <w:rPr>
          <w:rFonts w:ascii="Calibri" w:hAnsi="Calibri" w:cs="Calibri"/>
          <w:b/>
          <w:sz w:val="24"/>
          <w:szCs w:val="24"/>
          <w:u w:val="single"/>
        </w:rPr>
      </w:pPr>
      <w:r>
        <w:rPr>
          <w:rFonts w:ascii="Calibri" w:hAnsi="Calibri" w:cs="Calibri"/>
          <w:b/>
          <w:sz w:val="24"/>
          <w:szCs w:val="24"/>
        </w:rPr>
        <w:lastRenderedPageBreak/>
        <w:t>23</w:t>
      </w:r>
      <w:r w:rsidR="00C16DDB" w:rsidRPr="00312424">
        <w:rPr>
          <w:rFonts w:ascii="Calibri" w:hAnsi="Calibri" w:cs="Calibri"/>
          <w:b/>
          <w:sz w:val="24"/>
          <w:szCs w:val="24"/>
        </w:rPr>
        <w:t xml:space="preserve"> – </w:t>
      </w:r>
      <w:r w:rsidR="00CD4CBD">
        <w:rPr>
          <w:rFonts w:ascii="Calibri" w:hAnsi="Calibri" w:cs="Calibri"/>
          <w:b/>
          <w:sz w:val="24"/>
          <w:szCs w:val="24"/>
          <w:u w:val="single"/>
        </w:rPr>
        <w:t>D</w:t>
      </w:r>
      <w:r w:rsidR="00C16DDB" w:rsidRPr="00312424">
        <w:rPr>
          <w:rFonts w:ascii="Calibri" w:hAnsi="Calibri" w:cs="Calibri"/>
          <w:b/>
          <w:sz w:val="24"/>
          <w:szCs w:val="24"/>
          <w:u w:val="single"/>
        </w:rPr>
        <w:t>E</w:t>
      </w:r>
      <w:r w:rsidR="00CD4CBD">
        <w:rPr>
          <w:rFonts w:ascii="Calibri" w:hAnsi="Calibri" w:cs="Calibri"/>
          <w:b/>
          <w:sz w:val="24"/>
          <w:szCs w:val="24"/>
          <w:u w:val="single"/>
        </w:rPr>
        <w:t>SPESAS GERAIS E ADMINISTRATIVAS</w:t>
      </w:r>
    </w:p>
    <w:p w:rsidR="00C16DDB" w:rsidRPr="00312424" w:rsidRDefault="00C16DDB" w:rsidP="00C16DDB">
      <w:pPr>
        <w:rPr>
          <w:rFonts w:ascii="Calibri" w:hAnsi="Calibri" w:cs="Calibri"/>
          <w:b/>
          <w:sz w:val="24"/>
          <w:szCs w:val="24"/>
          <w:u w:val="single"/>
        </w:rPr>
      </w:pPr>
    </w:p>
    <w:p w:rsidR="00C85F53" w:rsidRDefault="00C16DDB" w:rsidP="00C16DDB">
      <w:pPr>
        <w:jc w:val="both"/>
        <w:rPr>
          <w:rFonts w:ascii="Calibri" w:hAnsi="Calibri" w:cs="Calibri"/>
          <w:sz w:val="24"/>
          <w:szCs w:val="24"/>
        </w:rPr>
      </w:pPr>
      <w:r w:rsidRPr="00312424">
        <w:rPr>
          <w:rFonts w:ascii="Calibri" w:hAnsi="Calibri" w:cs="Calibri"/>
          <w:sz w:val="24"/>
          <w:szCs w:val="24"/>
        </w:rPr>
        <w:t xml:space="preserve">O grupo possui a seguinte composição:           </w:t>
      </w:r>
    </w:p>
    <w:p w:rsidR="00C16DDB" w:rsidRDefault="00C16DDB" w:rsidP="00C16DDB">
      <w:pPr>
        <w:jc w:val="both"/>
        <w:rPr>
          <w:rFonts w:ascii="Calibri" w:hAnsi="Calibri" w:cs="Calibri"/>
          <w:sz w:val="24"/>
          <w:szCs w:val="24"/>
        </w:rPr>
      </w:pPr>
      <w:r w:rsidRPr="00312424">
        <w:rPr>
          <w:rFonts w:ascii="Calibri" w:hAnsi="Calibri" w:cs="Calibri"/>
          <w:sz w:val="24"/>
          <w:szCs w:val="24"/>
        </w:rPr>
        <w:t xml:space="preserve">                                                                                       </w:t>
      </w:r>
    </w:p>
    <w:tbl>
      <w:tblPr>
        <w:tblW w:w="6840" w:type="dxa"/>
        <w:jc w:val="center"/>
        <w:tblCellMar>
          <w:left w:w="70" w:type="dxa"/>
          <w:right w:w="70" w:type="dxa"/>
        </w:tblCellMar>
        <w:tblLook w:val="04A0" w:firstRow="1" w:lastRow="0" w:firstColumn="1" w:lastColumn="0" w:noHBand="0" w:noVBand="1"/>
      </w:tblPr>
      <w:tblGrid>
        <w:gridCol w:w="3320"/>
        <w:gridCol w:w="1760"/>
        <w:gridCol w:w="1760"/>
      </w:tblGrid>
      <w:tr w:rsidR="004360A3" w:rsidRPr="00C85F53" w:rsidTr="00697525">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rsidR="004360A3" w:rsidRPr="00C85F53" w:rsidRDefault="004360A3" w:rsidP="004360A3">
            <w:pPr>
              <w:widowControl/>
              <w:rPr>
                <w:rFonts w:ascii="Calibri" w:hAnsi="Calibri" w:cs="Calibri"/>
                <w:snapToGrid/>
                <w:color w:val="000000"/>
                <w:sz w:val="24"/>
                <w:szCs w:val="24"/>
              </w:rPr>
            </w:pPr>
            <w:r w:rsidRPr="00C85F53">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0A3" w:rsidRPr="002060DA" w:rsidRDefault="004360A3" w:rsidP="004360A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0A3" w:rsidRPr="002060DA" w:rsidRDefault="004360A3" w:rsidP="004360A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Pr="002060DA">
              <w:rPr>
                <w:rFonts w:ascii="Calibri" w:hAnsi="Calibri" w:cs="Calibri"/>
                <w:b/>
                <w:bCs/>
                <w:snapToGrid/>
                <w:color w:val="000000"/>
                <w:sz w:val="24"/>
                <w:szCs w:val="24"/>
              </w:rPr>
              <w:t>/</w:t>
            </w:r>
            <w:r>
              <w:rPr>
                <w:rFonts w:ascii="Calibri" w:hAnsi="Calibri" w:cs="Calibri"/>
                <w:b/>
                <w:bCs/>
                <w:snapToGrid/>
                <w:color w:val="000000"/>
                <w:sz w:val="24"/>
                <w:szCs w:val="24"/>
              </w:rPr>
              <w:t>03</w:t>
            </w:r>
            <w:r w:rsidRPr="002060DA">
              <w:rPr>
                <w:rFonts w:ascii="Calibri" w:hAnsi="Calibri" w:cs="Calibri"/>
                <w:b/>
                <w:bCs/>
                <w:snapToGrid/>
                <w:color w:val="000000"/>
                <w:sz w:val="24"/>
                <w:szCs w:val="24"/>
              </w:rPr>
              <w:t>/20</w:t>
            </w:r>
            <w:r>
              <w:rPr>
                <w:rFonts w:ascii="Calibri" w:hAnsi="Calibri" w:cs="Calibri"/>
                <w:b/>
                <w:bCs/>
                <w:snapToGrid/>
                <w:color w:val="000000"/>
                <w:sz w:val="24"/>
                <w:szCs w:val="24"/>
              </w:rPr>
              <w:t>19</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20" w:rsidRPr="00C85F53" w:rsidRDefault="006C7E20" w:rsidP="006C7E20">
            <w:pPr>
              <w:widowControl/>
              <w:rPr>
                <w:rFonts w:ascii="Calibri" w:hAnsi="Calibri" w:cs="Calibri"/>
                <w:snapToGrid/>
                <w:color w:val="000000"/>
                <w:sz w:val="24"/>
                <w:szCs w:val="24"/>
              </w:rPr>
            </w:pPr>
            <w:r w:rsidRPr="00C85F53">
              <w:rPr>
                <w:rFonts w:ascii="Calibri" w:hAnsi="Calibri" w:cs="Calibri"/>
                <w:snapToGrid/>
                <w:color w:val="000000"/>
                <w:sz w:val="24"/>
                <w:szCs w:val="24"/>
              </w:rPr>
              <w:t>Pessoal e Encargos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44.044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38.658</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20" w:rsidRPr="00C85F53" w:rsidRDefault="006C7E20" w:rsidP="006C7E20">
            <w:pPr>
              <w:widowControl/>
              <w:rPr>
                <w:rFonts w:ascii="Calibri" w:hAnsi="Calibri" w:cs="Calibri"/>
                <w:snapToGrid/>
                <w:color w:val="000000"/>
                <w:sz w:val="24"/>
                <w:szCs w:val="24"/>
              </w:rPr>
            </w:pPr>
            <w:r w:rsidRPr="00C85F53">
              <w:rPr>
                <w:rFonts w:ascii="Calibri" w:hAnsi="Calibri" w:cs="Calibri"/>
                <w:snapToGrid/>
                <w:color w:val="000000"/>
                <w:sz w:val="24"/>
                <w:szCs w:val="24"/>
              </w:rPr>
              <w:t>Manutenção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4.033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2.119</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20" w:rsidRPr="00C85F53" w:rsidRDefault="006C7E20" w:rsidP="006C7E20">
            <w:pPr>
              <w:widowControl/>
              <w:rPr>
                <w:rFonts w:ascii="Calibri" w:hAnsi="Calibri" w:cs="Calibri"/>
                <w:snapToGrid/>
                <w:color w:val="000000"/>
                <w:sz w:val="24"/>
                <w:szCs w:val="24"/>
              </w:rPr>
            </w:pPr>
            <w:r w:rsidRPr="00C85F53">
              <w:rPr>
                <w:rFonts w:ascii="Calibri" w:hAnsi="Calibri" w:cs="Calibri"/>
                <w:snapToGrid/>
                <w:color w:val="000000"/>
                <w:sz w:val="24"/>
                <w:szCs w:val="24"/>
              </w:rPr>
              <w:t>Serviços de Terceiros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719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764</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20" w:rsidRPr="00C85F53" w:rsidRDefault="006C7E20" w:rsidP="006C7E20">
            <w:pPr>
              <w:widowControl/>
              <w:rPr>
                <w:rFonts w:ascii="Calibri" w:hAnsi="Calibri" w:cs="Calibri"/>
                <w:snapToGrid/>
                <w:color w:val="000000"/>
                <w:sz w:val="24"/>
                <w:szCs w:val="24"/>
              </w:rPr>
            </w:pPr>
            <w:r w:rsidRPr="00C85F53">
              <w:rPr>
                <w:rFonts w:ascii="Calibri" w:hAnsi="Calibri" w:cs="Calibri"/>
                <w:snapToGrid/>
                <w:color w:val="000000"/>
                <w:sz w:val="24"/>
                <w:szCs w:val="24"/>
              </w:rPr>
              <w:t>Legais e Judiciais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98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4.131</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20" w:rsidRPr="00C85F53" w:rsidRDefault="006C7E20" w:rsidP="006C7E20">
            <w:pPr>
              <w:widowControl/>
              <w:rPr>
                <w:rFonts w:ascii="Calibri" w:hAnsi="Calibri" w:cs="Calibri"/>
                <w:snapToGrid/>
                <w:color w:val="000000"/>
                <w:sz w:val="24"/>
                <w:szCs w:val="24"/>
              </w:rPr>
            </w:pPr>
            <w:r>
              <w:rPr>
                <w:rFonts w:ascii="Calibri" w:hAnsi="Calibri" w:cs="Calibri"/>
                <w:snapToGrid/>
                <w:color w:val="000000"/>
                <w:sz w:val="24"/>
                <w:szCs w:val="24"/>
              </w:rPr>
              <w:t>Impostos e Taxas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378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476</w:t>
            </w:r>
          </w:p>
        </w:tc>
      </w:tr>
      <w:tr w:rsidR="006C7E20"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C85F53" w:rsidRDefault="006C7E20" w:rsidP="006C7E20">
            <w:pPr>
              <w:widowControl/>
              <w:rPr>
                <w:rFonts w:ascii="Calibri" w:hAnsi="Calibri" w:cs="Calibri"/>
                <w:snapToGrid/>
                <w:color w:val="000000"/>
                <w:sz w:val="24"/>
                <w:szCs w:val="24"/>
              </w:rPr>
            </w:pPr>
            <w:r w:rsidRPr="00C85F53">
              <w:rPr>
                <w:rFonts w:ascii="Calibri" w:hAnsi="Calibri" w:cs="Calibri"/>
                <w:snapToGrid/>
                <w:color w:val="000000"/>
                <w:sz w:val="24"/>
                <w:szCs w:val="24"/>
              </w:rPr>
              <w:t>Outras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P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357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E20"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352</w:t>
            </w:r>
          </w:p>
        </w:tc>
      </w:tr>
      <w:tr w:rsidR="00C85F53" w:rsidRPr="00C85F53" w:rsidTr="00697525">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F53" w:rsidRPr="00C85F53" w:rsidRDefault="00C85F53" w:rsidP="00C85F53">
            <w:pPr>
              <w:widowControl/>
              <w:rPr>
                <w:rFonts w:ascii="Calibri" w:hAnsi="Calibri" w:cs="Calibri"/>
                <w:b/>
                <w:bCs/>
                <w:snapToGrid/>
                <w:color w:val="000000"/>
                <w:sz w:val="24"/>
                <w:szCs w:val="24"/>
              </w:rPr>
            </w:pPr>
            <w:r w:rsidRPr="00C85F53">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F53" w:rsidRPr="00C85F53" w:rsidRDefault="004360A3" w:rsidP="00C85F53">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49.629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F53" w:rsidRPr="00C85F53" w:rsidRDefault="004360A3" w:rsidP="002A7BFC">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46.500</w:t>
            </w:r>
          </w:p>
        </w:tc>
      </w:tr>
    </w:tbl>
    <w:p w:rsidR="003E7F3A" w:rsidRDefault="003E7F3A" w:rsidP="00C16DDB">
      <w:pPr>
        <w:jc w:val="both"/>
        <w:rPr>
          <w:rFonts w:ascii="Calibri" w:hAnsi="Calibri" w:cs="Calibri"/>
          <w:b/>
          <w:sz w:val="24"/>
          <w:szCs w:val="24"/>
        </w:rPr>
      </w:pPr>
    </w:p>
    <w:p w:rsidR="00955480" w:rsidRDefault="00955480" w:rsidP="00C16DDB">
      <w:pPr>
        <w:jc w:val="both"/>
        <w:rPr>
          <w:rFonts w:ascii="Calibri" w:hAnsi="Calibri" w:cs="Calibri"/>
          <w:b/>
          <w:sz w:val="24"/>
          <w:szCs w:val="24"/>
        </w:rPr>
      </w:pPr>
    </w:p>
    <w:p w:rsidR="00C16DDB" w:rsidRPr="00312424" w:rsidRDefault="0004363C" w:rsidP="00C16DDB">
      <w:pPr>
        <w:jc w:val="both"/>
        <w:rPr>
          <w:rFonts w:ascii="Calibri" w:hAnsi="Calibri" w:cs="Calibri"/>
          <w:b/>
          <w:sz w:val="24"/>
          <w:szCs w:val="24"/>
        </w:rPr>
      </w:pPr>
      <w:r>
        <w:rPr>
          <w:rFonts w:ascii="Calibri" w:hAnsi="Calibri" w:cs="Calibri"/>
          <w:b/>
          <w:sz w:val="24"/>
          <w:szCs w:val="24"/>
        </w:rPr>
        <w:t>2</w:t>
      </w:r>
      <w:r w:rsidR="002500FC">
        <w:rPr>
          <w:rFonts w:ascii="Calibri" w:hAnsi="Calibri" w:cs="Calibri"/>
          <w:b/>
          <w:sz w:val="24"/>
          <w:szCs w:val="24"/>
        </w:rPr>
        <w:t>4</w:t>
      </w:r>
      <w:r w:rsidR="00C16DDB" w:rsidRPr="00312424">
        <w:rPr>
          <w:rFonts w:ascii="Calibri" w:hAnsi="Calibri" w:cs="Calibri"/>
          <w:b/>
          <w:sz w:val="24"/>
          <w:szCs w:val="24"/>
        </w:rPr>
        <w:t xml:space="preserve"> – </w:t>
      </w:r>
      <w:r w:rsidR="00CD4CBD">
        <w:rPr>
          <w:rFonts w:ascii="Calibri" w:hAnsi="Calibri" w:cs="Calibri"/>
          <w:b/>
          <w:sz w:val="24"/>
          <w:szCs w:val="24"/>
          <w:u w:val="single"/>
        </w:rPr>
        <w:t>PROVISÕES CONTÁBEIS LÍQUIDAS</w:t>
      </w:r>
    </w:p>
    <w:p w:rsidR="00C16DDB" w:rsidRPr="00312424" w:rsidRDefault="00C16DDB" w:rsidP="00C16DDB">
      <w:pPr>
        <w:jc w:val="both"/>
        <w:rPr>
          <w:rFonts w:ascii="Calibri" w:hAnsi="Calibri" w:cs="Calibri"/>
          <w:sz w:val="24"/>
          <w:szCs w:val="24"/>
        </w:rPr>
      </w:pPr>
    </w:p>
    <w:p w:rsidR="00CD4CBD" w:rsidRDefault="00CD4CBD" w:rsidP="00C16DDB">
      <w:pPr>
        <w:jc w:val="both"/>
        <w:rPr>
          <w:rFonts w:ascii="Calibri" w:hAnsi="Calibri" w:cs="Calibri"/>
          <w:sz w:val="24"/>
          <w:szCs w:val="24"/>
        </w:rPr>
      </w:pPr>
      <w:r>
        <w:rPr>
          <w:rFonts w:ascii="Calibri" w:hAnsi="Calibri" w:cs="Calibri"/>
          <w:sz w:val="24"/>
          <w:szCs w:val="24"/>
        </w:rPr>
        <w:t>As Provisões estão compostas da seguinte maneira:</w:t>
      </w:r>
    </w:p>
    <w:p w:rsidR="00C16DDB" w:rsidRDefault="00C16DDB" w:rsidP="00C16DDB">
      <w:pPr>
        <w:jc w:val="both"/>
        <w:rPr>
          <w:rFonts w:ascii="Calibri" w:hAnsi="Calibri" w:cs="Calibri"/>
          <w:sz w:val="24"/>
          <w:szCs w:val="24"/>
        </w:rPr>
      </w:pPr>
    </w:p>
    <w:tbl>
      <w:tblPr>
        <w:tblW w:w="9200" w:type="dxa"/>
        <w:jc w:val="center"/>
        <w:tblCellMar>
          <w:left w:w="70" w:type="dxa"/>
          <w:right w:w="70" w:type="dxa"/>
        </w:tblCellMar>
        <w:tblLook w:val="04A0" w:firstRow="1" w:lastRow="0" w:firstColumn="1" w:lastColumn="0" w:noHBand="0" w:noVBand="1"/>
      </w:tblPr>
      <w:tblGrid>
        <w:gridCol w:w="5680"/>
        <w:gridCol w:w="1760"/>
        <w:gridCol w:w="1760"/>
      </w:tblGrid>
      <w:tr w:rsidR="003B4F3A" w:rsidRPr="003B4F3A" w:rsidTr="00697525">
        <w:trPr>
          <w:trHeight w:val="284"/>
          <w:jc w:val="center"/>
        </w:trPr>
        <w:tc>
          <w:tcPr>
            <w:tcW w:w="5680" w:type="dxa"/>
            <w:tcBorders>
              <w:top w:val="nil"/>
              <w:left w:val="nil"/>
              <w:bottom w:val="single" w:sz="4" w:space="0" w:color="auto"/>
              <w:right w:val="single" w:sz="4" w:space="0" w:color="auto"/>
            </w:tcBorders>
            <w:shd w:val="clear" w:color="auto" w:fill="auto"/>
            <w:noWrap/>
            <w:vAlign w:val="bottom"/>
            <w:hideMark/>
          </w:tcPr>
          <w:p w:rsidR="003B4F3A" w:rsidRPr="003B4F3A" w:rsidRDefault="003B4F3A" w:rsidP="003B4F3A">
            <w:pPr>
              <w:widowControl/>
              <w:rPr>
                <w:rFonts w:ascii="Calibri" w:hAnsi="Calibri" w:cs="Calibri"/>
                <w:snapToGrid/>
                <w:color w:val="000000"/>
                <w:sz w:val="24"/>
                <w:szCs w:val="24"/>
              </w:rPr>
            </w:pPr>
            <w:r w:rsidRPr="003B4F3A">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F3A" w:rsidRPr="003B4F3A" w:rsidRDefault="00D0760C" w:rsidP="00456A1F">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00456A1F">
              <w:rPr>
                <w:rFonts w:ascii="Calibri" w:hAnsi="Calibri" w:cs="Calibri"/>
                <w:b/>
                <w:bCs/>
                <w:snapToGrid/>
                <w:color w:val="000000"/>
                <w:sz w:val="24"/>
                <w:szCs w:val="24"/>
              </w:rPr>
              <w:t>03</w:t>
            </w:r>
            <w:r>
              <w:rPr>
                <w:rFonts w:ascii="Calibri" w:hAnsi="Calibri" w:cs="Calibri"/>
                <w:b/>
                <w:bCs/>
                <w:snapToGrid/>
                <w:color w:val="000000"/>
                <w:sz w:val="24"/>
                <w:szCs w:val="24"/>
              </w:rPr>
              <w:t>/20</w:t>
            </w:r>
            <w:r w:rsidR="00456A1F">
              <w:rPr>
                <w:rFonts w:ascii="Calibri" w:hAnsi="Calibri" w:cs="Calibri"/>
                <w:b/>
                <w:bCs/>
                <w:snapToGrid/>
                <w:color w:val="000000"/>
                <w:sz w:val="24"/>
                <w:szCs w:val="24"/>
              </w:rPr>
              <w:t>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F3A" w:rsidRPr="003B4F3A" w:rsidRDefault="00D0760C" w:rsidP="00456A1F">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Pr="002060DA">
              <w:rPr>
                <w:rFonts w:ascii="Calibri" w:hAnsi="Calibri" w:cs="Calibri"/>
                <w:b/>
                <w:bCs/>
                <w:snapToGrid/>
                <w:color w:val="000000"/>
                <w:sz w:val="24"/>
                <w:szCs w:val="24"/>
              </w:rPr>
              <w:t>/</w:t>
            </w:r>
            <w:r w:rsidR="00456A1F">
              <w:rPr>
                <w:rFonts w:ascii="Calibri" w:hAnsi="Calibri" w:cs="Calibri"/>
                <w:b/>
                <w:bCs/>
                <w:snapToGrid/>
                <w:color w:val="000000"/>
                <w:sz w:val="24"/>
                <w:szCs w:val="24"/>
              </w:rPr>
              <w:t>03</w:t>
            </w:r>
            <w:r w:rsidRPr="002060DA">
              <w:rPr>
                <w:rFonts w:ascii="Calibri" w:hAnsi="Calibri" w:cs="Calibri"/>
                <w:b/>
                <w:bCs/>
                <w:snapToGrid/>
                <w:color w:val="000000"/>
                <w:sz w:val="24"/>
                <w:szCs w:val="24"/>
              </w:rPr>
              <w:t>/20</w:t>
            </w:r>
            <w:r w:rsidR="00456A1F">
              <w:rPr>
                <w:rFonts w:ascii="Calibri" w:hAnsi="Calibri" w:cs="Calibri"/>
                <w:b/>
                <w:bCs/>
                <w:snapToGrid/>
                <w:color w:val="000000"/>
                <w:sz w:val="24"/>
                <w:szCs w:val="24"/>
              </w:rPr>
              <w:t>19</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snapToGrid/>
                <w:color w:val="000000"/>
                <w:sz w:val="24"/>
                <w:szCs w:val="24"/>
              </w:rPr>
            </w:pPr>
            <w:r w:rsidRPr="003B4F3A">
              <w:rPr>
                <w:rFonts w:ascii="Calibri" w:hAnsi="Calibri" w:cs="Calibri"/>
                <w:snapToGrid/>
                <w:color w:val="000000"/>
                <w:sz w:val="24"/>
                <w:szCs w:val="24"/>
              </w:rPr>
              <w:t>Perdas Estimadas com Créditos de Liquidação Duvidosa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6C7E20">
            <w:pPr>
              <w:widowControl/>
              <w:jc w:val="right"/>
              <w:rPr>
                <w:rFonts w:ascii="Calibri" w:hAnsi="Calibri" w:cs="Calibri"/>
                <w:snapToGrid/>
                <w:color w:val="000000"/>
                <w:sz w:val="24"/>
                <w:szCs w:val="24"/>
              </w:rPr>
            </w:pPr>
            <w:r>
              <w:rPr>
                <w:rFonts w:ascii="Calibri" w:hAnsi="Calibri" w:cs="Calibri"/>
                <w:snapToGrid/>
                <w:color w:val="000000"/>
                <w:sz w:val="24"/>
                <w:szCs w:val="24"/>
              </w:rPr>
              <w:t>(10.541)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(16.780)</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snapToGrid/>
                <w:color w:val="000000"/>
                <w:sz w:val="24"/>
                <w:szCs w:val="24"/>
              </w:rPr>
            </w:pPr>
            <w:r w:rsidRPr="003B4F3A">
              <w:rPr>
                <w:rFonts w:ascii="Calibri" w:hAnsi="Calibri" w:cs="Calibri"/>
                <w:snapToGrid/>
                <w:color w:val="000000"/>
                <w:sz w:val="24"/>
                <w:szCs w:val="24"/>
              </w:rPr>
              <w:t>Provisão de Férias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(5.612)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1.681</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snapToGrid/>
                <w:color w:val="000000"/>
                <w:sz w:val="24"/>
                <w:szCs w:val="24"/>
              </w:rPr>
            </w:pPr>
            <w:r w:rsidRPr="003B4F3A">
              <w:rPr>
                <w:rFonts w:ascii="Calibri" w:hAnsi="Calibri" w:cs="Calibri"/>
                <w:snapToGrid/>
                <w:color w:val="000000"/>
                <w:sz w:val="24"/>
                <w:szCs w:val="24"/>
              </w:rPr>
              <w:t>Provisão para o 13º Salário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(1.791)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(1.614)</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snapToGrid/>
                <w:color w:val="000000"/>
                <w:sz w:val="24"/>
                <w:szCs w:val="24"/>
              </w:rPr>
            </w:pPr>
            <w:r w:rsidRPr="003B4F3A">
              <w:rPr>
                <w:rFonts w:ascii="Calibri" w:hAnsi="Calibri" w:cs="Calibri"/>
                <w:snapToGrid/>
                <w:color w:val="000000"/>
                <w:sz w:val="24"/>
                <w:szCs w:val="24"/>
              </w:rPr>
              <w:t>Provisão para FGTS do 13º Salário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(153)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(137)</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snapToGrid/>
                <w:color w:val="000000"/>
                <w:sz w:val="24"/>
                <w:szCs w:val="24"/>
              </w:rPr>
            </w:pPr>
            <w:r w:rsidRPr="003B4F3A">
              <w:rPr>
                <w:rFonts w:ascii="Calibri" w:hAnsi="Calibri" w:cs="Calibri"/>
                <w:snapToGrid/>
                <w:color w:val="000000"/>
                <w:sz w:val="24"/>
                <w:szCs w:val="24"/>
              </w:rPr>
              <w:t>Provisão para Contingências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(82.416)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BB1C75"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1</w:t>
            </w:r>
          </w:p>
        </w:tc>
      </w:tr>
      <w:tr w:rsidR="008161EB" w:rsidRPr="003B4F3A" w:rsidTr="00697525">
        <w:trPr>
          <w:trHeight w:val="284"/>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B4F3A" w:rsidRDefault="008161EB" w:rsidP="008161EB">
            <w:pPr>
              <w:widowControl/>
              <w:rPr>
                <w:rFonts w:ascii="Calibri" w:hAnsi="Calibri" w:cs="Calibri"/>
                <w:b/>
                <w:bCs/>
                <w:snapToGrid/>
                <w:color w:val="000000"/>
                <w:sz w:val="24"/>
                <w:szCs w:val="24"/>
              </w:rPr>
            </w:pPr>
            <w:r w:rsidRPr="003B4F3A">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4142F7" w:rsidP="006C5A9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w:t>
            </w:r>
            <w:r w:rsidR="00BB1C75">
              <w:rPr>
                <w:rFonts w:ascii="Calibri" w:hAnsi="Calibri" w:cs="Calibri"/>
                <w:b/>
                <w:bCs/>
                <w:snapToGrid/>
                <w:color w:val="000000"/>
                <w:sz w:val="24"/>
                <w:szCs w:val="24"/>
              </w:rPr>
              <w:t>100.513</w:t>
            </w:r>
            <w:r>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B4F3A" w:rsidRDefault="004142F7" w:rsidP="008161E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w:t>
            </w:r>
            <w:r w:rsidR="00BB1C75">
              <w:rPr>
                <w:rFonts w:ascii="Calibri" w:hAnsi="Calibri" w:cs="Calibri"/>
                <w:b/>
                <w:bCs/>
                <w:snapToGrid/>
                <w:color w:val="000000"/>
                <w:sz w:val="24"/>
                <w:szCs w:val="24"/>
              </w:rPr>
              <w:t>16.849</w:t>
            </w:r>
            <w:r>
              <w:rPr>
                <w:rFonts w:ascii="Calibri" w:hAnsi="Calibri" w:cs="Calibri"/>
                <w:b/>
                <w:bCs/>
                <w:snapToGrid/>
                <w:color w:val="000000"/>
                <w:sz w:val="24"/>
                <w:szCs w:val="24"/>
              </w:rPr>
              <w:t>)</w:t>
            </w:r>
          </w:p>
        </w:tc>
      </w:tr>
    </w:tbl>
    <w:p w:rsidR="00DD1114" w:rsidRDefault="00DD1114" w:rsidP="00C16DDB">
      <w:pPr>
        <w:jc w:val="both"/>
        <w:rPr>
          <w:rFonts w:ascii="Calibri" w:hAnsi="Calibri" w:cs="Calibri"/>
          <w:b/>
          <w:sz w:val="24"/>
          <w:szCs w:val="24"/>
        </w:rPr>
      </w:pPr>
    </w:p>
    <w:p w:rsidR="00DD1114" w:rsidRDefault="00DD1114" w:rsidP="00C16DDB">
      <w:pPr>
        <w:jc w:val="both"/>
        <w:rPr>
          <w:rFonts w:ascii="Calibri" w:hAnsi="Calibri" w:cs="Calibri"/>
          <w:b/>
          <w:sz w:val="24"/>
          <w:szCs w:val="24"/>
        </w:rPr>
      </w:pPr>
    </w:p>
    <w:p w:rsidR="00C16DDB" w:rsidRPr="00312424" w:rsidRDefault="0004363C" w:rsidP="00C16DDB">
      <w:pPr>
        <w:jc w:val="both"/>
        <w:rPr>
          <w:rFonts w:ascii="Calibri" w:hAnsi="Calibri" w:cs="Calibri"/>
          <w:b/>
          <w:sz w:val="24"/>
          <w:szCs w:val="24"/>
        </w:rPr>
      </w:pPr>
      <w:r>
        <w:rPr>
          <w:rFonts w:ascii="Calibri" w:hAnsi="Calibri" w:cs="Calibri"/>
          <w:b/>
          <w:sz w:val="24"/>
          <w:szCs w:val="24"/>
        </w:rPr>
        <w:t>2</w:t>
      </w:r>
      <w:r w:rsidR="002500FC">
        <w:rPr>
          <w:rFonts w:ascii="Calibri" w:hAnsi="Calibri" w:cs="Calibri"/>
          <w:b/>
          <w:sz w:val="24"/>
          <w:szCs w:val="24"/>
        </w:rPr>
        <w:t>5</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 xml:space="preserve">OUTRAS </w:t>
      </w:r>
      <w:r>
        <w:rPr>
          <w:rFonts w:ascii="Calibri" w:hAnsi="Calibri" w:cs="Calibri"/>
          <w:b/>
          <w:sz w:val="24"/>
          <w:szCs w:val="24"/>
          <w:u w:val="single"/>
        </w:rPr>
        <w:t>RECEITAS</w:t>
      </w:r>
      <w:r w:rsidR="00C16DDB" w:rsidRPr="00312424">
        <w:rPr>
          <w:rFonts w:ascii="Calibri" w:hAnsi="Calibri" w:cs="Calibri"/>
          <w:b/>
          <w:sz w:val="24"/>
          <w:szCs w:val="24"/>
          <w:u w:val="single"/>
        </w:rPr>
        <w:t xml:space="preserve"> OPERACIONAIS</w:t>
      </w:r>
    </w:p>
    <w:p w:rsidR="00C16DDB" w:rsidRDefault="00C16DDB" w:rsidP="00C16DDB">
      <w:pPr>
        <w:jc w:val="both"/>
        <w:rPr>
          <w:rFonts w:ascii="Calibri" w:hAnsi="Calibri" w:cs="Calibri"/>
          <w:sz w:val="24"/>
          <w:szCs w:val="24"/>
        </w:rPr>
      </w:pPr>
    </w:p>
    <w:p w:rsidR="00340FB0" w:rsidRDefault="00340FB0" w:rsidP="00C16DDB">
      <w:pPr>
        <w:jc w:val="both"/>
        <w:rPr>
          <w:rFonts w:ascii="Calibri" w:hAnsi="Calibri" w:cs="Calibri"/>
          <w:sz w:val="24"/>
          <w:szCs w:val="24"/>
        </w:rPr>
      </w:pPr>
      <w:r>
        <w:rPr>
          <w:rFonts w:ascii="Calibri" w:hAnsi="Calibri" w:cs="Calibri"/>
          <w:sz w:val="24"/>
          <w:szCs w:val="24"/>
        </w:rPr>
        <w:t>O grupo possui a seguinte composição:</w:t>
      </w:r>
    </w:p>
    <w:p w:rsidR="0004363C" w:rsidRDefault="0004363C" w:rsidP="00C16DDB">
      <w:pPr>
        <w:jc w:val="both"/>
        <w:rPr>
          <w:rFonts w:ascii="Calibri" w:hAnsi="Calibri" w:cs="Calibri"/>
          <w:sz w:val="24"/>
          <w:szCs w:val="24"/>
        </w:rPr>
      </w:pPr>
    </w:p>
    <w:tbl>
      <w:tblPr>
        <w:tblW w:w="6920" w:type="dxa"/>
        <w:jc w:val="center"/>
        <w:tblCellMar>
          <w:left w:w="70" w:type="dxa"/>
          <w:right w:w="70" w:type="dxa"/>
        </w:tblCellMar>
        <w:tblLook w:val="04A0" w:firstRow="1" w:lastRow="0" w:firstColumn="1" w:lastColumn="0" w:noHBand="0" w:noVBand="1"/>
      </w:tblPr>
      <w:tblGrid>
        <w:gridCol w:w="3400"/>
        <w:gridCol w:w="1760"/>
        <w:gridCol w:w="1760"/>
      </w:tblGrid>
      <w:tr w:rsidR="003D07B8" w:rsidRPr="003D07B8" w:rsidTr="00697525">
        <w:trPr>
          <w:trHeight w:val="284"/>
          <w:jc w:val="center"/>
        </w:trPr>
        <w:tc>
          <w:tcPr>
            <w:tcW w:w="3400" w:type="dxa"/>
            <w:tcBorders>
              <w:top w:val="nil"/>
              <w:left w:val="nil"/>
              <w:bottom w:val="single" w:sz="4" w:space="0" w:color="auto"/>
              <w:right w:val="single" w:sz="4" w:space="0" w:color="auto"/>
            </w:tcBorders>
            <w:shd w:val="clear" w:color="auto" w:fill="auto"/>
            <w:noWrap/>
            <w:vAlign w:val="bottom"/>
            <w:hideMark/>
          </w:tcPr>
          <w:p w:rsidR="003D07B8" w:rsidRPr="003D07B8" w:rsidRDefault="003D07B8" w:rsidP="003D07B8">
            <w:pPr>
              <w:widowControl/>
              <w:rPr>
                <w:rFonts w:ascii="Calibri" w:hAnsi="Calibri" w:cs="Calibri"/>
                <w:snapToGrid/>
                <w:color w:val="000000"/>
                <w:sz w:val="24"/>
                <w:szCs w:val="24"/>
              </w:rPr>
            </w:pPr>
            <w:r w:rsidRPr="003D07B8">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7B8" w:rsidRPr="003D07B8" w:rsidRDefault="00D0760C" w:rsidP="004142F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004142F7">
              <w:rPr>
                <w:rFonts w:ascii="Calibri" w:hAnsi="Calibri" w:cs="Calibri"/>
                <w:b/>
                <w:bCs/>
                <w:snapToGrid/>
                <w:color w:val="000000"/>
                <w:sz w:val="24"/>
                <w:szCs w:val="24"/>
              </w:rPr>
              <w:t>03</w:t>
            </w:r>
            <w:r>
              <w:rPr>
                <w:rFonts w:ascii="Calibri" w:hAnsi="Calibri" w:cs="Calibri"/>
                <w:b/>
                <w:bCs/>
                <w:snapToGrid/>
                <w:color w:val="000000"/>
                <w:sz w:val="24"/>
                <w:szCs w:val="24"/>
              </w:rPr>
              <w:t>/20</w:t>
            </w:r>
            <w:r w:rsidR="004142F7">
              <w:rPr>
                <w:rFonts w:ascii="Calibri" w:hAnsi="Calibri" w:cs="Calibri"/>
                <w:b/>
                <w:bCs/>
                <w:snapToGrid/>
                <w:color w:val="000000"/>
                <w:sz w:val="24"/>
                <w:szCs w:val="24"/>
              </w:rPr>
              <w:t>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7B8" w:rsidRPr="003D07B8" w:rsidRDefault="00D0760C" w:rsidP="004142F7">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w:t>
            </w:r>
            <w:r w:rsidRPr="002060DA">
              <w:rPr>
                <w:rFonts w:ascii="Calibri" w:hAnsi="Calibri" w:cs="Calibri"/>
                <w:b/>
                <w:bCs/>
                <w:snapToGrid/>
                <w:color w:val="000000"/>
                <w:sz w:val="24"/>
                <w:szCs w:val="24"/>
              </w:rPr>
              <w:t>/</w:t>
            </w:r>
            <w:r w:rsidR="004142F7">
              <w:rPr>
                <w:rFonts w:ascii="Calibri" w:hAnsi="Calibri" w:cs="Calibri"/>
                <w:b/>
                <w:bCs/>
                <w:snapToGrid/>
                <w:color w:val="000000"/>
                <w:sz w:val="24"/>
                <w:szCs w:val="24"/>
              </w:rPr>
              <w:t>03</w:t>
            </w:r>
            <w:r w:rsidRPr="002060DA">
              <w:rPr>
                <w:rFonts w:ascii="Calibri" w:hAnsi="Calibri" w:cs="Calibri"/>
                <w:b/>
                <w:bCs/>
                <w:snapToGrid/>
                <w:color w:val="000000"/>
                <w:sz w:val="24"/>
                <w:szCs w:val="24"/>
              </w:rPr>
              <w:t>/201</w:t>
            </w:r>
            <w:r w:rsidR="004142F7">
              <w:rPr>
                <w:rFonts w:ascii="Calibri" w:hAnsi="Calibri" w:cs="Calibri"/>
                <w:b/>
                <w:bCs/>
                <w:snapToGrid/>
                <w:color w:val="000000"/>
                <w:sz w:val="24"/>
                <w:szCs w:val="24"/>
              </w:rPr>
              <w:t>9</w:t>
            </w:r>
          </w:p>
        </w:tc>
      </w:tr>
      <w:tr w:rsidR="008161EB" w:rsidRPr="003D07B8"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D07B8" w:rsidRDefault="008161EB" w:rsidP="008161EB">
            <w:pPr>
              <w:widowControl/>
              <w:rPr>
                <w:rFonts w:ascii="Calibri" w:hAnsi="Calibri" w:cs="Calibri"/>
                <w:snapToGrid/>
                <w:color w:val="000000"/>
                <w:sz w:val="24"/>
                <w:szCs w:val="24"/>
              </w:rPr>
            </w:pPr>
            <w:r w:rsidRPr="003D07B8">
              <w:rPr>
                <w:rFonts w:ascii="Calibri" w:hAnsi="Calibri" w:cs="Calibri"/>
                <w:snapToGrid/>
                <w:color w:val="000000"/>
                <w:sz w:val="24"/>
                <w:szCs w:val="24"/>
              </w:rPr>
              <w:t>Aluguel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2.489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3.042</w:t>
            </w:r>
          </w:p>
        </w:tc>
      </w:tr>
      <w:tr w:rsidR="008161EB" w:rsidRPr="003D07B8"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D07B8" w:rsidRDefault="008161EB" w:rsidP="008161EB">
            <w:pPr>
              <w:widowControl/>
              <w:rPr>
                <w:rFonts w:ascii="Calibri" w:hAnsi="Calibri" w:cs="Calibri"/>
                <w:snapToGrid/>
                <w:color w:val="000000"/>
                <w:sz w:val="24"/>
                <w:szCs w:val="24"/>
              </w:rPr>
            </w:pPr>
            <w:r w:rsidRPr="003D07B8">
              <w:rPr>
                <w:rFonts w:ascii="Calibri" w:hAnsi="Calibri" w:cs="Calibri"/>
                <w:snapToGrid/>
                <w:color w:val="000000"/>
                <w:sz w:val="24"/>
                <w:szCs w:val="24"/>
              </w:rPr>
              <w:t>Outras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73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DD1114">
            <w:pPr>
              <w:widowControl/>
              <w:jc w:val="right"/>
              <w:rPr>
                <w:rFonts w:ascii="Calibri" w:hAnsi="Calibri" w:cs="Calibri"/>
                <w:snapToGrid/>
                <w:color w:val="000000"/>
                <w:sz w:val="24"/>
                <w:szCs w:val="24"/>
              </w:rPr>
            </w:pPr>
            <w:r>
              <w:rPr>
                <w:rFonts w:ascii="Calibri" w:hAnsi="Calibri" w:cs="Calibri"/>
                <w:snapToGrid/>
                <w:color w:val="000000"/>
                <w:sz w:val="24"/>
                <w:szCs w:val="24"/>
              </w:rPr>
              <w:t>13</w:t>
            </w:r>
            <w:r w:rsidR="00DD1114">
              <w:rPr>
                <w:rFonts w:ascii="Calibri" w:hAnsi="Calibri" w:cs="Calibri"/>
                <w:snapToGrid/>
                <w:color w:val="000000"/>
                <w:sz w:val="24"/>
                <w:szCs w:val="24"/>
              </w:rPr>
              <w:t>9</w:t>
            </w:r>
          </w:p>
        </w:tc>
      </w:tr>
      <w:tr w:rsidR="008161EB" w:rsidRPr="003D07B8"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3D07B8" w:rsidRDefault="008161EB" w:rsidP="008161EB">
            <w:pPr>
              <w:widowControl/>
              <w:rPr>
                <w:rFonts w:ascii="Calibri" w:hAnsi="Calibri" w:cs="Calibri"/>
                <w:b/>
                <w:bCs/>
                <w:snapToGrid/>
                <w:color w:val="000000"/>
                <w:sz w:val="24"/>
                <w:szCs w:val="24"/>
              </w:rPr>
            </w:pPr>
            <w:r w:rsidRPr="003D07B8">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8161E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2.562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3D07B8" w:rsidRDefault="004142F7" w:rsidP="008161E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3.181</w:t>
            </w:r>
          </w:p>
        </w:tc>
      </w:tr>
    </w:tbl>
    <w:p w:rsidR="00C13D42" w:rsidRDefault="00C13D42" w:rsidP="00C16DDB">
      <w:pPr>
        <w:jc w:val="both"/>
        <w:rPr>
          <w:rFonts w:ascii="Calibri" w:hAnsi="Calibri" w:cs="Calibri"/>
          <w:b/>
          <w:sz w:val="24"/>
          <w:szCs w:val="24"/>
        </w:rPr>
      </w:pPr>
    </w:p>
    <w:p w:rsidR="00DD1114" w:rsidRPr="00312424" w:rsidRDefault="00DD1114" w:rsidP="00C16DDB">
      <w:pPr>
        <w:jc w:val="both"/>
        <w:rPr>
          <w:rFonts w:ascii="Calibri" w:hAnsi="Calibri" w:cs="Calibri"/>
          <w:b/>
          <w:sz w:val="24"/>
          <w:szCs w:val="24"/>
        </w:rPr>
      </w:pPr>
    </w:p>
    <w:p w:rsidR="00C16DDB" w:rsidRPr="00312424" w:rsidRDefault="00340FB0" w:rsidP="00C16DDB">
      <w:pPr>
        <w:jc w:val="both"/>
        <w:rPr>
          <w:rFonts w:ascii="Calibri" w:hAnsi="Calibri" w:cs="Calibri"/>
          <w:b/>
          <w:sz w:val="24"/>
          <w:szCs w:val="24"/>
          <w:u w:val="single"/>
        </w:rPr>
      </w:pPr>
      <w:r>
        <w:rPr>
          <w:rFonts w:ascii="Calibri" w:hAnsi="Calibri" w:cs="Calibri"/>
          <w:b/>
          <w:sz w:val="24"/>
          <w:szCs w:val="24"/>
        </w:rPr>
        <w:t>2</w:t>
      </w:r>
      <w:r w:rsidR="004142F7">
        <w:rPr>
          <w:rFonts w:ascii="Calibri" w:hAnsi="Calibri" w:cs="Calibri"/>
          <w:b/>
          <w:sz w:val="24"/>
          <w:szCs w:val="24"/>
        </w:rPr>
        <w:t>6</w:t>
      </w:r>
      <w:r w:rsidR="00C16DDB" w:rsidRPr="00312424">
        <w:rPr>
          <w:rFonts w:ascii="Calibri" w:hAnsi="Calibri" w:cs="Calibri"/>
          <w:b/>
          <w:sz w:val="24"/>
          <w:szCs w:val="24"/>
        </w:rPr>
        <w:t xml:space="preserve"> – </w:t>
      </w:r>
      <w:r w:rsidR="00C16DDB" w:rsidRPr="00312424">
        <w:rPr>
          <w:rFonts w:ascii="Calibri" w:hAnsi="Calibri" w:cs="Calibri"/>
          <w:b/>
          <w:sz w:val="24"/>
          <w:szCs w:val="24"/>
          <w:u w:val="single"/>
        </w:rPr>
        <w:t>RESULTADO FINANCEIRO LÍQUIDO</w:t>
      </w:r>
    </w:p>
    <w:p w:rsidR="00C16DDB" w:rsidRPr="00312424" w:rsidRDefault="00C16DDB" w:rsidP="00C16DDB">
      <w:pPr>
        <w:jc w:val="both"/>
        <w:rPr>
          <w:rFonts w:ascii="Calibri" w:hAnsi="Calibri" w:cs="Calibri"/>
          <w:b/>
          <w:sz w:val="24"/>
          <w:szCs w:val="24"/>
          <w:u w:val="single"/>
        </w:rPr>
      </w:pPr>
    </w:p>
    <w:p w:rsidR="00C16DDB" w:rsidRDefault="00340FB0" w:rsidP="00C16DDB">
      <w:pPr>
        <w:ind w:left="1080" w:hanging="1080"/>
        <w:jc w:val="both"/>
        <w:rPr>
          <w:rFonts w:ascii="Calibri" w:hAnsi="Calibri" w:cs="Calibri"/>
          <w:sz w:val="24"/>
          <w:szCs w:val="24"/>
        </w:rPr>
      </w:pPr>
      <w:r w:rsidRPr="00340FB0">
        <w:rPr>
          <w:rFonts w:ascii="Calibri" w:hAnsi="Calibri" w:cs="Calibri"/>
          <w:sz w:val="24"/>
          <w:szCs w:val="24"/>
        </w:rPr>
        <w:t>O g</w:t>
      </w:r>
      <w:r>
        <w:rPr>
          <w:rFonts w:ascii="Calibri" w:hAnsi="Calibri" w:cs="Calibri"/>
          <w:sz w:val="24"/>
          <w:szCs w:val="24"/>
        </w:rPr>
        <w:t>rupo possui a seguinte composição:</w:t>
      </w:r>
    </w:p>
    <w:p w:rsidR="00C16DDB" w:rsidRDefault="00C16DDB" w:rsidP="00C16DDB">
      <w:pPr>
        <w:ind w:left="1080" w:hanging="1080"/>
        <w:jc w:val="both"/>
        <w:rPr>
          <w:rFonts w:ascii="Calibri" w:hAnsi="Calibri" w:cs="Calibri"/>
          <w:b/>
          <w:sz w:val="24"/>
          <w:szCs w:val="24"/>
        </w:rPr>
      </w:pPr>
    </w:p>
    <w:tbl>
      <w:tblPr>
        <w:tblW w:w="6920" w:type="dxa"/>
        <w:jc w:val="center"/>
        <w:tblCellMar>
          <w:left w:w="70" w:type="dxa"/>
          <w:right w:w="70" w:type="dxa"/>
        </w:tblCellMar>
        <w:tblLook w:val="04A0" w:firstRow="1" w:lastRow="0" w:firstColumn="1" w:lastColumn="0" w:noHBand="0" w:noVBand="1"/>
      </w:tblPr>
      <w:tblGrid>
        <w:gridCol w:w="3400"/>
        <w:gridCol w:w="1760"/>
        <w:gridCol w:w="1760"/>
      </w:tblGrid>
      <w:tr w:rsidR="00C13D42" w:rsidRPr="00C13D42" w:rsidTr="004142F7">
        <w:trPr>
          <w:trHeight w:val="284"/>
          <w:jc w:val="center"/>
        </w:trPr>
        <w:tc>
          <w:tcPr>
            <w:tcW w:w="3400" w:type="dxa"/>
            <w:tcBorders>
              <w:top w:val="nil"/>
              <w:left w:val="nil"/>
              <w:bottom w:val="single" w:sz="4" w:space="0" w:color="auto"/>
              <w:right w:val="single" w:sz="4" w:space="0" w:color="auto"/>
            </w:tcBorders>
            <w:shd w:val="clear" w:color="auto" w:fill="auto"/>
            <w:noWrap/>
            <w:vAlign w:val="bottom"/>
            <w:hideMark/>
          </w:tcPr>
          <w:p w:rsidR="00C13D42" w:rsidRPr="00C13D42" w:rsidRDefault="00C13D42" w:rsidP="00C13D42">
            <w:pPr>
              <w:widowControl/>
              <w:rPr>
                <w:rFonts w:ascii="Calibri" w:hAnsi="Calibri" w:cs="Calibri"/>
                <w:snapToGrid/>
                <w:color w:val="000000"/>
                <w:sz w:val="24"/>
                <w:szCs w:val="24"/>
              </w:rPr>
            </w:pPr>
            <w:r w:rsidRPr="00C13D42">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3D42" w:rsidRPr="00C13D42" w:rsidRDefault="004142F7" w:rsidP="00A211F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3D42" w:rsidRPr="00C13D42" w:rsidRDefault="004142F7" w:rsidP="00A211F3">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31/03/2019</w:t>
            </w:r>
          </w:p>
        </w:tc>
      </w:tr>
      <w:tr w:rsidR="008161EB" w:rsidRPr="00C13D42"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C13D42" w:rsidRDefault="008161EB" w:rsidP="008161EB">
            <w:pPr>
              <w:widowControl/>
              <w:rPr>
                <w:rFonts w:ascii="Calibri" w:hAnsi="Calibri" w:cs="Calibri"/>
                <w:snapToGrid/>
                <w:color w:val="000000"/>
                <w:sz w:val="24"/>
                <w:szCs w:val="24"/>
              </w:rPr>
            </w:pPr>
            <w:r w:rsidRPr="00C13D42">
              <w:rPr>
                <w:rFonts w:ascii="Calibri" w:hAnsi="Calibri" w:cs="Calibri"/>
                <w:snapToGrid/>
                <w:color w:val="000000"/>
                <w:sz w:val="24"/>
                <w:szCs w:val="24"/>
              </w:rPr>
              <w:t>Receitas Financeiras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142F7"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4.522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56A1F"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5.737</w:t>
            </w:r>
          </w:p>
        </w:tc>
      </w:tr>
      <w:tr w:rsidR="008161EB" w:rsidRPr="00C13D42"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C13D42" w:rsidRDefault="008161EB" w:rsidP="008161EB">
            <w:pPr>
              <w:widowControl/>
              <w:rPr>
                <w:rFonts w:ascii="Calibri" w:hAnsi="Calibri" w:cs="Calibri"/>
                <w:snapToGrid/>
                <w:color w:val="000000"/>
                <w:sz w:val="24"/>
                <w:szCs w:val="24"/>
              </w:rPr>
            </w:pPr>
            <w:r w:rsidRPr="00C13D42">
              <w:rPr>
                <w:rFonts w:ascii="Calibri" w:hAnsi="Calibri" w:cs="Calibri"/>
                <w:snapToGrid/>
                <w:color w:val="000000"/>
                <w:sz w:val="24"/>
                <w:szCs w:val="24"/>
              </w:rPr>
              <w:t>Despesas Financeiras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142F7" w:rsidP="008161EB">
            <w:pPr>
              <w:widowControl/>
              <w:jc w:val="right"/>
              <w:rPr>
                <w:rFonts w:ascii="Calibri" w:hAnsi="Calibri" w:cs="Calibri"/>
                <w:snapToGrid/>
                <w:color w:val="000000"/>
                <w:sz w:val="24"/>
                <w:szCs w:val="24"/>
              </w:rPr>
            </w:pPr>
            <w:r>
              <w:rPr>
                <w:rFonts w:ascii="Calibri" w:hAnsi="Calibri" w:cs="Calibri"/>
                <w:snapToGrid/>
                <w:color w:val="000000"/>
                <w:sz w:val="24"/>
                <w:szCs w:val="24"/>
              </w:rPr>
              <w:t>(40.867)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56A1F" w:rsidP="0011080B">
            <w:pPr>
              <w:widowControl/>
              <w:jc w:val="right"/>
              <w:rPr>
                <w:rFonts w:ascii="Calibri" w:hAnsi="Calibri" w:cs="Calibri"/>
                <w:snapToGrid/>
                <w:color w:val="000000"/>
                <w:sz w:val="24"/>
                <w:szCs w:val="24"/>
              </w:rPr>
            </w:pPr>
            <w:r>
              <w:rPr>
                <w:rFonts w:ascii="Calibri" w:hAnsi="Calibri" w:cs="Calibri"/>
                <w:snapToGrid/>
                <w:color w:val="000000"/>
                <w:sz w:val="24"/>
                <w:szCs w:val="24"/>
              </w:rPr>
              <w:t>(54.756)</w:t>
            </w:r>
          </w:p>
        </w:tc>
      </w:tr>
      <w:tr w:rsidR="008161EB" w:rsidRPr="00C13D42" w:rsidTr="00697525">
        <w:trPr>
          <w:trHeight w:val="284"/>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1EB" w:rsidRPr="00C13D42" w:rsidRDefault="008161EB" w:rsidP="008161EB">
            <w:pPr>
              <w:widowControl/>
              <w:rPr>
                <w:rFonts w:ascii="Calibri" w:hAnsi="Calibri" w:cs="Calibri"/>
                <w:b/>
                <w:bCs/>
                <w:snapToGrid/>
                <w:color w:val="000000"/>
                <w:sz w:val="24"/>
                <w:szCs w:val="24"/>
              </w:rPr>
            </w:pPr>
            <w:r w:rsidRPr="00C13D42">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142F7" w:rsidP="008161E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(36.345)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1EB" w:rsidRPr="00C13D42" w:rsidRDefault="00456A1F" w:rsidP="0011080B">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w:t>
            </w:r>
            <w:r w:rsidR="004142F7">
              <w:rPr>
                <w:rFonts w:ascii="Calibri" w:hAnsi="Calibri" w:cs="Calibri"/>
                <w:b/>
                <w:bCs/>
                <w:snapToGrid/>
                <w:color w:val="000000"/>
                <w:sz w:val="24"/>
                <w:szCs w:val="24"/>
              </w:rPr>
              <w:t>49.019</w:t>
            </w:r>
            <w:r>
              <w:rPr>
                <w:rFonts w:ascii="Calibri" w:hAnsi="Calibri" w:cs="Calibri"/>
                <w:b/>
                <w:bCs/>
                <w:snapToGrid/>
                <w:color w:val="000000"/>
                <w:sz w:val="24"/>
                <w:szCs w:val="24"/>
              </w:rPr>
              <w:t>)</w:t>
            </w:r>
          </w:p>
        </w:tc>
      </w:tr>
    </w:tbl>
    <w:p w:rsidR="001C4695" w:rsidRPr="00312424" w:rsidRDefault="001C4695" w:rsidP="001C4695">
      <w:pPr>
        <w:jc w:val="both"/>
        <w:rPr>
          <w:rFonts w:ascii="Calibri" w:hAnsi="Calibri" w:cs="Calibri"/>
          <w:b/>
          <w:sz w:val="24"/>
          <w:szCs w:val="24"/>
          <w:u w:val="single"/>
        </w:rPr>
      </w:pPr>
      <w:r>
        <w:rPr>
          <w:rFonts w:ascii="Calibri" w:hAnsi="Calibri" w:cs="Calibri"/>
          <w:b/>
          <w:sz w:val="24"/>
          <w:szCs w:val="24"/>
        </w:rPr>
        <w:lastRenderedPageBreak/>
        <w:t>2</w:t>
      </w:r>
      <w:r w:rsidR="00BC4CB6">
        <w:rPr>
          <w:rFonts w:ascii="Calibri" w:hAnsi="Calibri" w:cs="Calibri"/>
          <w:b/>
          <w:sz w:val="24"/>
          <w:szCs w:val="24"/>
        </w:rPr>
        <w:t>7</w:t>
      </w:r>
      <w:r w:rsidRPr="00312424">
        <w:rPr>
          <w:rFonts w:ascii="Calibri" w:hAnsi="Calibri" w:cs="Calibri"/>
          <w:b/>
          <w:sz w:val="24"/>
          <w:szCs w:val="24"/>
        </w:rPr>
        <w:t xml:space="preserve"> – </w:t>
      </w:r>
      <w:r w:rsidR="008A71CD">
        <w:rPr>
          <w:rFonts w:ascii="Calibri" w:hAnsi="Calibri" w:cs="Calibri"/>
          <w:b/>
          <w:sz w:val="24"/>
          <w:szCs w:val="24"/>
          <w:u w:val="single"/>
        </w:rPr>
        <w:t>INSTRUMENTOS FINANCEIROS</w:t>
      </w:r>
    </w:p>
    <w:p w:rsidR="001C4695" w:rsidRPr="008A71CD" w:rsidRDefault="001C4695" w:rsidP="008A71CD">
      <w:pPr>
        <w:ind w:left="1080" w:hanging="1080"/>
        <w:jc w:val="both"/>
        <w:rPr>
          <w:rFonts w:asciiTheme="minorHAnsi" w:hAnsiTheme="minorHAnsi" w:cstheme="minorHAnsi"/>
          <w:b/>
          <w:sz w:val="24"/>
          <w:szCs w:val="24"/>
        </w:rPr>
      </w:pPr>
    </w:p>
    <w:p w:rsidR="008A71CD" w:rsidRDefault="008A71CD" w:rsidP="008A71CD">
      <w:pPr>
        <w:pStyle w:val="ColorfulList-Accent11"/>
        <w:tabs>
          <w:tab w:val="left" w:pos="142"/>
        </w:tabs>
        <w:ind w:left="851"/>
        <w:jc w:val="both"/>
        <w:rPr>
          <w:rFonts w:asciiTheme="minorHAnsi" w:hAnsiTheme="minorHAnsi" w:cstheme="minorHAnsi"/>
          <w:b/>
          <w:bCs/>
          <w:sz w:val="24"/>
          <w:szCs w:val="24"/>
        </w:rPr>
      </w:pPr>
      <w:r>
        <w:rPr>
          <w:rFonts w:asciiTheme="minorHAnsi" w:hAnsiTheme="minorHAnsi" w:cstheme="minorHAnsi"/>
          <w:b/>
          <w:bCs/>
          <w:sz w:val="24"/>
          <w:szCs w:val="24"/>
        </w:rPr>
        <w:t>2</w:t>
      </w:r>
      <w:r w:rsidR="00BC4CB6">
        <w:rPr>
          <w:rFonts w:asciiTheme="minorHAnsi" w:hAnsiTheme="minorHAnsi" w:cstheme="minorHAnsi"/>
          <w:b/>
          <w:bCs/>
          <w:sz w:val="24"/>
          <w:szCs w:val="24"/>
        </w:rPr>
        <w:t>7</w:t>
      </w:r>
      <w:r>
        <w:rPr>
          <w:rFonts w:asciiTheme="minorHAnsi" w:hAnsiTheme="minorHAnsi" w:cstheme="minorHAnsi"/>
          <w:b/>
          <w:bCs/>
          <w:sz w:val="24"/>
          <w:szCs w:val="24"/>
        </w:rPr>
        <w:t>.</w:t>
      </w:r>
      <w:r w:rsidRPr="008A71CD">
        <w:rPr>
          <w:rFonts w:asciiTheme="minorHAnsi" w:hAnsiTheme="minorHAnsi" w:cstheme="minorHAnsi"/>
          <w:b/>
          <w:bCs/>
          <w:sz w:val="24"/>
          <w:szCs w:val="24"/>
        </w:rPr>
        <w:t xml:space="preserve">1 </w:t>
      </w:r>
      <w:r>
        <w:rPr>
          <w:rFonts w:asciiTheme="minorHAnsi" w:hAnsiTheme="minorHAnsi" w:cstheme="minorHAnsi"/>
          <w:b/>
          <w:bCs/>
          <w:sz w:val="24"/>
          <w:szCs w:val="24"/>
        </w:rPr>
        <w:t xml:space="preserve">   </w:t>
      </w:r>
      <w:r w:rsidRPr="008A71CD">
        <w:rPr>
          <w:rFonts w:asciiTheme="minorHAnsi" w:hAnsiTheme="minorHAnsi" w:cstheme="minorHAnsi"/>
          <w:b/>
          <w:bCs/>
          <w:sz w:val="24"/>
          <w:szCs w:val="24"/>
        </w:rPr>
        <w:t>Classificação dos instrumentos financeiros por categoria</w:t>
      </w:r>
    </w:p>
    <w:p w:rsidR="008A71CD" w:rsidRPr="008A71CD" w:rsidRDefault="008A71CD" w:rsidP="008A71CD">
      <w:pPr>
        <w:pStyle w:val="ColorfulList-Accent11"/>
        <w:tabs>
          <w:tab w:val="left" w:pos="142"/>
        </w:tabs>
        <w:ind w:left="851"/>
        <w:jc w:val="both"/>
        <w:rPr>
          <w:rFonts w:asciiTheme="minorHAnsi" w:hAnsiTheme="minorHAnsi" w:cstheme="minorHAnsi"/>
          <w:b/>
          <w:bCs/>
          <w:sz w:val="24"/>
          <w:szCs w:val="24"/>
        </w:rPr>
      </w:pPr>
    </w:p>
    <w:p w:rsidR="008A71CD" w:rsidRPr="00BC4CB6" w:rsidRDefault="008A71CD" w:rsidP="00BC4CB6">
      <w:pPr>
        <w:ind w:left="851" w:hanging="1080"/>
        <w:jc w:val="both"/>
        <w:rPr>
          <w:rFonts w:ascii="Calibri" w:hAnsi="Calibri" w:cs="Calibri"/>
          <w:sz w:val="24"/>
          <w:szCs w:val="24"/>
        </w:rPr>
      </w:pPr>
      <w:r w:rsidRPr="00BC4CB6">
        <w:rPr>
          <w:rFonts w:ascii="Calibri" w:hAnsi="Calibri" w:cs="Calibri"/>
          <w:sz w:val="24"/>
          <w:szCs w:val="24"/>
        </w:rPr>
        <w:tab/>
        <w:t>A classificação dos ativos e passivos financeiros é a seguinte:</w:t>
      </w:r>
    </w:p>
    <w:p w:rsidR="00BC4CB6" w:rsidRDefault="00BC4CB6" w:rsidP="008A71CD">
      <w:pPr>
        <w:pStyle w:val="ColorfulList-Accent11"/>
        <w:tabs>
          <w:tab w:val="left" w:pos="142"/>
        </w:tabs>
        <w:ind w:left="851"/>
        <w:jc w:val="both"/>
        <w:rPr>
          <w:rFonts w:asciiTheme="minorHAnsi" w:hAnsiTheme="minorHAnsi" w:cstheme="minorHAnsi"/>
          <w:sz w:val="24"/>
          <w:szCs w:val="24"/>
        </w:rPr>
      </w:pPr>
    </w:p>
    <w:p w:rsidR="00BC4CB6" w:rsidRDefault="00BC4CB6" w:rsidP="008A71CD">
      <w:pPr>
        <w:pStyle w:val="ColorfulList-Accent11"/>
        <w:tabs>
          <w:tab w:val="left" w:pos="142"/>
        </w:tabs>
        <w:ind w:left="851"/>
        <w:jc w:val="both"/>
        <w:rPr>
          <w:rFonts w:asciiTheme="minorHAnsi" w:hAnsiTheme="minorHAnsi" w:cstheme="minorHAnsi"/>
          <w:sz w:val="24"/>
          <w:szCs w:val="24"/>
        </w:rPr>
      </w:pPr>
    </w:p>
    <w:p w:rsidR="00BC4CB6" w:rsidRDefault="00BC4CB6" w:rsidP="00BC4CB6">
      <w:pPr>
        <w:pStyle w:val="ColorfulList-Accent11"/>
        <w:tabs>
          <w:tab w:val="left" w:pos="142"/>
        </w:tabs>
        <w:ind w:left="851" w:hanging="709"/>
        <w:rPr>
          <w:rFonts w:asciiTheme="minorHAnsi" w:hAnsiTheme="minorHAnsi" w:cstheme="minorHAnsi"/>
          <w:sz w:val="24"/>
          <w:szCs w:val="24"/>
        </w:rPr>
      </w:pPr>
      <w:r w:rsidRPr="00BC4CB6">
        <w:rPr>
          <w:noProof/>
          <w:lang w:eastAsia="pt-BR"/>
        </w:rPr>
        <w:drawing>
          <wp:inline distT="0" distB="0" distL="0" distR="0">
            <wp:extent cx="6155140" cy="5945976"/>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1660" cy="5961934"/>
                    </a:xfrm>
                    <a:prstGeom prst="rect">
                      <a:avLst/>
                    </a:prstGeom>
                    <a:noFill/>
                    <a:ln>
                      <a:noFill/>
                    </a:ln>
                  </pic:spPr>
                </pic:pic>
              </a:graphicData>
            </a:graphic>
          </wp:inline>
        </w:drawing>
      </w:r>
    </w:p>
    <w:p w:rsidR="00BC4CB6" w:rsidRDefault="00BC4CB6" w:rsidP="008A71CD">
      <w:pPr>
        <w:pStyle w:val="ColorfulList-Accent11"/>
        <w:tabs>
          <w:tab w:val="left" w:pos="142"/>
        </w:tabs>
        <w:ind w:left="851"/>
        <w:jc w:val="both"/>
        <w:rPr>
          <w:rFonts w:asciiTheme="minorHAnsi" w:hAnsiTheme="minorHAnsi" w:cstheme="minorHAnsi"/>
          <w:sz w:val="24"/>
          <w:szCs w:val="24"/>
        </w:rPr>
      </w:pPr>
    </w:p>
    <w:p w:rsidR="004142F7" w:rsidRDefault="004142F7" w:rsidP="008A71CD">
      <w:pPr>
        <w:pStyle w:val="ColorfulList-Accent11"/>
        <w:tabs>
          <w:tab w:val="left" w:pos="142"/>
        </w:tabs>
        <w:ind w:left="851"/>
        <w:jc w:val="both"/>
        <w:rPr>
          <w:rFonts w:asciiTheme="minorHAnsi" w:hAnsiTheme="minorHAnsi" w:cstheme="minorHAnsi"/>
          <w:b/>
          <w:bCs/>
          <w:sz w:val="24"/>
          <w:szCs w:val="24"/>
        </w:rPr>
      </w:pPr>
    </w:p>
    <w:p w:rsidR="008A71CD" w:rsidRPr="00BC4CB6" w:rsidRDefault="008A71CD" w:rsidP="008A71CD">
      <w:pPr>
        <w:pStyle w:val="ColorfulList-Accent11"/>
        <w:tabs>
          <w:tab w:val="left" w:pos="142"/>
        </w:tabs>
        <w:ind w:left="851"/>
        <w:jc w:val="both"/>
        <w:rPr>
          <w:rFonts w:asciiTheme="minorHAnsi" w:hAnsiTheme="minorHAnsi" w:cstheme="minorHAnsi"/>
          <w:b/>
          <w:bCs/>
          <w:sz w:val="24"/>
          <w:szCs w:val="24"/>
        </w:rPr>
      </w:pPr>
      <w:r w:rsidRPr="00BC4CB6">
        <w:rPr>
          <w:rFonts w:asciiTheme="minorHAnsi" w:hAnsiTheme="minorHAnsi" w:cstheme="minorHAnsi"/>
          <w:b/>
          <w:bCs/>
          <w:sz w:val="24"/>
          <w:szCs w:val="24"/>
        </w:rPr>
        <w:t>2</w:t>
      </w:r>
      <w:r w:rsidR="00BC4CB6">
        <w:rPr>
          <w:rFonts w:asciiTheme="minorHAnsi" w:hAnsiTheme="minorHAnsi" w:cstheme="minorHAnsi"/>
          <w:b/>
          <w:bCs/>
          <w:sz w:val="24"/>
          <w:szCs w:val="24"/>
        </w:rPr>
        <w:t>7</w:t>
      </w:r>
      <w:r w:rsidRPr="00BC4CB6">
        <w:rPr>
          <w:rFonts w:asciiTheme="minorHAnsi" w:hAnsiTheme="minorHAnsi" w:cstheme="minorHAnsi"/>
          <w:b/>
          <w:bCs/>
          <w:sz w:val="24"/>
          <w:szCs w:val="24"/>
        </w:rPr>
        <w:t>.2</w:t>
      </w:r>
      <w:r w:rsidRPr="00BC4CB6">
        <w:rPr>
          <w:rFonts w:asciiTheme="minorHAnsi" w:hAnsiTheme="minorHAnsi" w:cstheme="minorHAnsi"/>
          <w:b/>
          <w:bCs/>
          <w:sz w:val="24"/>
          <w:szCs w:val="24"/>
        </w:rPr>
        <w:tab/>
        <w:t xml:space="preserve"> Classificações contábeis e valores justos</w:t>
      </w:r>
    </w:p>
    <w:p w:rsidR="008A71CD" w:rsidRPr="00BC4CB6" w:rsidRDefault="008A71CD" w:rsidP="008A71CD">
      <w:pPr>
        <w:pStyle w:val="ColorfulList-Accent11"/>
        <w:tabs>
          <w:tab w:val="left" w:pos="142"/>
        </w:tabs>
        <w:ind w:left="851"/>
        <w:jc w:val="both"/>
        <w:rPr>
          <w:rFonts w:asciiTheme="minorHAnsi" w:hAnsiTheme="minorHAnsi" w:cstheme="minorHAnsi"/>
          <w:b/>
          <w:bCs/>
          <w:sz w:val="24"/>
          <w:szCs w:val="24"/>
        </w:rPr>
      </w:pPr>
    </w:p>
    <w:p w:rsidR="00456A1F" w:rsidRPr="00BC4CB6" w:rsidRDefault="008A71CD" w:rsidP="008A71CD">
      <w:pPr>
        <w:tabs>
          <w:tab w:val="left" w:pos="142"/>
        </w:tabs>
        <w:ind w:left="851"/>
        <w:jc w:val="both"/>
        <w:rPr>
          <w:rFonts w:asciiTheme="minorHAnsi" w:hAnsiTheme="minorHAnsi" w:cstheme="minorHAnsi"/>
          <w:bCs/>
          <w:sz w:val="24"/>
          <w:szCs w:val="24"/>
        </w:rPr>
      </w:pPr>
      <w:r w:rsidRPr="00BC4CB6">
        <w:rPr>
          <w:rFonts w:asciiTheme="minorHAnsi" w:hAnsiTheme="minorHAnsi" w:cstheme="minorHAnsi"/>
          <w:bCs/>
          <w:sz w:val="24"/>
          <w:szCs w:val="24"/>
        </w:rPr>
        <w:t xml:space="preserve">Devido ao ciclo de curto prazo, pressupõe-se que o valor justo dos saldos de caixa e equivalentes de caixa, contas a receber e contas a pagar de fornecedores estejam próximos aos seus valores contábeis. Para mensuração e determinação do valor justo, a Companhia </w:t>
      </w:r>
      <w:r w:rsidRPr="00BC4CB6">
        <w:rPr>
          <w:rFonts w:asciiTheme="minorHAnsi" w:hAnsiTheme="minorHAnsi" w:cstheme="minorHAnsi"/>
          <w:bCs/>
          <w:sz w:val="24"/>
          <w:szCs w:val="24"/>
        </w:rPr>
        <w:lastRenderedPageBreak/>
        <w:t xml:space="preserve">utiliza métodos incluindo abordagens de mercado, de resultado ou de custo, de forma a estimar o valor que os participantes do mercado utilizaram para precificar o ativo ou passivo. </w:t>
      </w:r>
    </w:p>
    <w:p w:rsidR="00456A1F" w:rsidRPr="00BC4CB6" w:rsidRDefault="00456A1F" w:rsidP="008A71CD">
      <w:pPr>
        <w:tabs>
          <w:tab w:val="left" w:pos="142"/>
        </w:tabs>
        <w:ind w:left="851"/>
        <w:jc w:val="both"/>
        <w:rPr>
          <w:rFonts w:asciiTheme="minorHAnsi" w:hAnsiTheme="minorHAnsi" w:cstheme="minorHAnsi"/>
          <w:bCs/>
          <w:sz w:val="24"/>
          <w:szCs w:val="24"/>
        </w:rPr>
      </w:pPr>
    </w:p>
    <w:p w:rsidR="00BE3108" w:rsidRDefault="00BE3108" w:rsidP="00C16DDB">
      <w:pPr>
        <w:ind w:left="1080" w:hanging="1080"/>
        <w:jc w:val="both"/>
        <w:rPr>
          <w:rFonts w:ascii="Calibri" w:hAnsi="Calibri" w:cs="Calibri"/>
          <w:b/>
          <w:sz w:val="24"/>
          <w:szCs w:val="24"/>
        </w:rPr>
      </w:pPr>
    </w:p>
    <w:p w:rsidR="00D0760C" w:rsidRPr="00312424" w:rsidRDefault="00D0760C" w:rsidP="00D0760C">
      <w:pPr>
        <w:jc w:val="both"/>
        <w:rPr>
          <w:rFonts w:ascii="Calibri" w:hAnsi="Calibri" w:cs="Calibri"/>
          <w:b/>
          <w:sz w:val="24"/>
          <w:szCs w:val="24"/>
          <w:u w:val="single"/>
        </w:rPr>
      </w:pPr>
      <w:r>
        <w:rPr>
          <w:rFonts w:ascii="Calibri" w:hAnsi="Calibri" w:cs="Calibri"/>
          <w:b/>
          <w:sz w:val="24"/>
          <w:szCs w:val="24"/>
        </w:rPr>
        <w:t>2</w:t>
      </w:r>
      <w:r w:rsidR="00BC4CB6">
        <w:rPr>
          <w:rFonts w:ascii="Calibri" w:hAnsi="Calibri" w:cs="Calibri"/>
          <w:b/>
          <w:sz w:val="24"/>
          <w:szCs w:val="24"/>
        </w:rPr>
        <w:t>8</w:t>
      </w:r>
      <w:r w:rsidRPr="00312424">
        <w:rPr>
          <w:rFonts w:ascii="Calibri" w:hAnsi="Calibri" w:cs="Calibri"/>
          <w:b/>
          <w:sz w:val="24"/>
          <w:szCs w:val="24"/>
        </w:rPr>
        <w:t xml:space="preserve"> – </w:t>
      </w:r>
      <w:r>
        <w:rPr>
          <w:rFonts w:ascii="Calibri" w:hAnsi="Calibri" w:cs="Calibri"/>
          <w:b/>
          <w:sz w:val="24"/>
          <w:szCs w:val="24"/>
          <w:u w:val="single"/>
        </w:rPr>
        <w:t>TRANSAÇÕES COM PARTES RELACIONADAS</w:t>
      </w:r>
    </w:p>
    <w:p w:rsidR="00516C4E" w:rsidRDefault="00516C4E" w:rsidP="00C16DDB">
      <w:pPr>
        <w:ind w:left="1080" w:hanging="1080"/>
        <w:jc w:val="both"/>
        <w:rPr>
          <w:rFonts w:ascii="Calibri" w:hAnsi="Calibri" w:cs="Calibri"/>
          <w:b/>
          <w:sz w:val="24"/>
          <w:szCs w:val="24"/>
        </w:rPr>
      </w:pP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 xml:space="preserve">A CDRJ possui política de transações com partes relacionadas aprovada pelo Conselho de Administração e divulgada em sua página eletrônica. A política estabelece regras e consolida os procedimentos a serem observados pela </w:t>
      </w:r>
      <w:r w:rsidR="003924AB">
        <w:rPr>
          <w:rFonts w:ascii="Calibri" w:hAnsi="Calibri" w:cs="Calibri"/>
          <w:sz w:val="24"/>
          <w:szCs w:val="24"/>
        </w:rPr>
        <w:t>Companhia</w:t>
      </w:r>
      <w:r w:rsidRPr="00CD3174">
        <w:rPr>
          <w:rFonts w:ascii="Calibri" w:hAnsi="Calibri" w:cs="Calibri"/>
          <w:sz w:val="24"/>
          <w:szCs w:val="24"/>
        </w:rPr>
        <w:t xml:space="preserve"> quando da ocorrência de transações entre partes relacionadas, assegurando a competitividade, conformidade, transparência, equidade e comutatividade nas transações. A política se aplica a todos os colaboradores e administradores da CDRJ. As definições de partes relacionadas estão contidas no Pronunciamento Técnico nº 05, do Comitê de Pronunciamentos Contábeis – CPC. Dentre as transações realizadas pela CDRJ com suas partes relacionadas, destacamos:</w:t>
      </w:r>
    </w:p>
    <w:p w:rsidR="00386840" w:rsidRPr="00CD3174" w:rsidRDefault="00386840"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DC1BB0">
        <w:rPr>
          <w:rFonts w:ascii="Calibri" w:hAnsi="Calibri" w:cs="Calibri"/>
          <w:b/>
          <w:sz w:val="24"/>
          <w:szCs w:val="24"/>
        </w:rPr>
        <w:t>Transações com o Tesouro Nacional</w:t>
      </w:r>
      <w:r>
        <w:rPr>
          <w:rFonts w:ascii="Calibri" w:hAnsi="Calibri" w:cs="Calibri"/>
          <w:b/>
          <w:sz w:val="24"/>
          <w:szCs w:val="24"/>
        </w:rPr>
        <w:t xml:space="preserve">: </w:t>
      </w:r>
      <w:r w:rsidRPr="00CD3174">
        <w:rPr>
          <w:rFonts w:ascii="Calibri" w:hAnsi="Calibri" w:cs="Calibri"/>
          <w:sz w:val="24"/>
          <w:szCs w:val="24"/>
        </w:rPr>
        <w:t xml:space="preserve">A CDRJ celebrou três contratos de cessão de créditos, com o Tesouro Nacional, nos exercícios de 1998 a 2000, nos quais a CDRJ transferiu à União os direitos de créditos decorrentes de dois contratos de arrendamento: C-DEPJUR Nº 010/98, de 11/03/1998, celebrado entre a CDRJ e o arrendatário Libra Terminal Rio S.A. e o contrato C-DEPJUR Nº 069/98, de 23/10/98, celebrado entre a CDRJ e o arrendatário Sepetiba Tecon S.A. </w:t>
      </w:r>
      <w:r>
        <w:rPr>
          <w:rFonts w:ascii="Calibri" w:hAnsi="Calibri" w:cs="Calibri"/>
          <w:sz w:val="24"/>
          <w:szCs w:val="24"/>
        </w:rPr>
        <w:t>Do</w:t>
      </w:r>
      <w:r w:rsidRPr="00CD3174">
        <w:rPr>
          <w:rFonts w:ascii="Calibri" w:hAnsi="Calibri" w:cs="Calibri"/>
          <w:sz w:val="24"/>
          <w:szCs w:val="24"/>
        </w:rPr>
        <w:t>s créditos decorrentes do arrendamento da Libra Terminal Rio S.A. result</w:t>
      </w:r>
      <w:r>
        <w:rPr>
          <w:rFonts w:ascii="Calibri" w:hAnsi="Calibri" w:cs="Calibri"/>
          <w:sz w:val="24"/>
          <w:szCs w:val="24"/>
        </w:rPr>
        <w:t>aram</w:t>
      </w:r>
      <w:r w:rsidRPr="00CD3174">
        <w:rPr>
          <w:rFonts w:ascii="Calibri" w:hAnsi="Calibri" w:cs="Calibri"/>
          <w:sz w:val="24"/>
          <w:szCs w:val="24"/>
        </w:rPr>
        <w:t xml:space="preserve"> dois contratos de cessão, relativos à parte fixa e variável, cujo</w:t>
      </w:r>
      <w:r>
        <w:rPr>
          <w:rFonts w:ascii="Calibri" w:hAnsi="Calibri" w:cs="Calibri"/>
          <w:sz w:val="24"/>
          <w:szCs w:val="24"/>
        </w:rPr>
        <w:t>s</w:t>
      </w:r>
      <w:r w:rsidRPr="00CD3174">
        <w:rPr>
          <w:rFonts w:ascii="Calibri" w:hAnsi="Calibri" w:cs="Calibri"/>
          <w:sz w:val="24"/>
          <w:szCs w:val="24"/>
        </w:rPr>
        <w:t xml:space="preserve"> vencimento</w:t>
      </w:r>
      <w:r>
        <w:rPr>
          <w:rFonts w:ascii="Calibri" w:hAnsi="Calibri" w:cs="Calibri"/>
          <w:sz w:val="24"/>
          <w:szCs w:val="24"/>
        </w:rPr>
        <w:t>s</w:t>
      </w:r>
      <w:r w:rsidRPr="00CD3174">
        <w:rPr>
          <w:rFonts w:ascii="Calibri" w:hAnsi="Calibri" w:cs="Calibri"/>
          <w:sz w:val="24"/>
          <w:szCs w:val="24"/>
        </w:rPr>
        <w:t xml:space="preserve"> ocorrer</w:t>
      </w:r>
      <w:r>
        <w:rPr>
          <w:rFonts w:ascii="Calibri" w:hAnsi="Calibri" w:cs="Calibri"/>
          <w:sz w:val="24"/>
          <w:szCs w:val="24"/>
        </w:rPr>
        <w:t xml:space="preserve">ão </w:t>
      </w:r>
      <w:r w:rsidRPr="00CD3174">
        <w:rPr>
          <w:rFonts w:ascii="Calibri" w:hAnsi="Calibri" w:cs="Calibri"/>
          <w:sz w:val="24"/>
          <w:szCs w:val="24"/>
        </w:rPr>
        <w:t>em 8 de maio de 2023.</w:t>
      </w:r>
      <w:r>
        <w:rPr>
          <w:rFonts w:ascii="Calibri" w:hAnsi="Calibri" w:cs="Calibri"/>
          <w:sz w:val="24"/>
          <w:szCs w:val="24"/>
        </w:rPr>
        <w:t xml:space="preserve"> </w:t>
      </w:r>
      <w:r w:rsidRPr="00CD3174">
        <w:rPr>
          <w:rFonts w:ascii="Calibri" w:hAnsi="Calibri" w:cs="Calibri"/>
          <w:sz w:val="24"/>
          <w:szCs w:val="24"/>
        </w:rPr>
        <w:t>O contrato relativo ao arrendamento da Sepetiba Tecon S.A. possui vigência até 1º de outubro de 2025.</w:t>
      </w:r>
    </w:p>
    <w:p w:rsidR="00386840" w:rsidRPr="00CD3174" w:rsidRDefault="00386840"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DC1BB0">
        <w:rPr>
          <w:rFonts w:ascii="Calibri" w:hAnsi="Calibri" w:cs="Calibri"/>
          <w:b/>
          <w:sz w:val="24"/>
          <w:szCs w:val="24"/>
        </w:rPr>
        <w:t>Transações com a Petrobrás</w:t>
      </w:r>
      <w:r>
        <w:rPr>
          <w:rFonts w:ascii="Calibri" w:hAnsi="Calibri" w:cs="Calibri"/>
          <w:b/>
          <w:sz w:val="24"/>
          <w:szCs w:val="24"/>
        </w:rPr>
        <w:t xml:space="preserve">: </w:t>
      </w:r>
      <w:r>
        <w:rPr>
          <w:rFonts w:ascii="Calibri" w:hAnsi="Calibri" w:cs="Calibri"/>
          <w:sz w:val="24"/>
          <w:szCs w:val="24"/>
        </w:rPr>
        <w:t xml:space="preserve">A Petrobrás opera com duas de suas filiais no Porto do Rio de Janeiro, em terminal privativo e com utilização do </w:t>
      </w:r>
      <w:proofErr w:type="gramStart"/>
      <w:r>
        <w:rPr>
          <w:rFonts w:ascii="Calibri" w:hAnsi="Calibri" w:cs="Calibri"/>
          <w:sz w:val="24"/>
          <w:szCs w:val="24"/>
        </w:rPr>
        <w:t>cais público</w:t>
      </w:r>
      <w:proofErr w:type="gramEnd"/>
      <w:r>
        <w:rPr>
          <w:rFonts w:ascii="Calibri" w:hAnsi="Calibri" w:cs="Calibri"/>
          <w:sz w:val="24"/>
          <w:szCs w:val="24"/>
        </w:rPr>
        <w:t xml:space="preserve">. Quando opera em área privativa, a empresa efetua pagamento das tarifas portuárias de acesso ao canal e de fundeio. No </w:t>
      </w:r>
      <w:proofErr w:type="gramStart"/>
      <w:r>
        <w:rPr>
          <w:rFonts w:ascii="Calibri" w:hAnsi="Calibri" w:cs="Calibri"/>
          <w:sz w:val="24"/>
          <w:szCs w:val="24"/>
        </w:rPr>
        <w:t>cais público</w:t>
      </w:r>
      <w:proofErr w:type="gramEnd"/>
      <w:r>
        <w:rPr>
          <w:rFonts w:ascii="Calibri" w:hAnsi="Calibri" w:cs="Calibri"/>
          <w:sz w:val="24"/>
          <w:szCs w:val="24"/>
        </w:rPr>
        <w:t xml:space="preserve">, são cobradas tarifas de atracação, movimentação de cargas e serviços diversos. No </w:t>
      </w:r>
      <w:r w:rsidR="00A340DB">
        <w:rPr>
          <w:rFonts w:ascii="Calibri" w:hAnsi="Calibri" w:cs="Calibri"/>
          <w:sz w:val="24"/>
          <w:szCs w:val="24"/>
        </w:rPr>
        <w:t>1º</w:t>
      </w:r>
      <w:r w:rsidR="00D36B48">
        <w:rPr>
          <w:rFonts w:ascii="Calibri" w:hAnsi="Calibri" w:cs="Calibri"/>
          <w:sz w:val="24"/>
          <w:szCs w:val="24"/>
        </w:rPr>
        <w:t xml:space="preserve"> trimestre de 2020</w:t>
      </w:r>
      <w:r>
        <w:rPr>
          <w:rFonts w:ascii="Calibri" w:hAnsi="Calibri" w:cs="Calibri"/>
          <w:sz w:val="24"/>
          <w:szCs w:val="24"/>
        </w:rPr>
        <w:t xml:space="preserve">, o valor total faturado foi de R$ </w:t>
      </w:r>
      <w:r w:rsidR="00D36B48">
        <w:rPr>
          <w:rFonts w:ascii="Calibri" w:hAnsi="Calibri" w:cs="Calibri"/>
          <w:sz w:val="24"/>
          <w:szCs w:val="24"/>
        </w:rPr>
        <w:t>6.055</w:t>
      </w:r>
      <w:r>
        <w:rPr>
          <w:rFonts w:ascii="Calibri" w:hAnsi="Calibri" w:cs="Calibri"/>
          <w:sz w:val="24"/>
          <w:szCs w:val="24"/>
        </w:rPr>
        <w:t xml:space="preserve"> mil (R$ </w:t>
      </w:r>
      <w:r w:rsidR="00D36B48">
        <w:rPr>
          <w:rFonts w:ascii="Calibri" w:hAnsi="Calibri" w:cs="Calibri"/>
          <w:sz w:val="24"/>
          <w:szCs w:val="24"/>
        </w:rPr>
        <w:t>8.347 mil</w:t>
      </w:r>
      <w:r>
        <w:rPr>
          <w:rFonts w:ascii="Calibri" w:hAnsi="Calibri" w:cs="Calibri"/>
          <w:sz w:val="24"/>
          <w:szCs w:val="24"/>
        </w:rPr>
        <w:t xml:space="preserve"> </w:t>
      </w:r>
      <w:r w:rsidR="00D36B48">
        <w:rPr>
          <w:rFonts w:ascii="Calibri" w:hAnsi="Calibri" w:cs="Calibri"/>
          <w:sz w:val="24"/>
          <w:szCs w:val="24"/>
        </w:rPr>
        <w:t xml:space="preserve">no </w:t>
      </w:r>
      <w:r w:rsidR="00A340DB">
        <w:rPr>
          <w:rFonts w:ascii="Calibri" w:hAnsi="Calibri" w:cs="Calibri"/>
          <w:sz w:val="24"/>
          <w:szCs w:val="24"/>
        </w:rPr>
        <w:t>1º</w:t>
      </w:r>
      <w:r w:rsidR="00D36B48">
        <w:rPr>
          <w:rFonts w:ascii="Calibri" w:hAnsi="Calibri" w:cs="Calibri"/>
          <w:sz w:val="24"/>
          <w:szCs w:val="24"/>
        </w:rPr>
        <w:t xml:space="preserve"> trimestre de</w:t>
      </w:r>
      <w:r>
        <w:rPr>
          <w:rFonts w:ascii="Calibri" w:hAnsi="Calibri" w:cs="Calibri"/>
          <w:sz w:val="24"/>
          <w:szCs w:val="24"/>
        </w:rPr>
        <w:t xml:space="preserve"> 201</w:t>
      </w:r>
      <w:r w:rsidR="00D36B48">
        <w:rPr>
          <w:rFonts w:ascii="Calibri" w:hAnsi="Calibri" w:cs="Calibri"/>
          <w:sz w:val="24"/>
          <w:szCs w:val="24"/>
        </w:rPr>
        <w:t>9</w:t>
      </w:r>
      <w:r>
        <w:rPr>
          <w:rFonts w:ascii="Calibri" w:hAnsi="Calibri" w:cs="Calibri"/>
          <w:sz w:val="24"/>
          <w:szCs w:val="24"/>
        </w:rPr>
        <w:t>).</w:t>
      </w:r>
    </w:p>
    <w:p w:rsidR="001C4695" w:rsidRPr="00CD3174" w:rsidRDefault="001C4695"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DC1BB0">
        <w:rPr>
          <w:rFonts w:ascii="Calibri" w:hAnsi="Calibri" w:cs="Calibri"/>
          <w:b/>
          <w:sz w:val="24"/>
          <w:szCs w:val="24"/>
        </w:rPr>
        <w:t>Transações com Cessionários</w:t>
      </w:r>
      <w:r>
        <w:rPr>
          <w:rFonts w:ascii="Calibri" w:hAnsi="Calibri" w:cs="Calibri"/>
          <w:b/>
          <w:sz w:val="24"/>
          <w:szCs w:val="24"/>
        </w:rPr>
        <w:t xml:space="preserve">: </w:t>
      </w:r>
      <w:r w:rsidRPr="00CD3174">
        <w:rPr>
          <w:rFonts w:ascii="Calibri" w:hAnsi="Calibri" w:cs="Calibri"/>
          <w:sz w:val="24"/>
          <w:szCs w:val="24"/>
        </w:rPr>
        <w:t>A CDRJ cede mão de obra para as entidades públicas abaixo listadas:</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Advocacia-Geral da União - AGU</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 xml:space="preserve">Agência Nacional de Transportes </w:t>
      </w:r>
      <w:proofErr w:type="spellStart"/>
      <w:r w:rsidRPr="00CD3174">
        <w:rPr>
          <w:rFonts w:ascii="Calibri" w:hAnsi="Calibri" w:cs="Calibri"/>
          <w:sz w:val="24"/>
          <w:szCs w:val="24"/>
        </w:rPr>
        <w:t>Aquaviários</w:t>
      </w:r>
      <w:proofErr w:type="spellEnd"/>
      <w:r w:rsidRPr="00CD3174">
        <w:rPr>
          <w:rFonts w:ascii="Calibri" w:hAnsi="Calibri" w:cs="Calibri"/>
          <w:sz w:val="24"/>
          <w:szCs w:val="24"/>
        </w:rPr>
        <w:t xml:space="preserve"> – ANTAQ</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Agência Nacional de Transportes Terrestres – ANTT</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 xml:space="preserve">Departamento Nacional de Infraestrutura de Transportes – DNIT </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Empresa de Planejamento e Logística S.A. – EPL</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Ministério da Infraestrutura – MINFRA</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Prefeitura de Camboriú</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Prefeitura do Rio de Janeiro</w:t>
      </w: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Universidade Federal Rural do Rio de Janeiro – UFRRJ</w:t>
      </w:r>
    </w:p>
    <w:p w:rsidR="00386840" w:rsidRPr="00CD3174" w:rsidRDefault="00386840"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CD3174">
        <w:rPr>
          <w:rFonts w:ascii="Calibri" w:hAnsi="Calibri" w:cs="Calibri"/>
          <w:sz w:val="24"/>
          <w:szCs w:val="24"/>
        </w:rPr>
        <w:t xml:space="preserve">Os cessionários transferem à CDRJ, mensalmente, a título de ressarcimento, os valores relativos aos gastos com os salários e demais benefícios. O valor total do ressarcimento no </w:t>
      </w:r>
      <w:r w:rsidR="00A340DB">
        <w:rPr>
          <w:rFonts w:ascii="Calibri" w:hAnsi="Calibri" w:cs="Calibri"/>
          <w:sz w:val="24"/>
          <w:szCs w:val="24"/>
        </w:rPr>
        <w:t xml:space="preserve">1º trimestre </w:t>
      </w:r>
      <w:r w:rsidRPr="00CD3174">
        <w:rPr>
          <w:rFonts w:ascii="Calibri" w:hAnsi="Calibri" w:cs="Calibri"/>
          <w:sz w:val="24"/>
          <w:szCs w:val="24"/>
        </w:rPr>
        <w:t>de 20</w:t>
      </w:r>
      <w:r w:rsidR="00A340DB">
        <w:rPr>
          <w:rFonts w:ascii="Calibri" w:hAnsi="Calibri" w:cs="Calibri"/>
          <w:sz w:val="24"/>
          <w:szCs w:val="24"/>
        </w:rPr>
        <w:t>20</w:t>
      </w:r>
      <w:r w:rsidRPr="00CD3174">
        <w:rPr>
          <w:rFonts w:ascii="Calibri" w:hAnsi="Calibri" w:cs="Calibri"/>
          <w:sz w:val="24"/>
          <w:szCs w:val="24"/>
        </w:rPr>
        <w:t xml:space="preserve"> foi de R$ </w:t>
      </w:r>
      <w:r w:rsidR="00987E13">
        <w:rPr>
          <w:rFonts w:ascii="Calibri" w:hAnsi="Calibri" w:cs="Calibri"/>
          <w:sz w:val="24"/>
          <w:szCs w:val="24"/>
        </w:rPr>
        <w:t>5</w:t>
      </w:r>
      <w:r w:rsidRPr="00CD3174">
        <w:rPr>
          <w:rFonts w:ascii="Calibri" w:hAnsi="Calibri" w:cs="Calibri"/>
          <w:sz w:val="24"/>
          <w:szCs w:val="24"/>
        </w:rPr>
        <w:t>.</w:t>
      </w:r>
      <w:r w:rsidR="00987E13">
        <w:rPr>
          <w:rFonts w:ascii="Calibri" w:hAnsi="Calibri" w:cs="Calibri"/>
          <w:sz w:val="24"/>
          <w:szCs w:val="24"/>
        </w:rPr>
        <w:t>642</w:t>
      </w:r>
      <w:r w:rsidRPr="00CD3174">
        <w:rPr>
          <w:rFonts w:ascii="Calibri" w:hAnsi="Calibri" w:cs="Calibri"/>
          <w:sz w:val="24"/>
          <w:szCs w:val="24"/>
        </w:rPr>
        <w:t xml:space="preserve"> mil (R$ </w:t>
      </w:r>
      <w:r w:rsidR="00987E13">
        <w:rPr>
          <w:rFonts w:ascii="Calibri" w:hAnsi="Calibri" w:cs="Calibri"/>
          <w:sz w:val="24"/>
          <w:szCs w:val="24"/>
        </w:rPr>
        <w:t>4</w:t>
      </w:r>
      <w:r w:rsidRPr="00CD3174">
        <w:rPr>
          <w:rFonts w:ascii="Calibri" w:hAnsi="Calibri" w:cs="Calibri"/>
          <w:sz w:val="24"/>
          <w:szCs w:val="24"/>
        </w:rPr>
        <w:t>.</w:t>
      </w:r>
      <w:r w:rsidR="00987E13">
        <w:rPr>
          <w:rFonts w:ascii="Calibri" w:hAnsi="Calibri" w:cs="Calibri"/>
          <w:sz w:val="24"/>
          <w:szCs w:val="24"/>
        </w:rPr>
        <w:t>842</w:t>
      </w:r>
      <w:r w:rsidRPr="00CD3174">
        <w:rPr>
          <w:rFonts w:ascii="Calibri" w:hAnsi="Calibri" w:cs="Calibri"/>
          <w:sz w:val="24"/>
          <w:szCs w:val="24"/>
        </w:rPr>
        <w:t xml:space="preserve"> mil </w:t>
      </w:r>
      <w:r w:rsidR="00987E13">
        <w:rPr>
          <w:rFonts w:ascii="Calibri" w:hAnsi="Calibri" w:cs="Calibri"/>
          <w:sz w:val="24"/>
          <w:szCs w:val="24"/>
        </w:rPr>
        <w:t>no 1º trimestre de 2019</w:t>
      </w:r>
      <w:r w:rsidRPr="00CD3174">
        <w:rPr>
          <w:rFonts w:ascii="Calibri" w:hAnsi="Calibri" w:cs="Calibri"/>
          <w:sz w:val="24"/>
          <w:szCs w:val="24"/>
        </w:rPr>
        <w:t xml:space="preserve">) e valor médio mensal foi de R$ </w:t>
      </w:r>
      <w:r w:rsidR="00987E13">
        <w:rPr>
          <w:rFonts w:ascii="Calibri" w:hAnsi="Calibri" w:cs="Calibri"/>
          <w:sz w:val="24"/>
          <w:szCs w:val="24"/>
        </w:rPr>
        <w:t>1</w:t>
      </w:r>
      <w:r w:rsidRPr="00CD3174">
        <w:rPr>
          <w:rFonts w:ascii="Calibri" w:hAnsi="Calibri" w:cs="Calibri"/>
          <w:sz w:val="24"/>
          <w:szCs w:val="24"/>
        </w:rPr>
        <w:t>.</w:t>
      </w:r>
      <w:r w:rsidR="00987E13">
        <w:rPr>
          <w:rFonts w:ascii="Calibri" w:hAnsi="Calibri" w:cs="Calibri"/>
          <w:sz w:val="24"/>
          <w:szCs w:val="24"/>
        </w:rPr>
        <w:t>881</w:t>
      </w:r>
      <w:r w:rsidRPr="00CD3174">
        <w:rPr>
          <w:rFonts w:ascii="Calibri" w:hAnsi="Calibri" w:cs="Calibri"/>
          <w:sz w:val="24"/>
          <w:szCs w:val="24"/>
        </w:rPr>
        <w:t xml:space="preserve"> mil (R$ </w:t>
      </w:r>
      <w:r w:rsidR="00987E13">
        <w:rPr>
          <w:rFonts w:ascii="Calibri" w:hAnsi="Calibri" w:cs="Calibri"/>
          <w:sz w:val="24"/>
          <w:szCs w:val="24"/>
        </w:rPr>
        <w:t>1</w:t>
      </w:r>
      <w:r w:rsidRPr="00CD3174">
        <w:rPr>
          <w:rFonts w:ascii="Calibri" w:hAnsi="Calibri" w:cs="Calibri"/>
          <w:sz w:val="24"/>
          <w:szCs w:val="24"/>
        </w:rPr>
        <w:t>.</w:t>
      </w:r>
      <w:r w:rsidR="00987E13">
        <w:rPr>
          <w:rFonts w:ascii="Calibri" w:hAnsi="Calibri" w:cs="Calibri"/>
          <w:sz w:val="24"/>
          <w:szCs w:val="24"/>
        </w:rPr>
        <w:t>614</w:t>
      </w:r>
      <w:r w:rsidRPr="00CD3174">
        <w:rPr>
          <w:rFonts w:ascii="Calibri" w:hAnsi="Calibri" w:cs="Calibri"/>
          <w:sz w:val="24"/>
          <w:szCs w:val="24"/>
        </w:rPr>
        <w:t xml:space="preserve"> mil </w:t>
      </w:r>
      <w:r w:rsidR="00987E13">
        <w:rPr>
          <w:rFonts w:ascii="Calibri" w:hAnsi="Calibri" w:cs="Calibri"/>
          <w:sz w:val="24"/>
          <w:szCs w:val="24"/>
        </w:rPr>
        <w:t>no primeiro trimestre de 2019</w:t>
      </w:r>
      <w:r w:rsidRPr="00CD3174">
        <w:rPr>
          <w:rFonts w:ascii="Calibri" w:hAnsi="Calibri" w:cs="Calibri"/>
          <w:sz w:val="24"/>
          <w:szCs w:val="24"/>
        </w:rPr>
        <w:t>).</w:t>
      </w:r>
    </w:p>
    <w:p w:rsidR="00386840" w:rsidRDefault="00386840" w:rsidP="00386840">
      <w:pPr>
        <w:jc w:val="both"/>
        <w:rPr>
          <w:rFonts w:ascii="Calibri" w:hAnsi="Calibri" w:cs="Calibri"/>
          <w:sz w:val="24"/>
          <w:szCs w:val="24"/>
        </w:rPr>
      </w:pPr>
    </w:p>
    <w:p w:rsidR="00DD1114" w:rsidRPr="00CD3174" w:rsidRDefault="00DD1114"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DC1BB0">
        <w:rPr>
          <w:rFonts w:ascii="Calibri" w:hAnsi="Calibri" w:cs="Calibri"/>
          <w:b/>
          <w:sz w:val="24"/>
          <w:szCs w:val="24"/>
        </w:rPr>
        <w:lastRenderedPageBreak/>
        <w:t>Transações com o INEA</w:t>
      </w:r>
      <w:r>
        <w:rPr>
          <w:rFonts w:ascii="Calibri" w:hAnsi="Calibri" w:cs="Calibri"/>
          <w:b/>
          <w:sz w:val="24"/>
          <w:szCs w:val="24"/>
        </w:rPr>
        <w:t xml:space="preserve">: </w:t>
      </w:r>
      <w:r>
        <w:rPr>
          <w:rFonts w:ascii="Calibri" w:hAnsi="Calibri" w:cs="Calibri"/>
          <w:sz w:val="24"/>
          <w:szCs w:val="24"/>
        </w:rPr>
        <w:t xml:space="preserve">A CDRJ celebrou o Termo de Convênio nº 120/2012 com o Instituto Estadual do Ambiente – INEA, visando ações de despoluição da Praia de Sepetiba. Após o término do contrato, o INEA realizou prestação de contas e pleiteou aditivo com fins de utilização do saldo de R$ 1.200 mil, que deveria ser restituído à CDRJ. A Diretoria Executiva da CDRJ rejeitou a proposta e determinou a cobrança. Até o encerramento do </w:t>
      </w:r>
      <w:r w:rsidR="00987E13">
        <w:rPr>
          <w:rFonts w:ascii="Calibri" w:hAnsi="Calibri" w:cs="Calibri"/>
          <w:sz w:val="24"/>
          <w:szCs w:val="24"/>
        </w:rPr>
        <w:t>1º trimestre de 2020</w:t>
      </w:r>
      <w:r>
        <w:rPr>
          <w:rFonts w:ascii="Calibri" w:hAnsi="Calibri" w:cs="Calibri"/>
          <w:sz w:val="24"/>
          <w:szCs w:val="24"/>
        </w:rPr>
        <w:t>, permanecia em aberto o valor a receber do ente.</w:t>
      </w:r>
    </w:p>
    <w:p w:rsidR="00386840" w:rsidRPr="00CD3174" w:rsidRDefault="00386840" w:rsidP="00386840">
      <w:pPr>
        <w:jc w:val="both"/>
        <w:rPr>
          <w:rFonts w:ascii="Calibri" w:hAnsi="Calibri" w:cs="Calibri"/>
          <w:sz w:val="24"/>
          <w:szCs w:val="24"/>
        </w:rPr>
      </w:pPr>
    </w:p>
    <w:p w:rsidR="00386840" w:rsidRDefault="00386840" w:rsidP="00386840">
      <w:pPr>
        <w:jc w:val="both"/>
        <w:rPr>
          <w:rFonts w:ascii="Calibri" w:hAnsi="Calibri" w:cs="Calibri"/>
          <w:sz w:val="24"/>
          <w:szCs w:val="24"/>
        </w:rPr>
      </w:pPr>
      <w:r w:rsidRPr="00DC1BB0">
        <w:rPr>
          <w:rFonts w:ascii="Calibri" w:hAnsi="Calibri" w:cs="Calibri"/>
          <w:b/>
          <w:sz w:val="24"/>
          <w:szCs w:val="24"/>
        </w:rPr>
        <w:t>Transações com o Município do Rio de Janeiro</w:t>
      </w:r>
      <w:r>
        <w:rPr>
          <w:rFonts w:ascii="Calibri" w:hAnsi="Calibri" w:cs="Calibri"/>
          <w:b/>
          <w:sz w:val="24"/>
          <w:szCs w:val="24"/>
        </w:rPr>
        <w:t xml:space="preserve">: </w:t>
      </w:r>
      <w:r>
        <w:rPr>
          <w:rFonts w:ascii="Calibri" w:hAnsi="Calibri" w:cs="Calibri"/>
          <w:sz w:val="24"/>
          <w:szCs w:val="24"/>
        </w:rPr>
        <w:t xml:space="preserve">A CDRJ possui saldo a receber referente à indenização por desapropriação administrativa de imóveis declarados de utilidade pública, ocorrida no exercício de 2014. O saldo a receber em </w:t>
      </w:r>
      <w:r w:rsidR="00987E13">
        <w:rPr>
          <w:rFonts w:ascii="Calibri" w:hAnsi="Calibri" w:cs="Calibri"/>
          <w:sz w:val="24"/>
          <w:szCs w:val="24"/>
        </w:rPr>
        <w:t>31/03/2020</w:t>
      </w:r>
      <w:r>
        <w:rPr>
          <w:rFonts w:ascii="Calibri" w:hAnsi="Calibri" w:cs="Calibri"/>
          <w:sz w:val="24"/>
          <w:szCs w:val="24"/>
        </w:rPr>
        <w:t xml:space="preserve"> era de R$ </w:t>
      </w:r>
      <w:r w:rsidR="00987E13">
        <w:rPr>
          <w:rFonts w:ascii="Calibri" w:hAnsi="Calibri" w:cs="Calibri"/>
          <w:sz w:val="24"/>
          <w:szCs w:val="24"/>
        </w:rPr>
        <w:t>48</w:t>
      </w:r>
      <w:r>
        <w:rPr>
          <w:rFonts w:ascii="Calibri" w:hAnsi="Calibri" w:cs="Calibri"/>
          <w:sz w:val="24"/>
          <w:szCs w:val="24"/>
        </w:rPr>
        <w:t>.</w:t>
      </w:r>
      <w:r w:rsidR="00987E13">
        <w:rPr>
          <w:rFonts w:ascii="Calibri" w:hAnsi="Calibri" w:cs="Calibri"/>
          <w:sz w:val="24"/>
          <w:szCs w:val="24"/>
        </w:rPr>
        <w:t>033</w:t>
      </w:r>
      <w:r>
        <w:rPr>
          <w:rFonts w:ascii="Calibri" w:hAnsi="Calibri" w:cs="Calibri"/>
          <w:sz w:val="24"/>
          <w:szCs w:val="24"/>
        </w:rPr>
        <w:t xml:space="preserve"> mil (R$ 47.</w:t>
      </w:r>
      <w:r w:rsidR="00987E13">
        <w:rPr>
          <w:rFonts w:ascii="Calibri" w:hAnsi="Calibri" w:cs="Calibri"/>
          <w:sz w:val="24"/>
          <w:szCs w:val="24"/>
        </w:rPr>
        <w:t>360</w:t>
      </w:r>
      <w:r>
        <w:rPr>
          <w:rFonts w:ascii="Calibri" w:hAnsi="Calibri" w:cs="Calibri"/>
          <w:sz w:val="24"/>
          <w:szCs w:val="24"/>
        </w:rPr>
        <w:t xml:space="preserve"> em 201</w:t>
      </w:r>
      <w:r w:rsidR="00987E13">
        <w:rPr>
          <w:rFonts w:ascii="Calibri" w:hAnsi="Calibri" w:cs="Calibri"/>
          <w:sz w:val="24"/>
          <w:szCs w:val="24"/>
        </w:rPr>
        <w:t>9</w:t>
      </w:r>
      <w:r>
        <w:rPr>
          <w:rFonts w:ascii="Calibri" w:hAnsi="Calibri" w:cs="Calibri"/>
          <w:sz w:val="24"/>
          <w:szCs w:val="24"/>
        </w:rPr>
        <w:t>).</w:t>
      </w:r>
    </w:p>
    <w:p w:rsidR="00386840" w:rsidRPr="00CD3174" w:rsidRDefault="00386840" w:rsidP="00386840">
      <w:pPr>
        <w:jc w:val="both"/>
        <w:rPr>
          <w:rFonts w:ascii="Calibri" w:hAnsi="Calibri" w:cs="Calibri"/>
          <w:sz w:val="24"/>
          <w:szCs w:val="24"/>
        </w:rPr>
      </w:pPr>
    </w:p>
    <w:p w:rsidR="00386840" w:rsidRPr="00CD3174" w:rsidRDefault="00386840" w:rsidP="00386840">
      <w:pPr>
        <w:jc w:val="both"/>
        <w:rPr>
          <w:rFonts w:ascii="Calibri" w:hAnsi="Calibri" w:cs="Calibri"/>
          <w:sz w:val="24"/>
          <w:szCs w:val="24"/>
        </w:rPr>
      </w:pPr>
      <w:r w:rsidRPr="00DC1BB0">
        <w:rPr>
          <w:rFonts w:ascii="Calibri" w:hAnsi="Calibri" w:cs="Calibri"/>
          <w:b/>
          <w:sz w:val="24"/>
          <w:szCs w:val="24"/>
        </w:rPr>
        <w:t>Outras transações</w:t>
      </w:r>
      <w:r>
        <w:rPr>
          <w:rFonts w:ascii="Calibri" w:hAnsi="Calibri" w:cs="Calibri"/>
          <w:b/>
          <w:sz w:val="24"/>
          <w:szCs w:val="24"/>
        </w:rPr>
        <w:t xml:space="preserve">: </w:t>
      </w:r>
      <w:r w:rsidRPr="00CD3174">
        <w:rPr>
          <w:rFonts w:ascii="Calibri" w:hAnsi="Calibri" w:cs="Calibri"/>
          <w:sz w:val="24"/>
          <w:szCs w:val="24"/>
        </w:rPr>
        <w:t>A CDRJ mantém transações no curso de suas operações com outras entidades governamentais, como o Banco do Brasil, Caixa Econômica Federal</w:t>
      </w:r>
      <w:r>
        <w:rPr>
          <w:rFonts w:ascii="Calibri" w:hAnsi="Calibri" w:cs="Calibri"/>
          <w:sz w:val="24"/>
          <w:szCs w:val="24"/>
        </w:rPr>
        <w:t>,</w:t>
      </w:r>
      <w:r w:rsidRPr="00CD3174">
        <w:rPr>
          <w:rFonts w:ascii="Calibri" w:hAnsi="Calibri" w:cs="Calibri"/>
          <w:sz w:val="24"/>
          <w:szCs w:val="24"/>
        </w:rPr>
        <w:t xml:space="preserve"> Empresa Brasil de Comunicações</w:t>
      </w:r>
      <w:r>
        <w:rPr>
          <w:rFonts w:ascii="Calibri" w:hAnsi="Calibri" w:cs="Calibri"/>
          <w:sz w:val="24"/>
          <w:szCs w:val="24"/>
        </w:rPr>
        <w:t xml:space="preserve"> – EBC, Companhia Docas do Pará – CDP e Empresa Gerencial de Projetos Navais – EMGEPRON.</w:t>
      </w:r>
    </w:p>
    <w:p w:rsidR="00D414A4" w:rsidRPr="00CD3174" w:rsidRDefault="00D414A4" w:rsidP="00386840">
      <w:pPr>
        <w:jc w:val="both"/>
        <w:rPr>
          <w:rFonts w:ascii="Calibri" w:hAnsi="Calibri" w:cs="Calibri"/>
          <w:sz w:val="24"/>
          <w:szCs w:val="24"/>
        </w:rPr>
      </w:pPr>
    </w:p>
    <w:p w:rsidR="00386840" w:rsidRDefault="00386840" w:rsidP="00386840">
      <w:pPr>
        <w:jc w:val="both"/>
        <w:rPr>
          <w:rFonts w:ascii="Calibri" w:hAnsi="Calibri" w:cs="Calibri"/>
          <w:b/>
          <w:sz w:val="24"/>
          <w:szCs w:val="24"/>
        </w:rPr>
      </w:pPr>
      <w:r w:rsidRPr="00DC1BB0">
        <w:rPr>
          <w:rFonts w:ascii="Calibri" w:hAnsi="Calibri" w:cs="Calibri"/>
          <w:b/>
          <w:sz w:val="24"/>
          <w:szCs w:val="24"/>
        </w:rPr>
        <w:t>Remuneração de empregados e dirigentes (valores expressos em Reais):</w:t>
      </w:r>
    </w:p>
    <w:p w:rsidR="00386840" w:rsidRPr="00DC1BB0" w:rsidRDefault="00386840" w:rsidP="00386840">
      <w:pPr>
        <w:jc w:val="both"/>
        <w:rPr>
          <w:rFonts w:ascii="Calibri" w:hAnsi="Calibri" w:cs="Calibri"/>
          <w:b/>
          <w:sz w:val="24"/>
          <w:szCs w:val="24"/>
        </w:rPr>
      </w:pPr>
    </w:p>
    <w:p w:rsidR="00386840" w:rsidRDefault="00386840" w:rsidP="00386840">
      <w:pPr>
        <w:jc w:val="both"/>
        <w:rPr>
          <w:rFonts w:ascii="Calibri" w:hAnsi="Calibri" w:cs="Calibri"/>
          <w:sz w:val="24"/>
          <w:szCs w:val="24"/>
        </w:rPr>
      </w:pPr>
      <w:r w:rsidRPr="00CD3174">
        <w:rPr>
          <w:rFonts w:ascii="Calibri" w:hAnsi="Calibri" w:cs="Calibri"/>
          <w:sz w:val="24"/>
          <w:szCs w:val="24"/>
        </w:rPr>
        <w:t>Custos com remunerações e outros benefícios atribuídos aos membros da diretoria:</w:t>
      </w:r>
    </w:p>
    <w:p w:rsidR="00386840" w:rsidRPr="00CD3174" w:rsidRDefault="00386840" w:rsidP="00386840">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421"/>
        <w:gridCol w:w="4394"/>
        <w:gridCol w:w="1559"/>
        <w:gridCol w:w="1559"/>
      </w:tblGrid>
      <w:tr w:rsidR="00386840" w:rsidRPr="00CD3174" w:rsidTr="00ED5D19">
        <w:tc>
          <w:tcPr>
            <w:tcW w:w="4815" w:type="dxa"/>
            <w:gridSpan w:val="2"/>
          </w:tcPr>
          <w:p w:rsidR="00386840" w:rsidRPr="00CD3174" w:rsidRDefault="00386840" w:rsidP="00697525">
            <w:pPr>
              <w:jc w:val="center"/>
              <w:rPr>
                <w:rFonts w:ascii="Calibri" w:hAnsi="Calibri" w:cs="Calibri"/>
                <w:sz w:val="24"/>
                <w:szCs w:val="24"/>
              </w:rPr>
            </w:pPr>
          </w:p>
        </w:tc>
        <w:tc>
          <w:tcPr>
            <w:tcW w:w="1559" w:type="dxa"/>
          </w:tcPr>
          <w:p w:rsidR="00386840" w:rsidRPr="00ED5D19" w:rsidRDefault="00987E13" w:rsidP="00987E13">
            <w:pPr>
              <w:jc w:val="center"/>
              <w:rPr>
                <w:rFonts w:ascii="Calibri" w:hAnsi="Calibri" w:cs="Calibri"/>
                <w:b/>
                <w:sz w:val="24"/>
                <w:szCs w:val="24"/>
              </w:rPr>
            </w:pPr>
            <w:r>
              <w:rPr>
                <w:rFonts w:ascii="Calibri" w:hAnsi="Calibri" w:cs="Calibri"/>
                <w:b/>
                <w:sz w:val="24"/>
                <w:szCs w:val="24"/>
              </w:rPr>
              <w:t>31/03/</w:t>
            </w:r>
            <w:r w:rsidR="00386840" w:rsidRPr="00ED5D19">
              <w:rPr>
                <w:rFonts w:ascii="Calibri" w:hAnsi="Calibri" w:cs="Calibri"/>
                <w:b/>
                <w:sz w:val="24"/>
                <w:szCs w:val="24"/>
              </w:rPr>
              <w:t>20</w:t>
            </w:r>
            <w:r>
              <w:rPr>
                <w:rFonts w:ascii="Calibri" w:hAnsi="Calibri" w:cs="Calibri"/>
                <w:b/>
                <w:sz w:val="24"/>
                <w:szCs w:val="24"/>
              </w:rPr>
              <w:t>20</w:t>
            </w:r>
          </w:p>
        </w:tc>
        <w:tc>
          <w:tcPr>
            <w:tcW w:w="1559" w:type="dxa"/>
          </w:tcPr>
          <w:p w:rsidR="00386840" w:rsidRPr="00ED5D19" w:rsidRDefault="00987E13" w:rsidP="00697525">
            <w:pPr>
              <w:jc w:val="center"/>
              <w:rPr>
                <w:rFonts w:ascii="Calibri" w:hAnsi="Calibri" w:cs="Calibri"/>
                <w:b/>
                <w:sz w:val="24"/>
                <w:szCs w:val="24"/>
              </w:rPr>
            </w:pPr>
            <w:r>
              <w:rPr>
                <w:rFonts w:ascii="Calibri" w:hAnsi="Calibri" w:cs="Calibri"/>
                <w:b/>
                <w:sz w:val="24"/>
                <w:szCs w:val="24"/>
              </w:rPr>
              <w:t>31/03/2019</w:t>
            </w:r>
          </w:p>
        </w:tc>
      </w:tr>
      <w:tr w:rsidR="00386840" w:rsidRPr="00CD3174" w:rsidTr="00ED5D19">
        <w:tc>
          <w:tcPr>
            <w:tcW w:w="4815" w:type="dxa"/>
            <w:gridSpan w:val="2"/>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Benefícios de Curto Prazo</w:t>
            </w:r>
          </w:p>
        </w:tc>
        <w:tc>
          <w:tcPr>
            <w:tcW w:w="1559" w:type="dxa"/>
          </w:tcPr>
          <w:p w:rsidR="00386840" w:rsidRPr="00CD3174" w:rsidRDefault="00386840" w:rsidP="00697525">
            <w:pPr>
              <w:jc w:val="right"/>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Honorários, benefícios e encargos</w:t>
            </w:r>
          </w:p>
        </w:tc>
        <w:tc>
          <w:tcPr>
            <w:tcW w:w="1559" w:type="dxa"/>
          </w:tcPr>
          <w:p w:rsidR="00386840" w:rsidRPr="00CD3174" w:rsidRDefault="00BA6DDB" w:rsidP="00697525">
            <w:pPr>
              <w:jc w:val="right"/>
              <w:rPr>
                <w:rFonts w:ascii="Calibri" w:hAnsi="Calibri" w:cs="Calibri"/>
                <w:sz w:val="24"/>
                <w:szCs w:val="24"/>
              </w:rPr>
            </w:pPr>
            <w:r>
              <w:rPr>
                <w:rFonts w:ascii="Calibri" w:hAnsi="Calibri" w:cs="Calibri"/>
                <w:sz w:val="24"/>
                <w:szCs w:val="24"/>
              </w:rPr>
              <w:t>1.202.160,03</w:t>
            </w:r>
          </w:p>
        </w:tc>
        <w:tc>
          <w:tcPr>
            <w:tcW w:w="1559" w:type="dxa"/>
          </w:tcPr>
          <w:p w:rsidR="00386840" w:rsidRPr="00CD3174" w:rsidRDefault="00BA6DDB" w:rsidP="00697525">
            <w:pPr>
              <w:jc w:val="right"/>
              <w:rPr>
                <w:rFonts w:ascii="Calibri" w:hAnsi="Calibri" w:cs="Calibri"/>
                <w:sz w:val="24"/>
                <w:szCs w:val="24"/>
              </w:rPr>
            </w:pPr>
            <w:r>
              <w:rPr>
                <w:rFonts w:ascii="Calibri" w:hAnsi="Calibri" w:cs="Calibri"/>
                <w:sz w:val="24"/>
                <w:szCs w:val="24"/>
              </w:rPr>
              <w:t>548.983,40</w:t>
            </w: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Remuneração variável</w:t>
            </w:r>
          </w:p>
        </w:tc>
        <w:tc>
          <w:tcPr>
            <w:tcW w:w="1559" w:type="dxa"/>
          </w:tcPr>
          <w:p w:rsidR="00386840" w:rsidRPr="00CD3174" w:rsidRDefault="00BA6DDB" w:rsidP="00697525">
            <w:pPr>
              <w:jc w:val="right"/>
              <w:rPr>
                <w:rFonts w:ascii="Calibri" w:hAnsi="Calibri" w:cs="Calibri"/>
                <w:sz w:val="24"/>
                <w:szCs w:val="24"/>
              </w:rPr>
            </w:pPr>
            <w:r>
              <w:rPr>
                <w:rFonts w:ascii="Calibri" w:hAnsi="Calibri" w:cs="Calibri"/>
                <w:sz w:val="24"/>
                <w:szCs w:val="24"/>
              </w:rPr>
              <w:t>265.829,31</w:t>
            </w:r>
          </w:p>
        </w:tc>
        <w:tc>
          <w:tcPr>
            <w:tcW w:w="1559" w:type="dxa"/>
          </w:tcPr>
          <w:p w:rsidR="00386840" w:rsidRPr="00CD3174" w:rsidRDefault="00BA6DDB" w:rsidP="00BA6DDB">
            <w:pPr>
              <w:jc w:val="right"/>
              <w:rPr>
                <w:rFonts w:ascii="Calibri" w:hAnsi="Calibri" w:cs="Calibri"/>
                <w:sz w:val="24"/>
                <w:szCs w:val="24"/>
              </w:rPr>
            </w:pPr>
            <w:r>
              <w:rPr>
                <w:rFonts w:ascii="Calibri" w:hAnsi="Calibri" w:cs="Calibri"/>
                <w:sz w:val="24"/>
                <w:szCs w:val="24"/>
              </w:rPr>
              <w:t>88.520,46</w:t>
            </w: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r>
      <w:tr w:rsidR="00386840" w:rsidRPr="00CD3174" w:rsidTr="00ED5D19">
        <w:tc>
          <w:tcPr>
            <w:tcW w:w="4815" w:type="dxa"/>
            <w:gridSpan w:val="2"/>
          </w:tcPr>
          <w:p w:rsidR="00386840" w:rsidRPr="00CD3174" w:rsidRDefault="00386840" w:rsidP="00ED5D19">
            <w:pPr>
              <w:jc w:val="both"/>
              <w:rPr>
                <w:rFonts w:ascii="Calibri" w:hAnsi="Calibri" w:cs="Calibri"/>
                <w:sz w:val="24"/>
                <w:szCs w:val="24"/>
              </w:rPr>
            </w:pPr>
            <w:r w:rsidRPr="00CD3174">
              <w:rPr>
                <w:rFonts w:ascii="Calibri" w:hAnsi="Calibri" w:cs="Calibri"/>
                <w:sz w:val="24"/>
                <w:szCs w:val="24"/>
              </w:rPr>
              <w:t xml:space="preserve">Benefícios </w:t>
            </w:r>
            <w:r w:rsidR="00ED5D19">
              <w:rPr>
                <w:rFonts w:ascii="Calibri" w:hAnsi="Calibri" w:cs="Calibri"/>
                <w:sz w:val="24"/>
                <w:szCs w:val="24"/>
              </w:rPr>
              <w:t>P</w:t>
            </w:r>
            <w:r w:rsidRPr="00CD3174">
              <w:rPr>
                <w:rFonts w:ascii="Calibri" w:hAnsi="Calibri" w:cs="Calibri"/>
                <w:sz w:val="24"/>
                <w:szCs w:val="24"/>
              </w:rPr>
              <w:t>ós</w:t>
            </w:r>
            <w:r w:rsidR="00ED5D19">
              <w:rPr>
                <w:rFonts w:ascii="Calibri" w:hAnsi="Calibri" w:cs="Calibri"/>
                <w:sz w:val="24"/>
                <w:szCs w:val="24"/>
              </w:rPr>
              <w:t xml:space="preserve"> E</w:t>
            </w:r>
            <w:r w:rsidRPr="00CD3174">
              <w:rPr>
                <w:rFonts w:ascii="Calibri" w:hAnsi="Calibri" w:cs="Calibri"/>
                <w:sz w:val="24"/>
                <w:szCs w:val="24"/>
              </w:rPr>
              <w:t>mprego</w:t>
            </w:r>
          </w:p>
        </w:tc>
        <w:tc>
          <w:tcPr>
            <w:tcW w:w="1559" w:type="dxa"/>
          </w:tcPr>
          <w:p w:rsidR="00386840" w:rsidRPr="00CD3174" w:rsidRDefault="00386840" w:rsidP="00697525">
            <w:pPr>
              <w:jc w:val="right"/>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Remuneração compensatória - quarentena</w:t>
            </w:r>
          </w:p>
        </w:tc>
        <w:tc>
          <w:tcPr>
            <w:tcW w:w="1559" w:type="dxa"/>
          </w:tcPr>
          <w:p w:rsidR="00386840" w:rsidRPr="00CD3174" w:rsidRDefault="00BA6DDB" w:rsidP="00697525">
            <w:pPr>
              <w:jc w:val="right"/>
              <w:rPr>
                <w:rFonts w:ascii="Calibri" w:hAnsi="Calibri" w:cs="Calibri"/>
                <w:sz w:val="24"/>
                <w:szCs w:val="24"/>
              </w:rPr>
            </w:pPr>
            <w:r>
              <w:rPr>
                <w:rFonts w:ascii="Calibri" w:hAnsi="Calibri" w:cs="Calibri"/>
                <w:sz w:val="24"/>
                <w:szCs w:val="24"/>
              </w:rPr>
              <w:t>0,00</w:t>
            </w:r>
          </w:p>
        </w:tc>
        <w:tc>
          <w:tcPr>
            <w:tcW w:w="1559" w:type="dxa"/>
          </w:tcPr>
          <w:p w:rsidR="00386840" w:rsidRPr="00CD3174" w:rsidRDefault="00CE6DF5" w:rsidP="00697525">
            <w:pPr>
              <w:jc w:val="right"/>
              <w:rPr>
                <w:rFonts w:ascii="Calibri" w:hAnsi="Calibri" w:cs="Calibri"/>
                <w:sz w:val="24"/>
                <w:szCs w:val="24"/>
              </w:rPr>
            </w:pPr>
            <w:r>
              <w:rPr>
                <w:rFonts w:ascii="Calibri" w:hAnsi="Calibri" w:cs="Calibri"/>
                <w:sz w:val="24"/>
                <w:szCs w:val="24"/>
              </w:rPr>
              <w:t>0,00</w:t>
            </w: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r>
      <w:tr w:rsidR="00386840" w:rsidRPr="00CD3174" w:rsidTr="00ED5D19">
        <w:tc>
          <w:tcPr>
            <w:tcW w:w="4815" w:type="dxa"/>
            <w:gridSpan w:val="2"/>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Benefícios de Rescisão de Contrato de Trabalho</w:t>
            </w:r>
          </w:p>
        </w:tc>
        <w:tc>
          <w:tcPr>
            <w:tcW w:w="1559" w:type="dxa"/>
          </w:tcPr>
          <w:p w:rsidR="00386840" w:rsidRPr="00CD3174" w:rsidRDefault="00386840" w:rsidP="00697525">
            <w:pPr>
              <w:jc w:val="right"/>
              <w:rPr>
                <w:rFonts w:ascii="Calibri" w:hAnsi="Calibri" w:cs="Calibri"/>
                <w:sz w:val="24"/>
                <w:szCs w:val="24"/>
              </w:rPr>
            </w:pPr>
          </w:p>
        </w:tc>
        <w:tc>
          <w:tcPr>
            <w:tcW w:w="1559" w:type="dxa"/>
          </w:tcPr>
          <w:p w:rsidR="00386840" w:rsidRPr="00CD3174" w:rsidRDefault="00386840" w:rsidP="00697525">
            <w:pPr>
              <w:jc w:val="right"/>
              <w:rPr>
                <w:rFonts w:ascii="Calibri" w:hAnsi="Calibri" w:cs="Calibri"/>
                <w:sz w:val="24"/>
                <w:szCs w:val="24"/>
              </w:rPr>
            </w:pPr>
          </w:p>
        </w:tc>
      </w:tr>
      <w:tr w:rsidR="00386840" w:rsidRPr="00CD3174" w:rsidTr="00ED5D19">
        <w:tc>
          <w:tcPr>
            <w:tcW w:w="421" w:type="dxa"/>
          </w:tcPr>
          <w:p w:rsidR="00386840" w:rsidRPr="00CD3174" w:rsidRDefault="00386840" w:rsidP="00697525">
            <w:pPr>
              <w:jc w:val="both"/>
              <w:rPr>
                <w:rFonts w:ascii="Calibri" w:hAnsi="Calibri" w:cs="Calibri"/>
                <w:sz w:val="24"/>
                <w:szCs w:val="24"/>
              </w:rPr>
            </w:pPr>
          </w:p>
        </w:tc>
        <w:tc>
          <w:tcPr>
            <w:tcW w:w="4394"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Férias proporcionais e indenizadas</w:t>
            </w:r>
          </w:p>
        </w:tc>
        <w:tc>
          <w:tcPr>
            <w:tcW w:w="1559" w:type="dxa"/>
          </w:tcPr>
          <w:p w:rsidR="00386840" w:rsidRPr="00CD3174" w:rsidRDefault="00BA6DDB" w:rsidP="00697525">
            <w:pPr>
              <w:jc w:val="right"/>
              <w:rPr>
                <w:rFonts w:ascii="Calibri" w:hAnsi="Calibri" w:cs="Calibri"/>
                <w:sz w:val="24"/>
                <w:szCs w:val="24"/>
              </w:rPr>
            </w:pPr>
            <w:r>
              <w:rPr>
                <w:rFonts w:ascii="Calibri" w:hAnsi="Calibri" w:cs="Calibri"/>
                <w:sz w:val="24"/>
                <w:szCs w:val="24"/>
              </w:rPr>
              <w:t>0,00</w:t>
            </w:r>
          </w:p>
        </w:tc>
        <w:tc>
          <w:tcPr>
            <w:tcW w:w="1559" w:type="dxa"/>
          </w:tcPr>
          <w:p w:rsidR="00386840" w:rsidRPr="00CD3174" w:rsidRDefault="00BA6DDB" w:rsidP="00D414A4">
            <w:pPr>
              <w:jc w:val="right"/>
              <w:rPr>
                <w:rFonts w:ascii="Calibri" w:hAnsi="Calibri" w:cs="Calibri"/>
                <w:sz w:val="24"/>
                <w:szCs w:val="24"/>
              </w:rPr>
            </w:pPr>
            <w:r>
              <w:rPr>
                <w:rFonts w:ascii="Calibri" w:hAnsi="Calibri" w:cs="Calibri"/>
                <w:sz w:val="24"/>
                <w:szCs w:val="24"/>
              </w:rPr>
              <w:t>45,220,42</w:t>
            </w:r>
          </w:p>
        </w:tc>
      </w:tr>
    </w:tbl>
    <w:p w:rsidR="001C4695" w:rsidRDefault="001C4695" w:rsidP="00386840">
      <w:pPr>
        <w:jc w:val="both"/>
        <w:rPr>
          <w:rFonts w:ascii="Calibri" w:hAnsi="Calibri" w:cs="Calibri"/>
          <w:sz w:val="24"/>
          <w:szCs w:val="24"/>
        </w:rPr>
      </w:pPr>
    </w:p>
    <w:p w:rsidR="00386840" w:rsidRDefault="00386840" w:rsidP="00386840">
      <w:pPr>
        <w:jc w:val="both"/>
        <w:rPr>
          <w:rFonts w:ascii="Calibri" w:hAnsi="Calibri" w:cs="Calibri"/>
          <w:sz w:val="24"/>
          <w:szCs w:val="24"/>
        </w:rPr>
      </w:pPr>
      <w:r w:rsidRPr="00CD3174">
        <w:rPr>
          <w:rFonts w:ascii="Calibri" w:hAnsi="Calibri" w:cs="Calibri"/>
          <w:sz w:val="24"/>
          <w:szCs w:val="24"/>
        </w:rPr>
        <w:t>Custos com remunerações e outros benefícios atribuídos aos membros do Conselho de Administração, do Conselho Fiscal e do Comitê de Auditoria Estatutário:</w:t>
      </w:r>
    </w:p>
    <w:p w:rsidR="00386840" w:rsidRPr="00CD3174" w:rsidRDefault="00386840" w:rsidP="00386840">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3539"/>
        <w:gridCol w:w="1488"/>
        <w:gridCol w:w="1489"/>
      </w:tblGrid>
      <w:tr w:rsidR="00386840" w:rsidRPr="00CD3174" w:rsidTr="00ED5D19">
        <w:tc>
          <w:tcPr>
            <w:tcW w:w="3539" w:type="dxa"/>
          </w:tcPr>
          <w:p w:rsidR="00386840" w:rsidRPr="00CD3174" w:rsidRDefault="00386840" w:rsidP="00697525">
            <w:pPr>
              <w:jc w:val="both"/>
              <w:rPr>
                <w:rFonts w:ascii="Calibri" w:hAnsi="Calibri" w:cs="Calibri"/>
                <w:sz w:val="24"/>
                <w:szCs w:val="24"/>
              </w:rPr>
            </w:pPr>
          </w:p>
        </w:tc>
        <w:tc>
          <w:tcPr>
            <w:tcW w:w="1488" w:type="dxa"/>
          </w:tcPr>
          <w:p w:rsidR="00386840" w:rsidRPr="00ED5D19" w:rsidRDefault="00987E13" w:rsidP="00697525">
            <w:pPr>
              <w:jc w:val="center"/>
              <w:rPr>
                <w:rFonts w:ascii="Calibri" w:hAnsi="Calibri" w:cs="Calibri"/>
                <w:b/>
                <w:sz w:val="24"/>
                <w:szCs w:val="24"/>
              </w:rPr>
            </w:pPr>
            <w:r>
              <w:rPr>
                <w:rFonts w:ascii="Calibri" w:hAnsi="Calibri" w:cs="Calibri"/>
                <w:b/>
                <w:sz w:val="24"/>
                <w:szCs w:val="24"/>
              </w:rPr>
              <w:t>31/03/2020</w:t>
            </w:r>
          </w:p>
        </w:tc>
        <w:tc>
          <w:tcPr>
            <w:tcW w:w="1489" w:type="dxa"/>
          </w:tcPr>
          <w:p w:rsidR="00386840" w:rsidRPr="00ED5D19" w:rsidRDefault="00987E13" w:rsidP="00697525">
            <w:pPr>
              <w:jc w:val="center"/>
              <w:rPr>
                <w:rFonts w:ascii="Calibri" w:hAnsi="Calibri" w:cs="Calibri"/>
                <w:b/>
                <w:sz w:val="24"/>
                <w:szCs w:val="24"/>
              </w:rPr>
            </w:pPr>
            <w:r>
              <w:rPr>
                <w:rFonts w:ascii="Calibri" w:hAnsi="Calibri" w:cs="Calibri"/>
                <w:b/>
                <w:sz w:val="24"/>
                <w:szCs w:val="24"/>
              </w:rPr>
              <w:t>31/03/2019</w:t>
            </w:r>
          </w:p>
        </w:tc>
      </w:tr>
      <w:tr w:rsidR="00386840" w:rsidRPr="00CD3174" w:rsidTr="00ED5D19">
        <w:tc>
          <w:tcPr>
            <w:tcW w:w="3539"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Conselho de Administração</w:t>
            </w:r>
          </w:p>
        </w:tc>
        <w:tc>
          <w:tcPr>
            <w:tcW w:w="1488" w:type="dxa"/>
          </w:tcPr>
          <w:p w:rsidR="00386840" w:rsidRPr="00CD3174" w:rsidRDefault="001C10AE" w:rsidP="00697525">
            <w:pPr>
              <w:jc w:val="right"/>
              <w:rPr>
                <w:rFonts w:ascii="Calibri" w:hAnsi="Calibri" w:cs="Calibri"/>
                <w:sz w:val="24"/>
                <w:szCs w:val="24"/>
              </w:rPr>
            </w:pPr>
            <w:r>
              <w:rPr>
                <w:rFonts w:ascii="Calibri" w:hAnsi="Calibri" w:cs="Calibri"/>
                <w:sz w:val="24"/>
                <w:szCs w:val="24"/>
              </w:rPr>
              <w:t>67.345,74</w:t>
            </w:r>
          </w:p>
        </w:tc>
        <w:tc>
          <w:tcPr>
            <w:tcW w:w="1489" w:type="dxa"/>
          </w:tcPr>
          <w:p w:rsidR="00386840" w:rsidRPr="00CD3174" w:rsidRDefault="008E648C" w:rsidP="00697525">
            <w:pPr>
              <w:jc w:val="right"/>
              <w:rPr>
                <w:rFonts w:ascii="Calibri" w:hAnsi="Calibri" w:cs="Calibri"/>
                <w:sz w:val="24"/>
                <w:szCs w:val="24"/>
              </w:rPr>
            </w:pPr>
            <w:r>
              <w:rPr>
                <w:rFonts w:ascii="Calibri" w:hAnsi="Calibri" w:cs="Calibri"/>
                <w:sz w:val="24"/>
                <w:szCs w:val="24"/>
              </w:rPr>
              <w:t>78.570,03</w:t>
            </w:r>
          </w:p>
        </w:tc>
      </w:tr>
      <w:tr w:rsidR="00386840" w:rsidRPr="00CD3174" w:rsidTr="00ED5D19">
        <w:tc>
          <w:tcPr>
            <w:tcW w:w="3539"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Conselho Fiscal</w:t>
            </w:r>
          </w:p>
        </w:tc>
        <w:tc>
          <w:tcPr>
            <w:tcW w:w="1488" w:type="dxa"/>
          </w:tcPr>
          <w:p w:rsidR="00386840" w:rsidRPr="00CD3174" w:rsidRDefault="00DD1114" w:rsidP="00697525">
            <w:pPr>
              <w:jc w:val="right"/>
              <w:rPr>
                <w:rFonts w:ascii="Calibri" w:hAnsi="Calibri" w:cs="Calibri"/>
                <w:sz w:val="24"/>
                <w:szCs w:val="24"/>
              </w:rPr>
            </w:pPr>
            <w:r>
              <w:rPr>
                <w:rFonts w:ascii="Calibri" w:hAnsi="Calibri" w:cs="Calibri"/>
                <w:noProof/>
                <w:snapToGrid/>
                <w:sz w:val="24"/>
                <w:szCs w:val="24"/>
              </w:rPr>
              <mc:AlternateContent>
                <mc:Choice Requires="wps">
                  <w:drawing>
                    <wp:anchor distT="0" distB="0" distL="114300" distR="114300" simplePos="0" relativeHeight="251664896" behindDoc="0" locked="0" layoutInCell="1" allowOverlap="1">
                      <wp:simplePos x="0" y="0"/>
                      <wp:positionH relativeFrom="column">
                        <wp:posOffset>854710</wp:posOffset>
                      </wp:positionH>
                      <wp:positionV relativeFrom="paragraph">
                        <wp:posOffset>189230</wp:posOffset>
                      </wp:positionV>
                      <wp:extent cx="971550" cy="180975"/>
                      <wp:effectExtent l="0" t="0" r="19050" b="28575"/>
                      <wp:wrapNone/>
                      <wp:docPr id="6" name="Conector reto 6"/>
                      <wp:cNvGraphicFramePr/>
                      <a:graphic xmlns:a="http://schemas.openxmlformats.org/drawingml/2006/main">
                        <a:graphicData uri="http://schemas.microsoft.com/office/word/2010/wordprocessingShape">
                          <wps:wsp>
                            <wps:cNvCnPr/>
                            <wps:spPr>
                              <a:xfrm flipV="1">
                                <a:off x="0" y="0"/>
                                <a:ext cx="97155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6952F" id="Conector reto 6"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67.3pt,14.9pt" to="143.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" strokecolor="black [3213]" strokeweight=".5pt">
                      <v:stroke joinstyle="miter"/>
                    </v:line>
                  </w:pict>
                </mc:Fallback>
              </mc:AlternateContent>
            </w:r>
            <w:r w:rsidR="001C10AE">
              <w:rPr>
                <w:rFonts w:ascii="Calibri" w:hAnsi="Calibri" w:cs="Calibri"/>
                <w:sz w:val="24"/>
                <w:szCs w:val="24"/>
              </w:rPr>
              <w:t>29.931,44</w:t>
            </w:r>
          </w:p>
        </w:tc>
        <w:tc>
          <w:tcPr>
            <w:tcW w:w="1489" w:type="dxa"/>
          </w:tcPr>
          <w:p w:rsidR="00386840" w:rsidRPr="00CD3174" w:rsidRDefault="008E648C" w:rsidP="00697525">
            <w:pPr>
              <w:jc w:val="right"/>
              <w:rPr>
                <w:rFonts w:ascii="Calibri" w:hAnsi="Calibri" w:cs="Calibri"/>
                <w:sz w:val="24"/>
                <w:szCs w:val="24"/>
              </w:rPr>
            </w:pPr>
            <w:r>
              <w:rPr>
                <w:rFonts w:ascii="Calibri" w:hAnsi="Calibri" w:cs="Calibri"/>
                <w:sz w:val="24"/>
                <w:szCs w:val="24"/>
              </w:rPr>
              <w:t>52.380,02</w:t>
            </w:r>
          </w:p>
        </w:tc>
      </w:tr>
      <w:tr w:rsidR="00386840" w:rsidRPr="00CD3174" w:rsidTr="00ED5D19">
        <w:tc>
          <w:tcPr>
            <w:tcW w:w="3539"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Comitê de Auditoria Estatutário</w:t>
            </w:r>
          </w:p>
        </w:tc>
        <w:tc>
          <w:tcPr>
            <w:tcW w:w="1488" w:type="dxa"/>
          </w:tcPr>
          <w:p w:rsidR="00386840" w:rsidRPr="00CD3174" w:rsidRDefault="001C10AE" w:rsidP="00697525">
            <w:pPr>
              <w:jc w:val="right"/>
              <w:rPr>
                <w:rFonts w:ascii="Calibri" w:hAnsi="Calibri" w:cs="Calibri"/>
                <w:sz w:val="24"/>
                <w:szCs w:val="24"/>
              </w:rPr>
            </w:pPr>
            <w:r>
              <w:rPr>
                <w:rFonts w:ascii="Calibri" w:hAnsi="Calibri" w:cs="Calibri"/>
                <w:sz w:val="24"/>
                <w:szCs w:val="24"/>
              </w:rPr>
              <w:t>33.672,87</w:t>
            </w:r>
          </w:p>
        </w:tc>
        <w:tc>
          <w:tcPr>
            <w:tcW w:w="1489" w:type="dxa"/>
          </w:tcPr>
          <w:p w:rsidR="00386840" w:rsidRPr="00CD3174" w:rsidRDefault="00386840" w:rsidP="00697525">
            <w:pPr>
              <w:jc w:val="right"/>
              <w:rPr>
                <w:rFonts w:ascii="Calibri" w:hAnsi="Calibri" w:cs="Calibri"/>
                <w:sz w:val="24"/>
                <w:szCs w:val="24"/>
              </w:rPr>
            </w:pPr>
          </w:p>
        </w:tc>
      </w:tr>
    </w:tbl>
    <w:p w:rsidR="00386840" w:rsidRPr="00CD3174" w:rsidRDefault="00386840" w:rsidP="00386840">
      <w:pPr>
        <w:jc w:val="both"/>
        <w:rPr>
          <w:rFonts w:ascii="Calibri" w:hAnsi="Calibri" w:cs="Calibri"/>
          <w:sz w:val="24"/>
          <w:szCs w:val="24"/>
        </w:rPr>
      </w:pPr>
    </w:p>
    <w:p w:rsidR="00386840" w:rsidRDefault="00386840" w:rsidP="00386840">
      <w:pPr>
        <w:jc w:val="both"/>
        <w:rPr>
          <w:rFonts w:ascii="Calibri" w:hAnsi="Calibri" w:cs="Calibri"/>
          <w:sz w:val="24"/>
          <w:szCs w:val="24"/>
        </w:rPr>
      </w:pPr>
      <w:r w:rsidRPr="00CD3174">
        <w:rPr>
          <w:rFonts w:ascii="Calibri" w:hAnsi="Calibri" w:cs="Calibri"/>
          <w:sz w:val="24"/>
          <w:szCs w:val="24"/>
        </w:rPr>
        <w:t>Informações relativas às maiores e menores remunerações (salário fixo mensal, sem encargos) pagas aos diretores e aos empregados no exercício:</w:t>
      </w:r>
    </w:p>
    <w:p w:rsidR="00386840" w:rsidRPr="00CD3174" w:rsidRDefault="00386840" w:rsidP="00386840">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2547"/>
        <w:gridCol w:w="1486"/>
        <w:gridCol w:w="1487"/>
        <w:gridCol w:w="1487"/>
        <w:gridCol w:w="1487"/>
      </w:tblGrid>
      <w:tr w:rsidR="00386840" w:rsidRPr="00CD3174" w:rsidTr="00697525">
        <w:tc>
          <w:tcPr>
            <w:tcW w:w="2547" w:type="dxa"/>
          </w:tcPr>
          <w:p w:rsidR="00386840" w:rsidRPr="00CD3174" w:rsidRDefault="00386840" w:rsidP="00697525">
            <w:pPr>
              <w:jc w:val="both"/>
              <w:rPr>
                <w:rFonts w:ascii="Calibri" w:hAnsi="Calibri" w:cs="Calibri"/>
                <w:sz w:val="24"/>
                <w:szCs w:val="24"/>
              </w:rPr>
            </w:pPr>
          </w:p>
        </w:tc>
        <w:tc>
          <w:tcPr>
            <w:tcW w:w="2973" w:type="dxa"/>
            <w:gridSpan w:val="2"/>
          </w:tcPr>
          <w:p w:rsidR="00386840" w:rsidRPr="00ED5D19" w:rsidRDefault="00987E13" w:rsidP="00987E13">
            <w:pPr>
              <w:jc w:val="center"/>
              <w:rPr>
                <w:rFonts w:ascii="Calibri" w:hAnsi="Calibri" w:cs="Calibri"/>
                <w:b/>
                <w:sz w:val="24"/>
                <w:szCs w:val="24"/>
              </w:rPr>
            </w:pPr>
            <w:r>
              <w:rPr>
                <w:rFonts w:ascii="Calibri" w:hAnsi="Calibri" w:cs="Calibri"/>
                <w:b/>
                <w:sz w:val="24"/>
                <w:szCs w:val="24"/>
              </w:rPr>
              <w:t>31/03/</w:t>
            </w:r>
            <w:r w:rsidR="00386840" w:rsidRPr="00ED5D19">
              <w:rPr>
                <w:rFonts w:ascii="Calibri" w:hAnsi="Calibri" w:cs="Calibri"/>
                <w:b/>
                <w:sz w:val="24"/>
                <w:szCs w:val="24"/>
              </w:rPr>
              <w:t>20</w:t>
            </w:r>
            <w:r>
              <w:rPr>
                <w:rFonts w:ascii="Calibri" w:hAnsi="Calibri" w:cs="Calibri"/>
                <w:b/>
                <w:sz w:val="24"/>
                <w:szCs w:val="24"/>
              </w:rPr>
              <w:t>20</w:t>
            </w:r>
          </w:p>
        </w:tc>
        <w:tc>
          <w:tcPr>
            <w:tcW w:w="2974" w:type="dxa"/>
            <w:gridSpan w:val="2"/>
          </w:tcPr>
          <w:p w:rsidR="00386840" w:rsidRPr="00ED5D19" w:rsidRDefault="00987E13" w:rsidP="00697525">
            <w:pPr>
              <w:jc w:val="center"/>
              <w:rPr>
                <w:rFonts w:ascii="Calibri" w:hAnsi="Calibri" w:cs="Calibri"/>
                <w:b/>
                <w:sz w:val="24"/>
                <w:szCs w:val="24"/>
              </w:rPr>
            </w:pPr>
            <w:r>
              <w:rPr>
                <w:rFonts w:ascii="Calibri" w:hAnsi="Calibri" w:cs="Calibri"/>
                <w:b/>
                <w:sz w:val="24"/>
                <w:szCs w:val="24"/>
              </w:rPr>
              <w:t>31/03/2019</w:t>
            </w:r>
          </w:p>
        </w:tc>
      </w:tr>
      <w:tr w:rsidR="00386840" w:rsidRPr="00CD3174" w:rsidTr="00697525">
        <w:tc>
          <w:tcPr>
            <w:tcW w:w="2547" w:type="dxa"/>
          </w:tcPr>
          <w:p w:rsidR="00386840" w:rsidRPr="00CD3174" w:rsidRDefault="00386840" w:rsidP="00697525">
            <w:pPr>
              <w:jc w:val="both"/>
              <w:rPr>
                <w:rFonts w:ascii="Calibri" w:hAnsi="Calibri" w:cs="Calibri"/>
                <w:sz w:val="24"/>
                <w:szCs w:val="24"/>
              </w:rPr>
            </w:pPr>
          </w:p>
        </w:tc>
        <w:tc>
          <w:tcPr>
            <w:tcW w:w="1486" w:type="dxa"/>
          </w:tcPr>
          <w:p w:rsidR="00386840" w:rsidRPr="00CD3174" w:rsidRDefault="00386840" w:rsidP="00697525">
            <w:pPr>
              <w:jc w:val="center"/>
              <w:rPr>
                <w:rFonts w:ascii="Calibri" w:hAnsi="Calibri" w:cs="Calibri"/>
                <w:sz w:val="24"/>
                <w:szCs w:val="24"/>
              </w:rPr>
            </w:pPr>
            <w:r w:rsidRPr="00CD3174">
              <w:rPr>
                <w:rFonts w:ascii="Calibri" w:hAnsi="Calibri" w:cs="Calibri"/>
                <w:sz w:val="24"/>
                <w:szCs w:val="24"/>
              </w:rPr>
              <w:t>Diretores</w:t>
            </w:r>
          </w:p>
        </w:tc>
        <w:tc>
          <w:tcPr>
            <w:tcW w:w="1487" w:type="dxa"/>
          </w:tcPr>
          <w:p w:rsidR="00386840" w:rsidRPr="00CD3174" w:rsidRDefault="00386840" w:rsidP="00697525">
            <w:pPr>
              <w:jc w:val="center"/>
              <w:rPr>
                <w:rFonts w:ascii="Calibri" w:hAnsi="Calibri" w:cs="Calibri"/>
                <w:sz w:val="24"/>
                <w:szCs w:val="24"/>
              </w:rPr>
            </w:pPr>
            <w:r w:rsidRPr="00CD3174">
              <w:rPr>
                <w:rFonts w:ascii="Calibri" w:hAnsi="Calibri" w:cs="Calibri"/>
                <w:sz w:val="24"/>
                <w:szCs w:val="24"/>
              </w:rPr>
              <w:t>Empregados</w:t>
            </w:r>
          </w:p>
        </w:tc>
        <w:tc>
          <w:tcPr>
            <w:tcW w:w="1487" w:type="dxa"/>
          </w:tcPr>
          <w:p w:rsidR="00386840" w:rsidRPr="00CD3174" w:rsidRDefault="00386840" w:rsidP="00697525">
            <w:pPr>
              <w:jc w:val="center"/>
              <w:rPr>
                <w:rFonts w:ascii="Calibri" w:hAnsi="Calibri" w:cs="Calibri"/>
                <w:sz w:val="24"/>
                <w:szCs w:val="24"/>
              </w:rPr>
            </w:pPr>
            <w:r w:rsidRPr="00CD3174">
              <w:rPr>
                <w:rFonts w:ascii="Calibri" w:hAnsi="Calibri" w:cs="Calibri"/>
                <w:sz w:val="24"/>
                <w:szCs w:val="24"/>
              </w:rPr>
              <w:t>Diretores</w:t>
            </w:r>
          </w:p>
        </w:tc>
        <w:tc>
          <w:tcPr>
            <w:tcW w:w="1487" w:type="dxa"/>
          </w:tcPr>
          <w:p w:rsidR="00386840" w:rsidRPr="00CD3174" w:rsidRDefault="00386840" w:rsidP="00697525">
            <w:pPr>
              <w:jc w:val="center"/>
              <w:rPr>
                <w:rFonts w:ascii="Calibri" w:hAnsi="Calibri" w:cs="Calibri"/>
                <w:sz w:val="24"/>
                <w:szCs w:val="24"/>
              </w:rPr>
            </w:pPr>
            <w:r w:rsidRPr="00CD3174">
              <w:rPr>
                <w:rFonts w:ascii="Calibri" w:hAnsi="Calibri" w:cs="Calibri"/>
                <w:sz w:val="24"/>
                <w:szCs w:val="24"/>
              </w:rPr>
              <w:t>Empregados</w:t>
            </w:r>
          </w:p>
        </w:tc>
      </w:tr>
      <w:tr w:rsidR="00386840" w:rsidRPr="00CD3174" w:rsidTr="00697525">
        <w:tc>
          <w:tcPr>
            <w:tcW w:w="2547"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Maior Remuneração</w:t>
            </w:r>
          </w:p>
        </w:tc>
        <w:tc>
          <w:tcPr>
            <w:tcW w:w="1486" w:type="dxa"/>
          </w:tcPr>
          <w:p w:rsidR="00386840" w:rsidRPr="00CD3174" w:rsidRDefault="00BA6DDB" w:rsidP="00697525">
            <w:pPr>
              <w:jc w:val="right"/>
              <w:rPr>
                <w:rFonts w:ascii="Calibri" w:hAnsi="Calibri" w:cs="Calibri"/>
                <w:sz w:val="24"/>
                <w:szCs w:val="24"/>
              </w:rPr>
            </w:pPr>
            <w:r>
              <w:rPr>
                <w:rFonts w:ascii="Calibri" w:hAnsi="Calibri" w:cs="Calibri"/>
                <w:sz w:val="24"/>
                <w:szCs w:val="24"/>
              </w:rPr>
              <w:t>39.599,77</w:t>
            </w:r>
          </w:p>
        </w:tc>
        <w:tc>
          <w:tcPr>
            <w:tcW w:w="1487" w:type="dxa"/>
          </w:tcPr>
          <w:p w:rsidR="00386840" w:rsidRPr="00CD3174" w:rsidRDefault="00BA6DDB" w:rsidP="00697525">
            <w:pPr>
              <w:jc w:val="right"/>
              <w:rPr>
                <w:rFonts w:ascii="Calibri" w:hAnsi="Calibri" w:cs="Calibri"/>
                <w:sz w:val="24"/>
                <w:szCs w:val="24"/>
              </w:rPr>
            </w:pPr>
            <w:r>
              <w:rPr>
                <w:rFonts w:ascii="Calibri" w:hAnsi="Calibri" w:cs="Calibri"/>
                <w:sz w:val="24"/>
                <w:szCs w:val="24"/>
              </w:rPr>
              <w:t>58.229,31</w:t>
            </w:r>
          </w:p>
        </w:tc>
        <w:tc>
          <w:tcPr>
            <w:tcW w:w="1487" w:type="dxa"/>
          </w:tcPr>
          <w:p w:rsidR="00386840" w:rsidRPr="00CD3174" w:rsidRDefault="00E2060A" w:rsidP="00697525">
            <w:pPr>
              <w:jc w:val="right"/>
              <w:rPr>
                <w:rFonts w:ascii="Calibri" w:hAnsi="Calibri" w:cs="Calibri"/>
                <w:sz w:val="24"/>
                <w:szCs w:val="24"/>
              </w:rPr>
            </w:pPr>
            <w:r>
              <w:rPr>
                <w:rFonts w:ascii="Calibri" w:hAnsi="Calibri" w:cs="Calibri"/>
                <w:sz w:val="24"/>
                <w:szCs w:val="24"/>
              </w:rPr>
              <w:t>35.451,66</w:t>
            </w:r>
          </w:p>
        </w:tc>
        <w:tc>
          <w:tcPr>
            <w:tcW w:w="1487" w:type="dxa"/>
          </w:tcPr>
          <w:p w:rsidR="00386840" w:rsidRPr="00CD3174" w:rsidRDefault="00E2060A" w:rsidP="00697525">
            <w:pPr>
              <w:jc w:val="right"/>
              <w:rPr>
                <w:rFonts w:ascii="Calibri" w:hAnsi="Calibri" w:cs="Calibri"/>
                <w:sz w:val="24"/>
                <w:szCs w:val="24"/>
              </w:rPr>
            </w:pPr>
            <w:r>
              <w:rPr>
                <w:rFonts w:ascii="Calibri" w:hAnsi="Calibri" w:cs="Calibri"/>
                <w:sz w:val="24"/>
                <w:szCs w:val="24"/>
              </w:rPr>
              <w:t>67.066,40</w:t>
            </w:r>
          </w:p>
        </w:tc>
      </w:tr>
      <w:tr w:rsidR="00386840" w:rsidRPr="00CD3174" w:rsidTr="00697525">
        <w:tc>
          <w:tcPr>
            <w:tcW w:w="2547"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Menor Remuneração</w:t>
            </w:r>
          </w:p>
        </w:tc>
        <w:tc>
          <w:tcPr>
            <w:tcW w:w="1486" w:type="dxa"/>
          </w:tcPr>
          <w:p w:rsidR="00386840" w:rsidRPr="00CD3174" w:rsidRDefault="00BA6DDB" w:rsidP="00697525">
            <w:pPr>
              <w:jc w:val="right"/>
              <w:rPr>
                <w:rFonts w:ascii="Calibri" w:hAnsi="Calibri" w:cs="Calibri"/>
                <w:sz w:val="24"/>
                <w:szCs w:val="24"/>
              </w:rPr>
            </w:pPr>
            <w:r>
              <w:rPr>
                <w:rFonts w:ascii="Calibri" w:hAnsi="Calibri" w:cs="Calibri"/>
                <w:sz w:val="24"/>
                <w:szCs w:val="24"/>
              </w:rPr>
              <w:t>12.259,12</w:t>
            </w:r>
          </w:p>
        </w:tc>
        <w:tc>
          <w:tcPr>
            <w:tcW w:w="1487" w:type="dxa"/>
          </w:tcPr>
          <w:p w:rsidR="00386840" w:rsidRPr="00CD3174" w:rsidRDefault="00BA6DDB" w:rsidP="00697525">
            <w:pPr>
              <w:jc w:val="right"/>
              <w:rPr>
                <w:rFonts w:ascii="Calibri" w:hAnsi="Calibri" w:cs="Calibri"/>
                <w:sz w:val="24"/>
                <w:szCs w:val="24"/>
              </w:rPr>
            </w:pPr>
            <w:r>
              <w:rPr>
                <w:rFonts w:ascii="Calibri" w:hAnsi="Calibri" w:cs="Calibri"/>
                <w:sz w:val="24"/>
                <w:szCs w:val="24"/>
              </w:rPr>
              <w:t>1.522,79</w:t>
            </w:r>
          </w:p>
        </w:tc>
        <w:tc>
          <w:tcPr>
            <w:tcW w:w="1487" w:type="dxa"/>
          </w:tcPr>
          <w:p w:rsidR="00386840" w:rsidRPr="00CD3174" w:rsidRDefault="00E2060A" w:rsidP="00697525">
            <w:pPr>
              <w:jc w:val="right"/>
              <w:rPr>
                <w:rFonts w:ascii="Calibri" w:hAnsi="Calibri" w:cs="Calibri"/>
                <w:sz w:val="24"/>
                <w:szCs w:val="24"/>
              </w:rPr>
            </w:pPr>
            <w:r>
              <w:rPr>
                <w:rFonts w:ascii="Calibri" w:hAnsi="Calibri" w:cs="Calibri"/>
                <w:sz w:val="24"/>
                <w:szCs w:val="24"/>
              </w:rPr>
              <w:t>26.207,13</w:t>
            </w:r>
          </w:p>
        </w:tc>
        <w:tc>
          <w:tcPr>
            <w:tcW w:w="1487" w:type="dxa"/>
          </w:tcPr>
          <w:p w:rsidR="00386840" w:rsidRPr="00CD3174" w:rsidRDefault="00987E13" w:rsidP="00697525">
            <w:pPr>
              <w:jc w:val="right"/>
              <w:rPr>
                <w:rFonts w:ascii="Calibri" w:hAnsi="Calibri" w:cs="Calibri"/>
                <w:sz w:val="24"/>
                <w:szCs w:val="24"/>
              </w:rPr>
            </w:pPr>
            <w:r>
              <w:rPr>
                <w:rFonts w:ascii="Calibri" w:hAnsi="Calibri" w:cs="Calibri"/>
                <w:sz w:val="24"/>
                <w:szCs w:val="24"/>
              </w:rPr>
              <w:t>1.325,54</w:t>
            </w:r>
          </w:p>
        </w:tc>
      </w:tr>
      <w:tr w:rsidR="00386840" w:rsidRPr="00CD3174" w:rsidTr="00697525">
        <w:tc>
          <w:tcPr>
            <w:tcW w:w="2547" w:type="dxa"/>
          </w:tcPr>
          <w:p w:rsidR="00386840" w:rsidRPr="00CD3174" w:rsidRDefault="00386840" w:rsidP="00697525">
            <w:pPr>
              <w:jc w:val="both"/>
              <w:rPr>
                <w:rFonts w:ascii="Calibri" w:hAnsi="Calibri" w:cs="Calibri"/>
                <w:sz w:val="24"/>
                <w:szCs w:val="24"/>
              </w:rPr>
            </w:pPr>
            <w:r w:rsidRPr="00CD3174">
              <w:rPr>
                <w:rFonts w:ascii="Calibri" w:hAnsi="Calibri" w:cs="Calibri"/>
                <w:sz w:val="24"/>
                <w:szCs w:val="24"/>
              </w:rPr>
              <w:t>Remuneração Média</w:t>
            </w:r>
          </w:p>
        </w:tc>
        <w:tc>
          <w:tcPr>
            <w:tcW w:w="1486" w:type="dxa"/>
          </w:tcPr>
          <w:p w:rsidR="00386840" w:rsidRPr="00CD3174" w:rsidRDefault="00BA6DDB" w:rsidP="00697525">
            <w:pPr>
              <w:jc w:val="right"/>
              <w:rPr>
                <w:rFonts w:ascii="Calibri" w:hAnsi="Calibri" w:cs="Calibri"/>
                <w:sz w:val="24"/>
                <w:szCs w:val="24"/>
              </w:rPr>
            </w:pPr>
            <w:r>
              <w:rPr>
                <w:rFonts w:ascii="Calibri" w:hAnsi="Calibri" w:cs="Calibri"/>
                <w:sz w:val="24"/>
                <w:szCs w:val="24"/>
              </w:rPr>
              <w:t>30.774,28</w:t>
            </w:r>
          </w:p>
        </w:tc>
        <w:tc>
          <w:tcPr>
            <w:tcW w:w="1487" w:type="dxa"/>
          </w:tcPr>
          <w:p w:rsidR="00386840" w:rsidRPr="00CD3174" w:rsidRDefault="00BA6DDB" w:rsidP="00697525">
            <w:pPr>
              <w:jc w:val="right"/>
              <w:rPr>
                <w:rFonts w:ascii="Calibri" w:hAnsi="Calibri" w:cs="Calibri"/>
                <w:sz w:val="24"/>
                <w:szCs w:val="24"/>
              </w:rPr>
            </w:pPr>
            <w:r>
              <w:rPr>
                <w:rFonts w:ascii="Calibri" w:hAnsi="Calibri" w:cs="Calibri"/>
                <w:sz w:val="24"/>
                <w:szCs w:val="24"/>
              </w:rPr>
              <w:t>12.965,29</w:t>
            </w:r>
          </w:p>
        </w:tc>
        <w:tc>
          <w:tcPr>
            <w:tcW w:w="1487" w:type="dxa"/>
          </w:tcPr>
          <w:p w:rsidR="00386840" w:rsidRPr="00CD3174" w:rsidRDefault="008E648C" w:rsidP="00697525">
            <w:pPr>
              <w:jc w:val="right"/>
              <w:rPr>
                <w:rFonts w:ascii="Calibri" w:hAnsi="Calibri" w:cs="Calibri"/>
                <w:sz w:val="24"/>
                <w:szCs w:val="24"/>
              </w:rPr>
            </w:pPr>
            <w:r>
              <w:rPr>
                <w:rFonts w:ascii="Calibri" w:hAnsi="Calibri" w:cs="Calibri"/>
                <w:sz w:val="24"/>
                <w:szCs w:val="24"/>
              </w:rPr>
              <w:t>28.158,88</w:t>
            </w:r>
          </w:p>
        </w:tc>
        <w:tc>
          <w:tcPr>
            <w:tcW w:w="1487" w:type="dxa"/>
          </w:tcPr>
          <w:p w:rsidR="00386840" w:rsidRPr="00CD3174" w:rsidRDefault="00E2060A" w:rsidP="00697525">
            <w:pPr>
              <w:jc w:val="right"/>
              <w:rPr>
                <w:rFonts w:ascii="Calibri" w:hAnsi="Calibri" w:cs="Calibri"/>
                <w:sz w:val="24"/>
                <w:szCs w:val="24"/>
              </w:rPr>
            </w:pPr>
            <w:r>
              <w:rPr>
                <w:rFonts w:ascii="Calibri" w:hAnsi="Calibri" w:cs="Calibri"/>
                <w:sz w:val="24"/>
                <w:szCs w:val="24"/>
              </w:rPr>
              <w:t>12.350,46</w:t>
            </w:r>
          </w:p>
        </w:tc>
        <w:bookmarkStart w:id="0" w:name="_GoBack"/>
        <w:bookmarkEnd w:id="0"/>
      </w:tr>
    </w:tbl>
    <w:p w:rsidR="001D6E0F" w:rsidRPr="00312424" w:rsidRDefault="00BC4CB6" w:rsidP="001D6E0F">
      <w:pPr>
        <w:jc w:val="both"/>
        <w:rPr>
          <w:rFonts w:ascii="Calibri" w:hAnsi="Calibri" w:cs="Calibri"/>
          <w:b/>
          <w:sz w:val="24"/>
          <w:szCs w:val="24"/>
          <w:u w:val="single"/>
        </w:rPr>
      </w:pPr>
      <w:r>
        <w:rPr>
          <w:rFonts w:ascii="Calibri" w:hAnsi="Calibri" w:cs="Calibri"/>
          <w:b/>
          <w:sz w:val="24"/>
          <w:szCs w:val="24"/>
        </w:rPr>
        <w:lastRenderedPageBreak/>
        <w:t>29</w:t>
      </w:r>
      <w:r w:rsidR="001D6E0F" w:rsidRPr="00312424">
        <w:rPr>
          <w:rFonts w:ascii="Calibri" w:hAnsi="Calibri" w:cs="Calibri"/>
          <w:b/>
          <w:sz w:val="24"/>
          <w:szCs w:val="24"/>
        </w:rPr>
        <w:t xml:space="preserve"> – </w:t>
      </w:r>
      <w:r w:rsidR="001D6E0F">
        <w:rPr>
          <w:rFonts w:ascii="Calibri" w:hAnsi="Calibri" w:cs="Calibri"/>
          <w:b/>
          <w:sz w:val="24"/>
          <w:szCs w:val="24"/>
          <w:u w:val="single"/>
        </w:rPr>
        <w:t>EVENTOS SUBSEQUENTES – COVID 19</w:t>
      </w:r>
    </w:p>
    <w:p w:rsidR="001D6E0F" w:rsidRDefault="001D6E0F" w:rsidP="001D6E0F">
      <w:pPr>
        <w:ind w:left="1080" w:hanging="1080"/>
        <w:jc w:val="both"/>
        <w:rPr>
          <w:rFonts w:ascii="Calibri" w:hAnsi="Calibri" w:cs="Calibri"/>
          <w:b/>
          <w:sz w:val="24"/>
          <w:szCs w:val="24"/>
        </w:rPr>
      </w:pPr>
    </w:p>
    <w:p w:rsidR="001D6E0F" w:rsidRDefault="001D6E0F" w:rsidP="001D6E0F">
      <w:pPr>
        <w:jc w:val="both"/>
        <w:rPr>
          <w:rFonts w:ascii="Calibri" w:hAnsi="Calibri" w:cs="Calibri"/>
          <w:sz w:val="24"/>
          <w:szCs w:val="24"/>
        </w:rPr>
      </w:pPr>
      <w:r w:rsidRPr="001D6E0F">
        <w:rPr>
          <w:rFonts w:ascii="Calibri" w:hAnsi="Calibri" w:cs="Calibri"/>
          <w:sz w:val="24"/>
          <w:szCs w:val="24"/>
        </w:rPr>
        <w:t>Desde o final de fevereiro de 2020, o mundo vem passando pelo surto da doença chamada COVID-19 (</w:t>
      </w:r>
      <w:proofErr w:type="spellStart"/>
      <w:r w:rsidRPr="001D6E0F">
        <w:rPr>
          <w:rFonts w:ascii="Calibri" w:hAnsi="Calibri" w:cs="Calibri"/>
          <w:sz w:val="24"/>
          <w:szCs w:val="24"/>
        </w:rPr>
        <w:t>Coronavírus</w:t>
      </w:r>
      <w:proofErr w:type="spellEnd"/>
      <w:r w:rsidRPr="001D6E0F">
        <w:rPr>
          <w:rFonts w:ascii="Calibri" w:hAnsi="Calibri" w:cs="Calibri"/>
          <w:sz w:val="24"/>
          <w:szCs w:val="24"/>
        </w:rPr>
        <w:t>), classificada como Pandemia pela Organização Mundial de Saúde – OMS, onde eventuais efeitos produzidos pelas ações governamentais para conter sua disseminação poder</w:t>
      </w:r>
      <w:r>
        <w:rPr>
          <w:rFonts w:ascii="Calibri" w:hAnsi="Calibri" w:cs="Calibri"/>
          <w:sz w:val="24"/>
          <w:szCs w:val="24"/>
        </w:rPr>
        <w:t>ão</w:t>
      </w:r>
      <w:r w:rsidRPr="001D6E0F">
        <w:rPr>
          <w:rFonts w:ascii="Calibri" w:hAnsi="Calibri" w:cs="Calibri"/>
          <w:sz w:val="24"/>
          <w:szCs w:val="24"/>
        </w:rPr>
        <w:t xml:space="preserve"> impactar negativamente os negócios da Companhia e, consequentemente, suas demonstrações financeiras. </w:t>
      </w:r>
    </w:p>
    <w:p w:rsidR="001D6E0F" w:rsidRDefault="001D6E0F" w:rsidP="001D6E0F">
      <w:pPr>
        <w:jc w:val="both"/>
        <w:rPr>
          <w:rFonts w:ascii="Calibri" w:hAnsi="Calibri" w:cs="Calibri"/>
          <w:sz w:val="24"/>
          <w:szCs w:val="24"/>
        </w:rPr>
      </w:pPr>
    </w:p>
    <w:p w:rsidR="001D6E0F" w:rsidRPr="001D6E0F" w:rsidRDefault="001D6E0F" w:rsidP="001D6E0F">
      <w:pPr>
        <w:jc w:val="both"/>
        <w:rPr>
          <w:rFonts w:ascii="Calibri" w:hAnsi="Calibri" w:cs="Calibri"/>
          <w:sz w:val="24"/>
          <w:szCs w:val="24"/>
        </w:rPr>
      </w:pPr>
      <w:r w:rsidRPr="001D6E0F">
        <w:rPr>
          <w:rFonts w:ascii="Calibri" w:hAnsi="Calibri" w:cs="Calibri"/>
          <w:sz w:val="24"/>
          <w:szCs w:val="24"/>
        </w:rPr>
        <w:t>Nesse sentido, a Administração esclarece que, em consonância com o disposto no CPC 24 – Eventos Subsequentes e, diante das atuais informações e dados sobre essa pandemia e os potenciais impactos na atividade econômica global, não há como aferir nesse momento quais efeitos relevantes podem impactar as demonstrações financeiras, a continuidade dos negócios e/ou as estimativas contábeis mais significativas. Entretanto, a Companhia segue monitorando de forma diligente toda e qualquer informação a respeito do tema para que decisões tempestivas possam ser tomadas para minimizar seus reflexos.</w:t>
      </w:r>
    </w:p>
    <w:p w:rsidR="001D6E0F" w:rsidRDefault="001D6E0F" w:rsidP="00C13D42">
      <w:pPr>
        <w:ind w:left="1080" w:hanging="1080"/>
        <w:jc w:val="both"/>
        <w:rPr>
          <w:rFonts w:ascii="Calibri" w:hAnsi="Calibri" w:cs="Calibri"/>
          <w:b/>
          <w:sz w:val="24"/>
          <w:szCs w:val="24"/>
        </w:rPr>
      </w:pPr>
    </w:p>
    <w:p w:rsidR="00C16DDB" w:rsidRDefault="00C16DDB" w:rsidP="00C16DDB">
      <w:pPr>
        <w:jc w:val="both"/>
        <w:rPr>
          <w:rFonts w:ascii="Calibri" w:hAnsi="Calibri" w:cs="Calibri"/>
          <w:noProof/>
          <w:snapToGrid/>
          <w:sz w:val="24"/>
          <w:szCs w:val="24"/>
        </w:rPr>
      </w:pPr>
    </w:p>
    <w:p w:rsidR="008A71CD" w:rsidRPr="00312424" w:rsidRDefault="008A71CD" w:rsidP="00C16DDB">
      <w:pPr>
        <w:jc w:val="both"/>
        <w:rPr>
          <w:rFonts w:ascii="Calibri" w:hAnsi="Calibri" w:cs="Calibri"/>
          <w:noProof/>
          <w:snapToGrid/>
          <w:sz w:val="24"/>
          <w:szCs w:val="24"/>
        </w:rPr>
      </w:pPr>
    </w:p>
    <w:p w:rsidR="00C16DDB" w:rsidRPr="00312424" w:rsidRDefault="00C16DDB" w:rsidP="00C16DDB">
      <w:pPr>
        <w:jc w:val="both"/>
        <w:rPr>
          <w:rFonts w:ascii="Calibri" w:hAnsi="Calibri" w:cs="Calibri"/>
          <w:b/>
          <w:sz w:val="24"/>
          <w:szCs w:val="24"/>
        </w:rPr>
      </w:pPr>
    </w:p>
    <w:tbl>
      <w:tblPr>
        <w:tblW w:w="0" w:type="auto"/>
        <w:tblLayout w:type="fixed"/>
        <w:tblCellMar>
          <w:left w:w="70" w:type="dxa"/>
          <w:right w:w="70" w:type="dxa"/>
        </w:tblCellMar>
        <w:tblLook w:val="0000" w:firstRow="0" w:lastRow="0" w:firstColumn="0" w:lastColumn="0" w:noHBand="0" w:noVBand="0"/>
      </w:tblPr>
      <w:tblGrid>
        <w:gridCol w:w="3354"/>
        <w:gridCol w:w="3354"/>
        <w:gridCol w:w="3354"/>
      </w:tblGrid>
      <w:tr w:rsidR="00C16DDB" w:rsidRPr="00312424" w:rsidTr="00080319">
        <w:trPr>
          <w:trHeight w:hRule="exact" w:val="312"/>
        </w:trPr>
        <w:tc>
          <w:tcPr>
            <w:tcW w:w="3354" w:type="dxa"/>
            <w:vAlign w:val="center"/>
          </w:tcPr>
          <w:p w:rsidR="00C16DDB" w:rsidRPr="00312424" w:rsidRDefault="00915925" w:rsidP="00027744">
            <w:pPr>
              <w:spacing w:before="60"/>
              <w:jc w:val="center"/>
              <w:rPr>
                <w:rFonts w:ascii="Calibri" w:hAnsi="Calibri" w:cs="Calibri"/>
                <w:sz w:val="24"/>
                <w:szCs w:val="24"/>
                <w:highlight w:val="yellow"/>
              </w:rPr>
            </w:pPr>
            <w:r w:rsidRPr="00915925">
              <w:rPr>
                <w:rFonts w:ascii="Calibri" w:hAnsi="Calibri" w:cs="Calibri"/>
                <w:sz w:val="24"/>
                <w:szCs w:val="24"/>
              </w:rPr>
              <w:t>FRANCISCO A. M. LARANJEIRA</w:t>
            </w:r>
          </w:p>
        </w:tc>
        <w:tc>
          <w:tcPr>
            <w:tcW w:w="3354" w:type="dxa"/>
            <w:vAlign w:val="center"/>
          </w:tcPr>
          <w:p w:rsidR="00C16DDB" w:rsidRPr="00312424" w:rsidRDefault="000979AF" w:rsidP="00027744">
            <w:pPr>
              <w:spacing w:before="60"/>
              <w:jc w:val="center"/>
              <w:rPr>
                <w:rFonts w:ascii="Calibri" w:hAnsi="Calibri" w:cs="Calibri"/>
                <w:sz w:val="24"/>
                <w:szCs w:val="24"/>
              </w:rPr>
            </w:pPr>
            <w:r>
              <w:rPr>
                <w:rFonts w:ascii="Calibri" w:hAnsi="Calibri" w:cs="Calibri"/>
                <w:sz w:val="24"/>
                <w:szCs w:val="24"/>
              </w:rPr>
              <w:t>MÁRIO POVIA</w:t>
            </w:r>
          </w:p>
        </w:tc>
        <w:tc>
          <w:tcPr>
            <w:tcW w:w="3354" w:type="dxa"/>
            <w:vAlign w:val="center"/>
          </w:tcPr>
          <w:p w:rsidR="00C16DDB" w:rsidRPr="00312424" w:rsidRDefault="00BC2B38" w:rsidP="00027744">
            <w:pPr>
              <w:spacing w:before="60"/>
              <w:jc w:val="center"/>
              <w:rPr>
                <w:rFonts w:ascii="Calibri" w:hAnsi="Calibri" w:cs="Calibri"/>
                <w:sz w:val="24"/>
                <w:szCs w:val="24"/>
              </w:rPr>
            </w:pPr>
            <w:r>
              <w:rPr>
                <w:rFonts w:ascii="Calibri" w:hAnsi="Calibri" w:cs="Calibri"/>
                <w:sz w:val="24"/>
                <w:szCs w:val="24"/>
              </w:rPr>
              <w:t xml:space="preserve">JEAN </w:t>
            </w:r>
            <w:r w:rsidR="00C13146">
              <w:rPr>
                <w:rFonts w:ascii="Calibri" w:hAnsi="Calibri" w:cs="Calibri"/>
                <w:sz w:val="24"/>
                <w:szCs w:val="24"/>
              </w:rPr>
              <w:t>PAULO CASTRO E SILVA</w:t>
            </w:r>
          </w:p>
        </w:tc>
      </w:tr>
      <w:tr w:rsidR="00C16DDB" w:rsidRPr="00312424" w:rsidTr="00080319">
        <w:trPr>
          <w:trHeight w:hRule="exact" w:val="312"/>
        </w:trPr>
        <w:tc>
          <w:tcPr>
            <w:tcW w:w="3354" w:type="dxa"/>
            <w:vAlign w:val="center"/>
          </w:tcPr>
          <w:p w:rsidR="00C16DDB" w:rsidRPr="00312424" w:rsidRDefault="00C16DDB" w:rsidP="00027744">
            <w:pPr>
              <w:spacing w:before="60"/>
              <w:jc w:val="center"/>
              <w:rPr>
                <w:rFonts w:ascii="Calibri" w:hAnsi="Calibri" w:cs="Calibri"/>
                <w:sz w:val="24"/>
                <w:szCs w:val="24"/>
              </w:rPr>
            </w:pPr>
            <w:r w:rsidRPr="00312424">
              <w:rPr>
                <w:rFonts w:ascii="Calibri" w:hAnsi="Calibri" w:cs="Calibri"/>
                <w:sz w:val="24"/>
                <w:szCs w:val="24"/>
              </w:rPr>
              <w:t>DIRETOR – PRESIDENTE</w:t>
            </w:r>
          </w:p>
        </w:tc>
        <w:tc>
          <w:tcPr>
            <w:tcW w:w="3354" w:type="dxa"/>
            <w:vAlign w:val="center"/>
          </w:tcPr>
          <w:p w:rsidR="00C16DDB" w:rsidRPr="00312424" w:rsidRDefault="00C16DDB" w:rsidP="00027744">
            <w:pPr>
              <w:spacing w:before="60"/>
              <w:jc w:val="center"/>
              <w:rPr>
                <w:rFonts w:ascii="Calibri" w:hAnsi="Calibri" w:cs="Calibri"/>
                <w:sz w:val="24"/>
                <w:szCs w:val="24"/>
              </w:rPr>
            </w:pPr>
            <w:r w:rsidRPr="00312424">
              <w:rPr>
                <w:rFonts w:ascii="Calibri" w:hAnsi="Calibri" w:cs="Calibri"/>
                <w:sz w:val="24"/>
                <w:szCs w:val="24"/>
              </w:rPr>
              <w:t>DIRETOR</w:t>
            </w:r>
          </w:p>
        </w:tc>
        <w:tc>
          <w:tcPr>
            <w:tcW w:w="3354" w:type="dxa"/>
            <w:vAlign w:val="center"/>
          </w:tcPr>
          <w:p w:rsidR="00C16DDB" w:rsidRPr="00312424" w:rsidRDefault="00C16DDB" w:rsidP="00027744">
            <w:pPr>
              <w:spacing w:before="60"/>
              <w:jc w:val="center"/>
              <w:rPr>
                <w:rFonts w:ascii="Calibri" w:hAnsi="Calibri" w:cs="Calibri"/>
                <w:sz w:val="24"/>
                <w:szCs w:val="24"/>
              </w:rPr>
            </w:pPr>
            <w:r w:rsidRPr="00312424">
              <w:rPr>
                <w:rFonts w:ascii="Calibri" w:hAnsi="Calibri" w:cs="Calibri"/>
                <w:sz w:val="24"/>
                <w:szCs w:val="24"/>
              </w:rPr>
              <w:t>DIRETOR</w:t>
            </w:r>
          </w:p>
        </w:tc>
      </w:tr>
      <w:tr w:rsidR="00C16DDB" w:rsidRPr="00312424" w:rsidTr="00080319">
        <w:trPr>
          <w:trHeight w:hRule="exact" w:val="312"/>
        </w:trPr>
        <w:tc>
          <w:tcPr>
            <w:tcW w:w="3354" w:type="dxa"/>
            <w:vAlign w:val="center"/>
          </w:tcPr>
          <w:p w:rsidR="00C16DDB" w:rsidRPr="00312424" w:rsidRDefault="00C16DDB" w:rsidP="00915925">
            <w:pPr>
              <w:spacing w:before="60"/>
              <w:jc w:val="center"/>
              <w:rPr>
                <w:rFonts w:ascii="Calibri" w:hAnsi="Calibri" w:cs="Calibri"/>
                <w:sz w:val="24"/>
                <w:szCs w:val="24"/>
              </w:rPr>
            </w:pPr>
            <w:r w:rsidRPr="00312424">
              <w:rPr>
                <w:rFonts w:ascii="Calibri" w:hAnsi="Calibri" w:cs="Calibri"/>
                <w:sz w:val="24"/>
                <w:szCs w:val="24"/>
              </w:rPr>
              <w:t xml:space="preserve">CPF Nº </w:t>
            </w:r>
            <w:r w:rsidR="00915925">
              <w:rPr>
                <w:rFonts w:ascii="Calibri" w:hAnsi="Calibri" w:cs="Calibri"/>
                <w:sz w:val="24"/>
                <w:szCs w:val="24"/>
              </w:rPr>
              <w:t>332.852.767-20</w:t>
            </w:r>
          </w:p>
        </w:tc>
        <w:tc>
          <w:tcPr>
            <w:tcW w:w="3354" w:type="dxa"/>
            <w:vAlign w:val="center"/>
          </w:tcPr>
          <w:p w:rsidR="00C16DDB" w:rsidRPr="00312424" w:rsidRDefault="00C16DDB" w:rsidP="00E31747">
            <w:pPr>
              <w:spacing w:before="60"/>
              <w:jc w:val="center"/>
              <w:rPr>
                <w:rFonts w:ascii="Calibri" w:hAnsi="Calibri" w:cs="Calibri"/>
                <w:sz w:val="24"/>
                <w:szCs w:val="24"/>
              </w:rPr>
            </w:pPr>
            <w:r w:rsidRPr="00312424">
              <w:rPr>
                <w:rFonts w:ascii="Calibri" w:hAnsi="Calibri" w:cs="Calibri"/>
                <w:sz w:val="24"/>
                <w:szCs w:val="24"/>
              </w:rPr>
              <w:t xml:space="preserve">CPF Nº </w:t>
            </w:r>
            <w:r w:rsidR="00E31747">
              <w:rPr>
                <w:rFonts w:ascii="Calibri" w:hAnsi="Calibri" w:cs="Calibri"/>
                <w:sz w:val="24"/>
                <w:szCs w:val="24"/>
              </w:rPr>
              <w:t>052</w:t>
            </w:r>
            <w:r w:rsidRPr="00312424">
              <w:rPr>
                <w:rFonts w:ascii="Calibri" w:hAnsi="Calibri" w:cs="Calibri"/>
                <w:sz w:val="24"/>
                <w:szCs w:val="24"/>
              </w:rPr>
              <w:t>.</w:t>
            </w:r>
            <w:r w:rsidR="00E31747">
              <w:rPr>
                <w:rFonts w:ascii="Calibri" w:hAnsi="Calibri" w:cs="Calibri"/>
                <w:sz w:val="24"/>
                <w:szCs w:val="24"/>
              </w:rPr>
              <w:t>473</w:t>
            </w:r>
            <w:r w:rsidRPr="00312424">
              <w:rPr>
                <w:rFonts w:ascii="Calibri" w:hAnsi="Calibri" w:cs="Calibri"/>
                <w:sz w:val="24"/>
                <w:szCs w:val="24"/>
              </w:rPr>
              <w:t>.</w:t>
            </w:r>
            <w:r w:rsidR="00E31747">
              <w:rPr>
                <w:rFonts w:ascii="Calibri" w:hAnsi="Calibri" w:cs="Calibri"/>
                <w:sz w:val="24"/>
                <w:szCs w:val="24"/>
              </w:rPr>
              <w:t>918</w:t>
            </w:r>
            <w:r w:rsidRPr="00312424">
              <w:rPr>
                <w:rFonts w:ascii="Calibri" w:hAnsi="Calibri" w:cs="Calibri"/>
                <w:sz w:val="24"/>
                <w:szCs w:val="24"/>
              </w:rPr>
              <w:t>-</w:t>
            </w:r>
            <w:r w:rsidR="00E31747">
              <w:rPr>
                <w:rFonts w:ascii="Calibri" w:hAnsi="Calibri" w:cs="Calibri"/>
                <w:sz w:val="24"/>
                <w:szCs w:val="24"/>
              </w:rPr>
              <w:t>88</w:t>
            </w:r>
          </w:p>
        </w:tc>
        <w:tc>
          <w:tcPr>
            <w:tcW w:w="3354" w:type="dxa"/>
            <w:vAlign w:val="center"/>
          </w:tcPr>
          <w:p w:rsidR="00C16DDB" w:rsidRPr="00312424" w:rsidRDefault="00C16DDB" w:rsidP="001368B0">
            <w:pPr>
              <w:spacing w:before="60"/>
              <w:jc w:val="center"/>
              <w:rPr>
                <w:rFonts w:ascii="Calibri" w:hAnsi="Calibri" w:cs="Calibri"/>
                <w:sz w:val="24"/>
                <w:szCs w:val="24"/>
              </w:rPr>
            </w:pPr>
            <w:r w:rsidRPr="00312424">
              <w:rPr>
                <w:rFonts w:ascii="Calibri" w:hAnsi="Calibri" w:cs="Calibri"/>
                <w:sz w:val="24"/>
                <w:szCs w:val="24"/>
              </w:rPr>
              <w:t xml:space="preserve">CPF Nº </w:t>
            </w:r>
            <w:r w:rsidR="00C13146">
              <w:rPr>
                <w:rFonts w:ascii="Calibri" w:hAnsi="Calibri" w:cs="Calibri"/>
                <w:sz w:val="24"/>
                <w:szCs w:val="24"/>
              </w:rPr>
              <w:t>771.428.456-00</w:t>
            </w:r>
          </w:p>
        </w:tc>
      </w:tr>
    </w:tbl>
    <w:p w:rsidR="00C16DDB" w:rsidRPr="00312424" w:rsidRDefault="00C16DDB" w:rsidP="00C16DDB">
      <w:pPr>
        <w:rPr>
          <w:rFonts w:ascii="Calibri" w:hAnsi="Calibri" w:cs="Calibri"/>
          <w:sz w:val="24"/>
          <w:szCs w:val="24"/>
        </w:rPr>
      </w:pPr>
    </w:p>
    <w:p w:rsidR="00C16DDB" w:rsidRPr="00312424" w:rsidRDefault="00C16DDB" w:rsidP="00C16DDB">
      <w:pPr>
        <w:rPr>
          <w:rFonts w:ascii="Calibri" w:hAnsi="Calibri" w:cs="Calibri"/>
          <w:sz w:val="24"/>
          <w:szCs w:val="24"/>
        </w:rPr>
      </w:pPr>
    </w:p>
    <w:p w:rsidR="00B455BA" w:rsidRDefault="00B455BA" w:rsidP="00C16DDB">
      <w:pPr>
        <w:rPr>
          <w:rFonts w:ascii="Calibri" w:hAnsi="Calibri" w:cs="Calibri"/>
          <w:sz w:val="24"/>
          <w:szCs w:val="24"/>
        </w:rPr>
      </w:pPr>
    </w:p>
    <w:p w:rsidR="00C16DDB" w:rsidRPr="00312424" w:rsidRDefault="00C16DDB" w:rsidP="00C16DDB">
      <w:pPr>
        <w:rPr>
          <w:rFonts w:ascii="Calibri" w:hAnsi="Calibri" w:cs="Calibri"/>
          <w:sz w:val="24"/>
          <w:szCs w:val="24"/>
        </w:rPr>
      </w:pPr>
    </w:p>
    <w:tbl>
      <w:tblPr>
        <w:tblW w:w="10065" w:type="dxa"/>
        <w:tblInd w:w="-72" w:type="dxa"/>
        <w:tblLayout w:type="fixed"/>
        <w:tblCellMar>
          <w:left w:w="70" w:type="dxa"/>
          <w:right w:w="70" w:type="dxa"/>
        </w:tblCellMar>
        <w:tblLook w:val="0000" w:firstRow="0" w:lastRow="0" w:firstColumn="0" w:lastColumn="0" w:noHBand="0" w:noVBand="0"/>
      </w:tblPr>
      <w:tblGrid>
        <w:gridCol w:w="5103"/>
        <w:gridCol w:w="4962"/>
      </w:tblGrid>
      <w:tr w:rsidR="00C16DDB" w:rsidRPr="00312424" w:rsidTr="00080319">
        <w:trPr>
          <w:trHeight w:hRule="exact" w:val="312"/>
        </w:trPr>
        <w:tc>
          <w:tcPr>
            <w:tcW w:w="5103" w:type="dxa"/>
            <w:vAlign w:val="center"/>
          </w:tcPr>
          <w:p w:rsidR="00C16DDB" w:rsidRPr="00312424" w:rsidRDefault="000979AF" w:rsidP="00BB0BF0">
            <w:pPr>
              <w:spacing w:before="60"/>
              <w:jc w:val="center"/>
              <w:rPr>
                <w:rFonts w:ascii="Calibri" w:hAnsi="Calibri" w:cs="Calibri"/>
                <w:sz w:val="24"/>
                <w:szCs w:val="24"/>
              </w:rPr>
            </w:pPr>
            <w:r>
              <w:rPr>
                <w:rFonts w:ascii="Calibri" w:hAnsi="Calibri" w:cs="Calibri"/>
                <w:sz w:val="24"/>
                <w:szCs w:val="24"/>
              </w:rPr>
              <w:t>INDAL</w:t>
            </w:r>
            <w:r w:rsidR="00BB0BF0">
              <w:rPr>
                <w:rFonts w:ascii="Calibri" w:hAnsi="Calibri" w:cs="Calibri"/>
                <w:sz w:val="24"/>
                <w:szCs w:val="24"/>
              </w:rPr>
              <w:t>E</w:t>
            </w:r>
            <w:r>
              <w:rPr>
                <w:rFonts w:ascii="Calibri" w:hAnsi="Calibri" w:cs="Calibri"/>
                <w:sz w:val="24"/>
                <w:szCs w:val="24"/>
              </w:rPr>
              <w:t>CIO CASTILHO VILLA ALVAREZ</w:t>
            </w:r>
          </w:p>
        </w:tc>
        <w:tc>
          <w:tcPr>
            <w:tcW w:w="4962" w:type="dxa"/>
            <w:tcBorders>
              <w:left w:val="nil"/>
            </w:tcBorders>
            <w:vAlign w:val="center"/>
          </w:tcPr>
          <w:p w:rsidR="00C16DDB" w:rsidRPr="00312424" w:rsidRDefault="00340FB0" w:rsidP="00027744">
            <w:pPr>
              <w:spacing w:before="60"/>
              <w:jc w:val="center"/>
              <w:rPr>
                <w:rFonts w:ascii="Calibri" w:hAnsi="Calibri" w:cs="Calibri"/>
                <w:sz w:val="24"/>
                <w:szCs w:val="24"/>
              </w:rPr>
            </w:pPr>
            <w:r>
              <w:rPr>
                <w:rFonts w:ascii="Calibri" w:hAnsi="Calibri" w:cs="Calibri"/>
                <w:sz w:val="24"/>
                <w:szCs w:val="24"/>
              </w:rPr>
              <w:t>EDUARDO PIRES SOARES</w:t>
            </w:r>
          </w:p>
        </w:tc>
      </w:tr>
      <w:tr w:rsidR="00C16DDB" w:rsidRPr="00312424" w:rsidTr="00080319">
        <w:trPr>
          <w:trHeight w:hRule="exact" w:val="312"/>
        </w:trPr>
        <w:tc>
          <w:tcPr>
            <w:tcW w:w="5103" w:type="dxa"/>
            <w:vAlign w:val="center"/>
          </w:tcPr>
          <w:p w:rsidR="00C16DDB" w:rsidRPr="00312424" w:rsidRDefault="00C16DDB" w:rsidP="00027744">
            <w:pPr>
              <w:spacing w:before="60"/>
              <w:jc w:val="center"/>
              <w:rPr>
                <w:rFonts w:ascii="Calibri" w:hAnsi="Calibri" w:cs="Calibri"/>
                <w:sz w:val="24"/>
                <w:szCs w:val="24"/>
              </w:rPr>
            </w:pPr>
            <w:r w:rsidRPr="00312424">
              <w:rPr>
                <w:rFonts w:ascii="Calibri" w:hAnsi="Calibri" w:cs="Calibri"/>
                <w:sz w:val="24"/>
                <w:szCs w:val="24"/>
              </w:rPr>
              <w:t>DIRETOR</w:t>
            </w:r>
          </w:p>
        </w:tc>
        <w:tc>
          <w:tcPr>
            <w:tcW w:w="4962" w:type="dxa"/>
            <w:tcBorders>
              <w:left w:val="nil"/>
            </w:tcBorders>
            <w:vAlign w:val="center"/>
          </w:tcPr>
          <w:p w:rsidR="00C16DDB" w:rsidRPr="00312424" w:rsidRDefault="00340FB0" w:rsidP="00257002">
            <w:pPr>
              <w:spacing w:before="60"/>
              <w:jc w:val="center"/>
              <w:rPr>
                <w:rFonts w:ascii="Calibri" w:hAnsi="Calibri" w:cs="Calibri"/>
                <w:sz w:val="24"/>
                <w:szCs w:val="24"/>
              </w:rPr>
            </w:pPr>
            <w:r>
              <w:rPr>
                <w:rFonts w:ascii="Calibri" w:hAnsi="Calibri" w:cs="Calibri"/>
                <w:sz w:val="24"/>
                <w:szCs w:val="24"/>
              </w:rPr>
              <w:t xml:space="preserve">CONTADOR </w:t>
            </w:r>
            <w:r w:rsidR="00257002">
              <w:rPr>
                <w:rFonts w:ascii="Calibri" w:hAnsi="Calibri" w:cs="Calibri"/>
                <w:sz w:val="24"/>
                <w:szCs w:val="24"/>
              </w:rPr>
              <w:t xml:space="preserve">– </w:t>
            </w:r>
            <w:r>
              <w:rPr>
                <w:rFonts w:ascii="Calibri" w:hAnsi="Calibri" w:cs="Calibri"/>
                <w:sz w:val="24"/>
                <w:szCs w:val="24"/>
              </w:rPr>
              <w:t>CRC</w:t>
            </w:r>
            <w:r w:rsidR="003B2671">
              <w:rPr>
                <w:rFonts w:ascii="Calibri" w:hAnsi="Calibri" w:cs="Calibri"/>
                <w:sz w:val="24"/>
                <w:szCs w:val="24"/>
              </w:rPr>
              <w:t>/RJ</w:t>
            </w:r>
            <w:r w:rsidR="000979AF">
              <w:rPr>
                <w:rFonts w:ascii="Calibri" w:hAnsi="Calibri" w:cs="Calibri"/>
                <w:sz w:val="24"/>
                <w:szCs w:val="24"/>
              </w:rPr>
              <w:t xml:space="preserve"> 110913/O-6</w:t>
            </w:r>
          </w:p>
        </w:tc>
      </w:tr>
      <w:tr w:rsidR="00C16DDB" w:rsidRPr="00312424" w:rsidTr="00080319">
        <w:trPr>
          <w:trHeight w:hRule="exact" w:val="312"/>
        </w:trPr>
        <w:tc>
          <w:tcPr>
            <w:tcW w:w="5103" w:type="dxa"/>
            <w:vAlign w:val="center"/>
          </w:tcPr>
          <w:p w:rsidR="00C16DDB" w:rsidRPr="00312424" w:rsidRDefault="000979AF" w:rsidP="00027744">
            <w:pPr>
              <w:spacing w:before="60"/>
              <w:jc w:val="center"/>
              <w:rPr>
                <w:rFonts w:ascii="Calibri" w:hAnsi="Calibri" w:cs="Calibri"/>
                <w:sz w:val="24"/>
                <w:szCs w:val="24"/>
              </w:rPr>
            </w:pPr>
            <w:r>
              <w:rPr>
                <w:rFonts w:ascii="Calibri" w:hAnsi="Calibri" w:cs="Calibri"/>
                <w:sz w:val="24"/>
                <w:szCs w:val="24"/>
              </w:rPr>
              <w:t xml:space="preserve">CPF Nº </w:t>
            </w:r>
            <w:r w:rsidR="00BB0BF0">
              <w:rPr>
                <w:rFonts w:ascii="Calibri" w:hAnsi="Calibri" w:cs="Calibri"/>
                <w:sz w:val="24"/>
                <w:szCs w:val="24"/>
              </w:rPr>
              <w:t>370.592.387-00</w:t>
            </w:r>
          </w:p>
        </w:tc>
        <w:tc>
          <w:tcPr>
            <w:tcW w:w="4962" w:type="dxa"/>
            <w:tcBorders>
              <w:left w:val="nil"/>
            </w:tcBorders>
            <w:vAlign w:val="center"/>
          </w:tcPr>
          <w:p w:rsidR="00C16DDB" w:rsidRPr="00312424" w:rsidRDefault="00340FB0" w:rsidP="00027744">
            <w:pPr>
              <w:spacing w:before="60"/>
              <w:jc w:val="center"/>
              <w:rPr>
                <w:rFonts w:ascii="Calibri" w:hAnsi="Calibri" w:cs="Calibri"/>
                <w:sz w:val="24"/>
                <w:szCs w:val="24"/>
              </w:rPr>
            </w:pPr>
            <w:r>
              <w:rPr>
                <w:rFonts w:ascii="Calibri" w:hAnsi="Calibri" w:cs="Calibri"/>
                <w:sz w:val="24"/>
                <w:szCs w:val="24"/>
              </w:rPr>
              <w:t>CPF Nº 080.022.657-77</w:t>
            </w:r>
          </w:p>
        </w:tc>
      </w:tr>
    </w:tbl>
    <w:p w:rsidR="0069730B" w:rsidRPr="00312424" w:rsidRDefault="0069730B">
      <w:pPr>
        <w:rPr>
          <w:rFonts w:ascii="Calibri" w:hAnsi="Calibri" w:cs="Calibri"/>
          <w:sz w:val="24"/>
          <w:szCs w:val="24"/>
        </w:rPr>
        <w:sectPr w:rsidR="0069730B" w:rsidRPr="00312424" w:rsidSect="00B455BA">
          <w:headerReference w:type="default" r:id="rId16"/>
          <w:footerReference w:type="default" r:id="rId17"/>
          <w:headerReference w:type="first" r:id="rId18"/>
          <w:footerReference w:type="first" r:id="rId19"/>
          <w:pgSz w:w="11907" w:h="16840" w:code="9"/>
          <w:pgMar w:top="2268" w:right="851" w:bottom="680" w:left="1077" w:header="567" w:footer="454" w:gutter="0"/>
          <w:cols w:space="720"/>
          <w:docGrid w:linePitch="272"/>
        </w:sectPr>
      </w:pPr>
    </w:p>
    <w:p w:rsidR="00BD6B08" w:rsidRPr="00137FAC" w:rsidRDefault="00BD6B08" w:rsidP="00781D86">
      <w:pPr>
        <w:tabs>
          <w:tab w:val="left" w:pos="4758"/>
        </w:tabs>
        <w:rPr>
          <w:rFonts w:ascii="Calibri" w:hAnsi="Calibri" w:cs="Calibri"/>
          <w:sz w:val="24"/>
          <w:szCs w:val="24"/>
        </w:rPr>
      </w:pPr>
    </w:p>
    <w:sectPr w:rsidR="00BD6B08" w:rsidRPr="00137FAC" w:rsidSect="00781D86">
      <w:headerReference w:type="default" r:id="rId20"/>
      <w:footerReference w:type="default" r:id="rId21"/>
      <w:pgSz w:w="11907" w:h="16840" w:code="9"/>
      <w:pgMar w:top="851" w:right="851" w:bottom="1361" w:left="851" w:header="306" w:footer="79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A1" w:rsidRPr="00E936EC" w:rsidRDefault="00FE65A1">
      <w:pPr>
        <w:rPr>
          <w:sz w:val="18"/>
          <w:szCs w:val="18"/>
        </w:rPr>
      </w:pPr>
      <w:r w:rsidRPr="00E936EC">
        <w:rPr>
          <w:sz w:val="18"/>
          <w:szCs w:val="18"/>
        </w:rPr>
        <w:separator/>
      </w:r>
    </w:p>
  </w:endnote>
  <w:endnote w:type="continuationSeparator" w:id="0">
    <w:p w:rsidR="00FE65A1" w:rsidRPr="00E936EC" w:rsidRDefault="00FE65A1">
      <w:pPr>
        <w:rPr>
          <w:sz w:val="18"/>
          <w:szCs w:val="18"/>
        </w:rPr>
      </w:pPr>
      <w:r w:rsidRPr="00E936EC">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Rodap"/>
      <w:jc w:val="center"/>
      <w:rPr>
        <w:sz w:val="18"/>
        <w:szCs w:val="18"/>
      </w:rPr>
    </w:pPr>
    <w:r w:rsidRPr="00E936EC">
      <w:rPr>
        <w:sz w:val="18"/>
        <w:szCs w:val="18"/>
      </w:rPr>
      <w:fldChar w:fldCharType="begin"/>
    </w:r>
    <w:r w:rsidRPr="00E936EC">
      <w:rPr>
        <w:sz w:val="18"/>
        <w:szCs w:val="18"/>
      </w:rPr>
      <w:instrText xml:space="preserve"> PAGE   \* MERGEFORMAT </w:instrText>
    </w:r>
    <w:r w:rsidRPr="00E936EC">
      <w:rPr>
        <w:sz w:val="18"/>
        <w:szCs w:val="18"/>
      </w:rPr>
      <w:fldChar w:fldCharType="separate"/>
    </w:r>
    <w:r w:rsidR="00DD1114">
      <w:rPr>
        <w:noProof/>
        <w:sz w:val="18"/>
        <w:szCs w:val="18"/>
      </w:rPr>
      <w:t>20</w:t>
    </w:r>
    <w:r w:rsidRPr="00E936EC">
      <w:rPr>
        <w:sz w:val="18"/>
        <w:szCs w:val="18"/>
      </w:rPr>
      <w:fldChar w:fldCharType="end"/>
    </w:r>
  </w:p>
  <w:p w:rsidR="00BA6DDB" w:rsidRPr="00E936EC" w:rsidRDefault="00BA6DDB">
    <w:pPr>
      <w:pStyle w:val="Rodap"/>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Rodap"/>
      <w:jc w:val="center"/>
      <w:rPr>
        <w:sz w:val="18"/>
        <w:szCs w:val="18"/>
      </w:rPr>
    </w:pPr>
    <w:r w:rsidRPr="00E936EC">
      <w:rPr>
        <w:sz w:val="18"/>
        <w:szCs w:val="18"/>
      </w:rPr>
      <w:fldChar w:fldCharType="begin"/>
    </w:r>
    <w:r w:rsidRPr="00E936EC">
      <w:rPr>
        <w:sz w:val="18"/>
        <w:szCs w:val="18"/>
      </w:rPr>
      <w:instrText xml:space="preserve"> PAGE   \* MERGEFORMAT </w:instrText>
    </w:r>
    <w:r w:rsidRPr="00E936EC">
      <w:rPr>
        <w:sz w:val="18"/>
        <w:szCs w:val="18"/>
      </w:rPr>
      <w:fldChar w:fldCharType="separate"/>
    </w:r>
    <w:r>
      <w:rPr>
        <w:noProof/>
        <w:sz w:val="18"/>
        <w:szCs w:val="18"/>
      </w:rPr>
      <w:t>23</w:t>
    </w:r>
    <w:r w:rsidRPr="00E936EC">
      <w:rPr>
        <w:sz w:val="18"/>
        <w:szCs w:val="18"/>
      </w:rPr>
      <w:fldChar w:fldCharType="end"/>
    </w:r>
  </w:p>
  <w:p w:rsidR="00BA6DDB" w:rsidRDefault="00BA6DDB">
    <w:pPr>
      <w:pStyle w:val="Rodap"/>
      <w:rPr>
        <w:rFonts w:ascii="Arial" w:hAnsi="Arial" w:cs="Arial"/>
        <w:b/>
        <w:sz w:val="16"/>
        <w:szCs w:val="16"/>
      </w:rPr>
    </w:pPr>
  </w:p>
  <w:p w:rsidR="00BA6DDB" w:rsidRPr="00E936EC" w:rsidRDefault="00BA6DDB" w:rsidP="00027435">
    <w:pPr>
      <w:pStyle w:val="Rodap"/>
      <w:jc w:val="center"/>
      <w:rPr>
        <w:sz w:val="18"/>
        <w:szCs w:val="18"/>
      </w:rPr>
    </w:pPr>
    <w:r w:rsidRPr="00E936EC">
      <w:rPr>
        <w:rFonts w:ascii="Arial" w:hAnsi="Arial" w:cs="Arial"/>
        <w:b/>
        <w:sz w:val="16"/>
        <w:szCs w:val="16"/>
      </w:rPr>
      <w:t>As notas explicativas fazem parte das demonstrações contábeis.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Rodap"/>
      <w:jc w:val="center"/>
      <w:rPr>
        <w:sz w:val="18"/>
        <w:szCs w:val="18"/>
      </w:rPr>
    </w:pPr>
    <w:r w:rsidRPr="00E936EC">
      <w:rPr>
        <w:sz w:val="18"/>
        <w:szCs w:val="18"/>
      </w:rPr>
      <w:fldChar w:fldCharType="begin"/>
    </w:r>
    <w:r w:rsidRPr="00E936EC">
      <w:rPr>
        <w:sz w:val="18"/>
        <w:szCs w:val="18"/>
      </w:rPr>
      <w:instrText xml:space="preserve"> PAGE   \* MERGEFORMAT </w:instrText>
    </w:r>
    <w:r w:rsidRPr="00E936EC">
      <w:rPr>
        <w:sz w:val="18"/>
        <w:szCs w:val="18"/>
      </w:rPr>
      <w:fldChar w:fldCharType="separate"/>
    </w:r>
    <w:r w:rsidR="00DD1114">
      <w:rPr>
        <w:noProof/>
        <w:sz w:val="18"/>
        <w:szCs w:val="18"/>
      </w:rPr>
      <w:t>32</w:t>
    </w:r>
    <w:r w:rsidRPr="00E936EC">
      <w:rPr>
        <w:sz w:val="18"/>
        <w:szCs w:val="18"/>
      </w:rPr>
      <w:fldChar w:fldCharType="end"/>
    </w:r>
  </w:p>
  <w:p w:rsidR="00BA6DDB" w:rsidRPr="00E936EC" w:rsidRDefault="00BA6DDB">
    <w:pPr>
      <w:pStyle w:val="Rodap"/>
      <w:jc w:val="center"/>
      <w:rPr>
        <w:sz w:val="18"/>
        <w:szCs w:val="18"/>
      </w:rPr>
    </w:pPr>
  </w:p>
  <w:p w:rsidR="00BA6DDB" w:rsidRPr="00E936EC" w:rsidRDefault="00BA6DDB" w:rsidP="003E3C1A">
    <w:pPr>
      <w:pStyle w:val="Rodap"/>
      <w:jc w:val="center"/>
      <w:rPr>
        <w:rFonts w:ascii="Arial" w:hAnsi="Arial" w:cs="Arial"/>
        <w:b/>
        <w:sz w:val="16"/>
        <w:szCs w:val="16"/>
      </w:rPr>
    </w:pPr>
    <w:r w:rsidRPr="00E936EC">
      <w:rPr>
        <w:rFonts w:ascii="Arial" w:hAnsi="Arial" w:cs="Arial"/>
        <w:b/>
        <w:sz w:val="16"/>
        <w:szCs w:val="16"/>
      </w:rPr>
      <w:t>As notas explicativas fazem parte das demonstrações contábeis.</w:t>
    </w:r>
  </w:p>
  <w:p w:rsidR="00BA6DDB" w:rsidRPr="00E936EC" w:rsidRDefault="00BA6DDB" w:rsidP="00163699">
    <w:pPr>
      <w:pStyle w:val="Rodap"/>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A1" w:rsidRPr="00E936EC" w:rsidRDefault="00FE65A1">
      <w:pPr>
        <w:rPr>
          <w:sz w:val="18"/>
          <w:szCs w:val="18"/>
        </w:rPr>
      </w:pPr>
      <w:r w:rsidRPr="00E936EC">
        <w:rPr>
          <w:sz w:val="18"/>
          <w:szCs w:val="18"/>
        </w:rPr>
        <w:separator/>
      </w:r>
    </w:p>
  </w:footnote>
  <w:footnote w:type="continuationSeparator" w:id="0">
    <w:p w:rsidR="00FE65A1" w:rsidRPr="00E936EC" w:rsidRDefault="00FE65A1">
      <w:pPr>
        <w:rPr>
          <w:sz w:val="18"/>
          <w:szCs w:val="18"/>
        </w:rPr>
      </w:pPr>
      <w:r w:rsidRPr="00E936EC">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Cabealho"/>
      <w:rPr>
        <w:rFonts w:ascii="Arial" w:hAnsi="Arial"/>
        <w:sz w:val="19"/>
        <w:szCs w:val="19"/>
      </w:rPr>
    </w:pPr>
    <w:r w:rsidRPr="00E936EC">
      <w:rPr>
        <w:rFonts w:ascii="Arial" w:hAnsi="Arial"/>
        <w:noProof/>
        <w:snapToGrid/>
        <w:sz w:val="18"/>
        <w:szCs w:val="18"/>
      </w:rPr>
      <w:drawing>
        <wp:anchor distT="0" distB="0" distL="114300" distR="114300" simplePos="0" relativeHeight="251650560" behindDoc="0" locked="0" layoutInCell="0" allowOverlap="1">
          <wp:simplePos x="0" y="0"/>
          <wp:positionH relativeFrom="column">
            <wp:posOffset>745490</wp:posOffset>
          </wp:positionH>
          <wp:positionV relativeFrom="paragraph">
            <wp:posOffset>29210</wp:posOffset>
          </wp:positionV>
          <wp:extent cx="4813300" cy="915035"/>
          <wp:effectExtent l="0" t="0" r="0" b="0"/>
          <wp:wrapNone/>
          <wp:docPr id="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DDB" w:rsidRPr="00E936EC" w:rsidRDefault="00BA6DDB">
    <w:pPr>
      <w:pStyle w:val="Cabealho"/>
      <w:rPr>
        <w:rFonts w:ascii="Arial" w:hAnsi="Arial"/>
        <w:sz w:val="19"/>
        <w:szCs w:val="19"/>
      </w:rPr>
    </w:pPr>
  </w:p>
  <w:p w:rsidR="00BA6DDB" w:rsidRPr="00E936EC" w:rsidRDefault="00BA6DDB">
    <w:pPr>
      <w:pStyle w:val="Cabealho"/>
      <w:rPr>
        <w:rFonts w:ascii="Arial" w:hAnsi="Arial"/>
        <w:sz w:val="19"/>
        <w:szCs w:val="19"/>
      </w:rPr>
    </w:pPr>
  </w:p>
  <w:p w:rsidR="00BA6DDB" w:rsidRPr="00E936EC" w:rsidRDefault="00BA6DDB">
    <w:pPr>
      <w:pStyle w:val="Cabealho"/>
      <w:rPr>
        <w:rFonts w:ascii="Arial" w:hAnsi="Arial"/>
        <w:sz w:val="19"/>
        <w:szCs w:val="19"/>
      </w:rPr>
    </w:pPr>
  </w:p>
  <w:p w:rsidR="00BA6DDB" w:rsidRPr="00E936EC" w:rsidRDefault="00BA6DDB">
    <w:pPr>
      <w:pStyle w:val="Cabealho"/>
      <w:rPr>
        <w:rFonts w:ascii="Arial" w:hAnsi="Arial"/>
        <w:sz w:val="19"/>
        <w:szCs w:val="19"/>
      </w:rPr>
    </w:pPr>
    <w:r>
      <w:rPr>
        <w:rFonts w:ascii="Arial" w:hAnsi="Arial"/>
        <w:noProof/>
        <w:snapToGrid/>
        <w:sz w:val="18"/>
        <w:szCs w:val="18"/>
      </w:rPr>
      <mc:AlternateContent>
        <mc:Choice Requires="wps">
          <w:drawing>
            <wp:anchor distT="0" distB="0" distL="114300" distR="114300" simplePos="0" relativeHeight="251662848" behindDoc="0" locked="0" layoutInCell="0" allowOverlap="1">
              <wp:simplePos x="0" y="0"/>
              <wp:positionH relativeFrom="column">
                <wp:posOffset>3950335</wp:posOffset>
              </wp:positionH>
              <wp:positionV relativeFrom="paragraph">
                <wp:posOffset>274320</wp:posOffset>
              </wp:positionV>
              <wp:extent cx="1804670" cy="2286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228600"/>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3D511DA" id="Rectangle 19" o:spid="_x0000_s1026" style="position:absolute;margin-left:311.05pt;margin-top:21.6pt;width:142.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" o:allowincell="f" strokecolor="white" strokeweight="2.5pt">
              <v:shadow color="#868686"/>
            </v:rect>
          </w:pict>
        </mc:Fallback>
      </mc:AlternateContent>
    </w:r>
    <w:r>
      <w:rPr>
        <w:rFonts w:ascii="Arial" w:hAnsi="Arial"/>
        <w:noProof/>
        <w:snapToGrid/>
        <w:sz w:val="18"/>
        <w:szCs w:val="18"/>
      </w:rPr>
      <mc:AlternateContent>
        <mc:Choice Requires="wps">
          <w:drawing>
            <wp:anchor distT="0" distB="0" distL="114300" distR="114300" simplePos="0" relativeHeight="251661824" behindDoc="0" locked="0" layoutInCell="0" allowOverlap="1">
              <wp:simplePos x="0" y="0"/>
              <wp:positionH relativeFrom="column">
                <wp:posOffset>597535</wp:posOffset>
              </wp:positionH>
              <wp:positionV relativeFrom="paragraph">
                <wp:posOffset>274320</wp:posOffset>
              </wp:positionV>
              <wp:extent cx="1804670" cy="2286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228600"/>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CD717D0" id="Rectangle 18" o:spid="_x0000_s1026" style="position:absolute;margin-left:47.05pt;margin-top:21.6pt;width:142.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" o:allowincell="f" strokecolor="white" strokeweight="2.5pt">
              <v:shadow color="#868686"/>
            </v:rect>
          </w:pict>
        </mc:Fallback>
      </mc:AlternateContent>
    </w:r>
    <w:r>
      <w:rPr>
        <w:rFonts w:ascii="Arial" w:hAnsi="Arial"/>
        <w:noProof/>
        <w:snapToGrid/>
        <w:sz w:val="18"/>
        <w:szCs w:val="18"/>
      </w:rPr>
      <mc:AlternateContent>
        <mc:Choice Requires="wps">
          <w:drawing>
            <wp:anchor distT="0" distB="0" distL="114300" distR="114300" simplePos="0" relativeHeight="251660800" behindDoc="0" locked="0" layoutInCell="0" allowOverlap="1">
              <wp:simplePos x="0" y="0"/>
              <wp:positionH relativeFrom="column">
                <wp:posOffset>597535</wp:posOffset>
              </wp:positionH>
              <wp:positionV relativeFrom="paragraph">
                <wp:posOffset>274320</wp:posOffset>
              </wp:positionV>
              <wp:extent cx="1804670" cy="22860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436B55D" id="Rectangle 17" o:spid="_x0000_s1026" style="position:absolute;margin-left:47.05pt;margin-top:21.6pt;width:142.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" o:allowincell="f" filled="f" stroked="f" strokecolor="white" strokeweight="0"/>
          </w:pict>
        </mc:Fallback>
      </mc:AlternateContent>
    </w:r>
    <w:r w:rsidRPr="00E936EC">
      <w:rPr>
        <w:rFonts w:ascii="Arial" w:hAnsi="Arial"/>
        <w:noProof/>
        <w:snapToGrid/>
        <w:sz w:val="18"/>
        <w:szCs w:val="18"/>
      </w:rPr>
      <mc:AlternateContent>
        <mc:Choice Requires="wps">
          <w:drawing>
            <wp:anchor distT="0" distB="0" distL="114300" distR="114300" simplePos="0" relativeHeight="251649536" behindDoc="0" locked="0" layoutInCell="0" allowOverlap="1">
              <wp:simplePos x="0" y="0"/>
              <wp:positionH relativeFrom="column">
                <wp:posOffset>3894455</wp:posOffset>
              </wp:positionH>
              <wp:positionV relativeFrom="paragraph">
                <wp:posOffset>75565</wp:posOffset>
              </wp:positionV>
              <wp:extent cx="213487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67351CC"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65pt,5.95pt" to="474.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" o:allowincell="f" strokecolor="#36f" strokeweight="1.75pt"/>
          </w:pict>
        </mc:Fallback>
      </mc:AlternateContent>
    </w:r>
    <w:r w:rsidRPr="00E936EC">
      <w:rPr>
        <w:rFonts w:ascii="Arial" w:hAnsi="Arial"/>
        <w:noProof/>
        <w:snapToGrid/>
        <w:sz w:val="18"/>
        <w:szCs w:val="18"/>
      </w:rPr>
      <mc:AlternateContent>
        <mc:Choice Requires="wps">
          <w:drawing>
            <wp:anchor distT="0" distB="0" distL="114300" distR="114300" simplePos="0" relativeHeight="251648512" behindDoc="0" locked="0" layoutInCell="0" allowOverlap="1">
              <wp:simplePos x="0" y="0"/>
              <wp:positionH relativeFrom="column">
                <wp:posOffset>268605</wp:posOffset>
              </wp:positionH>
              <wp:positionV relativeFrom="paragraph">
                <wp:posOffset>86995</wp:posOffset>
              </wp:positionV>
              <wp:extent cx="2133600" cy="1270"/>
              <wp:effectExtent l="0" t="0" r="0" b="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717932C" id="Line 1"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6.85pt" to="189.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" o:allowincell="f" strokecolor="#36f" strokeweight="1.7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Cabealho"/>
      <w:rPr>
        <w:sz w:val="18"/>
        <w:szCs w:val="18"/>
      </w:rPr>
    </w:pPr>
    <w:r w:rsidRPr="00E936EC">
      <w:rPr>
        <w:noProof/>
        <w:snapToGrid/>
        <w:sz w:val="18"/>
        <w:szCs w:val="18"/>
      </w:rPr>
      <w:drawing>
        <wp:anchor distT="0" distB="0" distL="114300" distR="114300" simplePos="0" relativeHeight="251653632" behindDoc="0" locked="0" layoutInCell="0" allowOverlap="1">
          <wp:simplePos x="0" y="0"/>
          <wp:positionH relativeFrom="column">
            <wp:posOffset>891540</wp:posOffset>
          </wp:positionH>
          <wp:positionV relativeFrom="paragraph">
            <wp:posOffset>-48260</wp:posOffset>
          </wp:positionV>
          <wp:extent cx="4319905" cy="906780"/>
          <wp:effectExtent l="0" t="0" r="0" b="762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EC">
      <w:rPr>
        <w:noProof/>
        <w:snapToGrid/>
        <w:sz w:val="18"/>
        <w:szCs w:val="18"/>
      </w:rPr>
      <mc:AlternateContent>
        <mc:Choice Requires="wps">
          <w:drawing>
            <wp:anchor distT="0" distB="0" distL="114300" distR="114300" simplePos="0" relativeHeight="251652608" behindDoc="0" locked="0" layoutInCell="0" allowOverlap="1">
              <wp:simplePos x="0" y="0"/>
              <wp:positionH relativeFrom="column">
                <wp:posOffset>3787775</wp:posOffset>
              </wp:positionH>
              <wp:positionV relativeFrom="paragraph">
                <wp:posOffset>581660</wp:posOffset>
              </wp:positionV>
              <wp:extent cx="213487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98816AF"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5pt,45.8pt" to="466.3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" o:allowincell="f" strokecolor="#36f" strokeweight="1.75pt"/>
          </w:pict>
        </mc:Fallback>
      </mc:AlternateContent>
    </w:r>
    <w:r w:rsidRPr="00E936EC">
      <w:rPr>
        <w:noProof/>
        <w:snapToGrid/>
        <w:sz w:val="18"/>
        <w:szCs w:val="18"/>
      </w:rPr>
      <mc:AlternateContent>
        <mc:Choice Requires="wps">
          <w:drawing>
            <wp:anchor distT="0" distB="0" distL="114300" distR="114300" simplePos="0" relativeHeight="251651584" behindDoc="0" locked="0" layoutInCell="0" allowOverlap="1">
              <wp:simplePos x="0" y="0"/>
              <wp:positionH relativeFrom="column">
                <wp:posOffset>161925</wp:posOffset>
              </wp:positionH>
              <wp:positionV relativeFrom="paragraph">
                <wp:posOffset>593090</wp:posOffset>
              </wp:positionV>
              <wp:extent cx="2133600" cy="127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CF89EF2" id="Line 4"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6.7pt" to="180.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T1HgIAADYEAAAOAAAAZHJzL2Uyb0RvYy54bWysU02P2yAQvVfqf0DcE9uJN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" o:allowincell="f" strokecolor="#36f" strokeweight="1.7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DB" w:rsidRPr="00E936EC" w:rsidRDefault="00BA6DDB">
    <w:pPr>
      <w:pStyle w:val="Cabealho"/>
      <w:rPr>
        <w:rFonts w:ascii="Arial" w:hAnsi="Arial"/>
        <w:sz w:val="19"/>
        <w:szCs w:val="19"/>
      </w:rPr>
    </w:pPr>
    <w:r w:rsidRPr="00E936EC">
      <w:rPr>
        <w:rFonts w:ascii="Arial" w:hAnsi="Arial"/>
        <w:noProof/>
        <w:snapToGrid/>
        <w:sz w:val="18"/>
        <w:szCs w:val="18"/>
      </w:rPr>
      <w:drawing>
        <wp:anchor distT="0" distB="0" distL="114300" distR="114300" simplePos="0" relativeHeight="251659776" behindDoc="0" locked="0" layoutInCell="0" allowOverlap="1">
          <wp:simplePos x="0" y="0"/>
          <wp:positionH relativeFrom="column">
            <wp:posOffset>1000125</wp:posOffset>
          </wp:positionH>
          <wp:positionV relativeFrom="paragraph">
            <wp:posOffset>-84455</wp:posOffset>
          </wp:positionV>
          <wp:extent cx="4319905" cy="906780"/>
          <wp:effectExtent l="0" t="0" r="0" b="762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DDB" w:rsidRPr="00E936EC" w:rsidRDefault="00BA6DDB">
    <w:pPr>
      <w:pStyle w:val="Cabealho"/>
      <w:rPr>
        <w:rFonts w:ascii="Arial" w:hAnsi="Arial"/>
        <w:sz w:val="19"/>
        <w:szCs w:val="19"/>
      </w:rPr>
    </w:pPr>
  </w:p>
  <w:p w:rsidR="00BA6DDB" w:rsidRPr="00E936EC" w:rsidRDefault="00BA6DDB">
    <w:pPr>
      <w:pStyle w:val="Cabealho"/>
      <w:rPr>
        <w:rFonts w:ascii="Arial" w:hAnsi="Arial"/>
        <w:sz w:val="19"/>
        <w:szCs w:val="19"/>
      </w:rPr>
    </w:pPr>
  </w:p>
  <w:p w:rsidR="00BA6DDB" w:rsidRPr="00E936EC" w:rsidRDefault="00BA6DDB">
    <w:pPr>
      <w:pStyle w:val="Cabealho"/>
      <w:rPr>
        <w:rFonts w:ascii="Arial" w:hAnsi="Arial"/>
        <w:sz w:val="19"/>
        <w:szCs w:val="19"/>
      </w:rPr>
    </w:pPr>
  </w:p>
  <w:p w:rsidR="00BA6DDB" w:rsidRPr="00E936EC" w:rsidRDefault="00BA6DDB">
    <w:pPr>
      <w:pStyle w:val="Cabealho"/>
      <w:tabs>
        <w:tab w:val="clear" w:pos="4419"/>
        <w:tab w:val="clear" w:pos="8838"/>
        <w:tab w:val="left" w:pos="4970"/>
        <w:tab w:val="left" w:pos="5375"/>
      </w:tabs>
      <w:rPr>
        <w:rFonts w:ascii="Arial" w:hAnsi="Arial"/>
        <w:sz w:val="19"/>
        <w:szCs w:val="19"/>
      </w:rPr>
    </w:pPr>
    <w:r>
      <w:rPr>
        <w:rFonts w:ascii="Arial" w:hAnsi="Arial"/>
        <w:noProof/>
        <w:snapToGrid/>
        <w:sz w:val="18"/>
        <w:szCs w:val="18"/>
      </w:rPr>
      <mc:AlternateContent>
        <mc:Choice Requires="wps">
          <w:drawing>
            <wp:anchor distT="0" distB="0" distL="114300" distR="114300" simplePos="0" relativeHeight="251666944" behindDoc="0" locked="0" layoutInCell="0" allowOverlap="1">
              <wp:simplePos x="0" y="0"/>
              <wp:positionH relativeFrom="column">
                <wp:posOffset>3874135</wp:posOffset>
              </wp:positionH>
              <wp:positionV relativeFrom="paragraph">
                <wp:posOffset>200660</wp:posOffset>
              </wp:positionV>
              <wp:extent cx="1600200" cy="12382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F28BEB1" id="Rectangle 23" o:spid="_x0000_s1026" style="position:absolute;margin-left:305.05pt;margin-top:15.8pt;width:126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" o:allowincell="f" strokecolor="white" strokeweight="2.5pt">
              <v:shadow color="#868686"/>
            </v:rect>
          </w:pict>
        </mc:Fallback>
      </mc:AlternateContent>
    </w:r>
    <w:r>
      <w:rPr>
        <w:rFonts w:ascii="Arial" w:hAnsi="Arial"/>
        <w:noProof/>
        <w:snapToGrid/>
        <w:sz w:val="18"/>
        <w:szCs w:val="18"/>
      </w:rPr>
      <mc:AlternateContent>
        <mc:Choice Requires="wps">
          <w:drawing>
            <wp:anchor distT="0" distB="0" distL="114300" distR="114300" simplePos="0" relativeHeight="251665920" behindDoc="0" locked="0" layoutInCell="0" allowOverlap="1">
              <wp:simplePos x="0" y="0"/>
              <wp:positionH relativeFrom="column">
                <wp:posOffset>873760</wp:posOffset>
              </wp:positionH>
              <wp:positionV relativeFrom="paragraph">
                <wp:posOffset>200660</wp:posOffset>
              </wp:positionV>
              <wp:extent cx="1600200" cy="12382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A04D7A8" id="Rectangle 22" o:spid="_x0000_s1026" style="position:absolute;margin-left:68.8pt;margin-top:15.8pt;width:126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" o:allowincell="f" strokecolor="white" strokeweight="2.5pt">
              <v:shadow color="#868686"/>
            </v:rect>
          </w:pict>
        </mc:Fallback>
      </mc:AlternateContent>
    </w:r>
    <w:r w:rsidRPr="00E936EC">
      <w:rPr>
        <w:rFonts w:ascii="Arial" w:hAnsi="Arial"/>
        <w:noProof/>
        <w:snapToGrid/>
        <w:sz w:val="18"/>
        <w:szCs w:val="18"/>
      </w:rPr>
      <mc:AlternateContent>
        <mc:Choice Requires="wps">
          <w:drawing>
            <wp:anchor distT="0" distB="0" distL="114300" distR="114300" simplePos="0" relativeHeight="251657728" behindDoc="0" locked="0" layoutInCell="0" allowOverlap="1">
              <wp:simplePos x="0" y="0"/>
              <wp:positionH relativeFrom="column">
                <wp:posOffset>194310</wp:posOffset>
              </wp:positionH>
              <wp:positionV relativeFrom="paragraph">
                <wp:posOffset>34290</wp:posOffset>
              </wp:positionV>
              <wp:extent cx="2133600" cy="127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9D150D1"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183.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" o:allowincell="f" strokecolor="#36f" strokeweight="1.75pt"/>
          </w:pict>
        </mc:Fallback>
      </mc:AlternateContent>
    </w:r>
    <w:r w:rsidRPr="00E936EC">
      <w:rPr>
        <w:rFonts w:ascii="Arial" w:hAnsi="Arial"/>
        <w:noProof/>
        <w:snapToGrid/>
        <w:sz w:val="18"/>
        <w:szCs w:val="18"/>
      </w:rPr>
      <mc:AlternateContent>
        <mc:Choice Requires="wps">
          <w:drawing>
            <wp:anchor distT="0" distB="0" distL="114300" distR="114300" simplePos="0" relativeHeight="251658752" behindDoc="0" locked="0" layoutInCell="0" allowOverlap="1">
              <wp:simplePos x="0" y="0"/>
              <wp:positionH relativeFrom="column">
                <wp:posOffset>3820160</wp:posOffset>
              </wp:positionH>
              <wp:positionV relativeFrom="paragraph">
                <wp:posOffset>22860</wp:posOffset>
              </wp:positionV>
              <wp:extent cx="213487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222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FE357C3"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pt,1.8pt" to="46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" o:allowincell="f" strokecolor="#36f" strokeweight="1.75pt"/>
          </w:pict>
        </mc:Fallback>
      </mc:AlternateContent>
    </w:r>
    <w:r w:rsidRPr="00E936EC">
      <w:rPr>
        <w:rFonts w:ascii="Arial" w:hAnsi="Arial"/>
        <w:sz w:val="19"/>
        <w:szCs w:val="19"/>
      </w:rPr>
      <w:tab/>
    </w:r>
    <w:r w:rsidRPr="00E936EC">
      <w:rPr>
        <w:rFonts w:ascii="Arial" w:hAnsi="Arial"/>
        <w:sz w:val="19"/>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B7"/>
    <w:multiLevelType w:val="multilevel"/>
    <w:tmpl w:val="3D22CE9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24B17B8"/>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068C5E29"/>
    <w:multiLevelType w:val="hybridMultilevel"/>
    <w:tmpl w:val="995A7F5E"/>
    <w:lvl w:ilvl="0" w:tplc="5998992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98C62B0"/>
    <w:multiLevelType w:val="multilevel"/>
    <w:tmpl w:val="8A1256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BC11CAC"/>
    <w:multiLevelType w:val="hybridMultilevel"/>
    <w:tmpl w:val="5C906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356AC4"/>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177805A5"/>
    <w:multiLevelType w:val="hybridMultilevel"/>
    <w:tmpl w:val="468CBB6A"/>
    <w:lvl w:ilvl="0" w:tplc="7E48199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1BBC3473"/>
    <w:multiLevelType w:val="hybridMultilevel"/>
    <w:tmpl w:val="A08EF38A"/>
    <w:lvl w:ilvl="0" w:tplc="35043F2C">
      <w:start w:val="2005"/>
      <w:numFmt w:val="decimal"/>
      <w:lvlText w:val="%1"/>
      <w:lvlJc w:val="left"/>
      <w:pPr>
        <w:tabs>
          <w:tab w:val="num" w:pos="8160"/>
        </w:tabs>
        <w:ind w:left="8160" w:hanging="2160"/>
      </w:pPr>
      <w:rPr>
        <w:rFonts w:hint="default"/>
        <w:u w:val="single"/>
      </w:rPr>
    </w:lvl>
    <w:lvl w:ilvl="1" w:tplc="09EE539A" w:tentative="1">
      <w:start w:val="1"/>
      <w:numFmt w:val="lowerLetter"/>
      <w:lvlText w:val="%2."/>
      <w:lvlJc w:val="left"/>
      <w:pPr>
        <w:tabs>
          <w:tab w:val="num" w:pos="7080"/>
        </w:tabs>
        <w:ind w:left="7080" w:hanging="360"/>
      </w:pPr>
    </w:lvl>
    <w:lvl w:ilvl="2" w:tplc="CBD40928" w:tentative="1">
      <w:start w:val="1"/>
      <w:numFmt w:val="lowerRoman"/>
      <w:lvlText w:val="%3."/>
      <w:lvlJc w:val="right"/>
      <w:pPr>
        <w:tabs>
          <w:tab w:val="num" w:pos="7800"/>
        </w:tabs>
        <w:ind w:left="7800" w:hanging="180"/>
      </w:pPr>
    </w:lvl>
    <w:lvl w:ilvl="3" w:tplc="84B22120" w:tentative="1">
      <w:start w:val="1"/>
      <w:numFmt w:val="decimal"/>
      <w:lvlText w:val="%4."/>
      <w:lvlJc w:val="left"/>
      <w:pPr>
        <w:tabs>
          <w:tab w:val="num" w:pos="8520"/>
        </w:tabs>
        <w:ind w:left="8520" w:hanging="360"/>
      </w:pPr>
    </w:lvl>
    <w:lvl w:ilvl="4" w:tplc="4FB67D48" w:tentative="1">
      <w:start w:val="1"/>
      <w:numFmt w:val="lowerLetter"/>
      <w:lvlText w:val="%5."/>
      <w:lvlJc w:val="left"/>
      <w:pPr>
        <w:tabs>
          <w:tab w:val="num" w:pos="9240"/>
        </w:tabs>
        <w:ind w:left="9240" w:hanging="360"/>
      </w:pPr>
    </w:lvl>
    <w:lvl w:ilvl="5" w:tplc="BAE6BCC8" w:tentative="1">
      <w:start w:val="1"/>
      <w:numFmt w:val="lowerRoman"/>
      <w:lvlText w:val="%6."/>
      <w:lvlJc w:val="right"/>
      <w:pPr>
        <w:tabs>
          <w:tab w:val="num" w:pos="9960"/>
        </w:tabs>
        <w:ind w:left="9960" w:hanging="180"/>
      </w:pPr>
    </w:lvl>
    <w:lvl w:ilvl="6" w:tplc="B5FAE032" w:tentative="1">
      <w:start w:val="1"/>
      <w:numFmt w:val="decimal"/>
      <w:lvlText w:val="%7."/>
      <w:lvlJc w:val="left"/>
      <w:pPr>
        <w:tabs>
          <w:tab w:val="num" w:pos="10680"/>
        </w:tabs>
        <w:ind w:left="10680" w:hanging="360"/>
      </w:pPr>
    </w:lvl>
    <w:lvl w:ilvl="7" w:tplc="7D92AEF8" w:tentative="1">
      <w:start w:val="1"/>
      <w:numFmt w:val="lowerLetter"/>
      <w:lvlText w:val="%8."/>
      <w:lvlJc w:val="left"/>
      <w:pPr>
        <w:tabs>
          <w:tab w:val="num" w:pos="11400"/>
        </w:tabs>
        <w:ind w:left="11400" w:hanging="360"/>
      </w:pPr>
    </w:lvl>
    <w:lvl w:ilvl="8" w:tplc="E274148C" w:tentative="1">
      <w:start w:val="1"/>
      <w:numFmt w:val="lowerRoman"/>
      <w:lvlText w:val="%9."/>
      <w:lvlJc w:val="right"/>
      <w:pPr>
        <w:tabs>
          <w:tab w:val="num" w:pos="12120"/>
        </w:tabs>
        <w:ind w:left="12120" w:hanging="180"/>
      </w:pPr>
    </w:lvl>
  </w:abstractNum>
  <w:abstractNum w:abstractNumId="8">
    <w:nsid w:val="1BFF38EA"/>
    <w:multiLevelType w:val="hybridMultilevel"/>
    <w:tmpl w:val="04C2F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881E5B"/>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4E5018"/>
    <w:multiLevelType w:val="hybridMultilevel"/>
    <w:tmpl w:val="AF083AD0"/>
    <w:lvl w:ilvl="0" w:tplc="A7563B2E">
      <w:start w:val="1"/>
      <w:numFmt w:val="bullet"/>
      <w:lvlText w:val=""/>
      <w:lvlJc w:val="righ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36F1371"/>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816B83"/>
    <w:multiLevelType w:val="multilevel"/>
    <w:tmpl w:val="9D16D32E"/>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34CE71DC"/>
    <w:multiLevelType w:val="hybridMultilevel"/>
    <w:tmpl w:val="B5EEE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B62A2F"/>
    <w:multiLevelType w:val="multilevel"/>
    <w:tmpl w:val="FDDEDE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9ED6A8E"/>
    <w:multiLevelType w:val="hybridMultilevel"/>
    <w:tmpl w:val="404279BA"/>
    <w:lvl w:ilvl="0" w:tplc="4934A7AE">
      <w:start w:val="5"/>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911703"/>
    <w:multiLevelType w:val="multilevel"/>
    <w:tmpl w:val="E3503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673B09"/>
    <w:multiLevelType w:val="hybridMultilevel"/>
    <w:tmpl w:val="BDC6D2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6F021E"/>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4C7610D3"/>
    <w:multiLevelType w:val="hybridMultilevel"/>
    <w:tmpl w:val="139C9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B90EA2"/>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52CC2B79"/>
    <w:multiLevelType w:val="singleLevel"/>
    <w:tmpl w:val="E9FE3E8E"/>
    <w:lvl w:ilvl="0">
      <w:start w:val="1"/>
      <w:numFmt w:val="lowerLetter"/>
      <w:lvlText w:val="%1)"/>
      <w:lvlJc w:val="left"/>
      <w:pPr>
        <w:tabs>
          <w:tab w:val="num" w:pos="1353"/>
        </w:tabs>
        <w:ind w:left="1353" w:hanging="360"/>
      </w:pPr>
      <w:rPr>
        <w:rFonts w:hint="default"/>
        <w:u w:val="none"/>
      </w:rPr>
    </w:lvl>
  </w:abstractNum>
  <w:abstractNum w:abstractNumId="22">
    <w:nsid w:val="61414C40"/>
    <w:multiLevelType w:val="multilevel"/>
    <w:tmpl w:val="EB388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4D683A"/>
    <w:multiLevelType w:val="multilevel"/>
    <w:tmpl w:val="9E80FCC4"/>
    <w:lvl w:ilvl="0">
      <w:start w:val="19"/>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65DB44F5"/>
    <w:multiLevelType w:val="hybridMultilevel"/>
    <w:tmpl w:val="14AA1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3604CE"/>
    <w:multiLevelType w:val="hybridMultilevel"/>
    <w:tmpl w:val="DFCC5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AF6FD8"/>
    <w:multiLevelType w:val="multilevel"/>
    <w:tmpl w:val="052259FA"/>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6CF716E5"/>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lvlOverride w:ilvl="0">
      <w:startOverride w:val="1"/>
    </w:lvlOverride>
  </w:num>
  <w:num w:numId="2">
    <w:abstractNumId w:val="3"/>
  </w:num>
  <w:num w:numId="3">
    <w:abstractNumId w:val="7"/>
  </w:num>
  <w:num w:numId="4">
    <w:abstractNumId w:val="17"/>
  </w:num>
  <w:num w:numId="5">
    <w:abstractNumId w:val="18"/>
  </w:num>
  <w:num w:numId="6">
    <w:abstractNumId w:val="15"/>
  </w:num>
  <w:num w:numId="7">
    <w:abstractNumId w:val="6"/>
  </w:num>
  <w:num w:numId="8">
    <w:abstractNumId w:val="20"/>
  </w:num>
  <w:num w:numId="9">
    <w:abstractNumId w:val="8"/>
  </w:num>
  <w:num w:numId="10">
    <w:abstractNumId w:val="4"/>
  </w:num>
  <w:num w:numId="11">
    <w:abstractNumId w:val="19"/>
  </w:num>
  <w:num w:numId="12">
    <w:abstractNumId w:val="5"/>
  </w:num>
  <w:num w:numId="13">
    <w:abstractNumId w:val="1"/>
  </w:num>
  <w:num w:numId="14">
    <w:abstractNumId w:val="12"/>
  </w:num>
  <w:num w:numId="15">
    <w:abstractNumId w:val="0"/>
  </w:num>
  <w:num w:numId="16">
    <w:abstractNumId w:val="13"/>
  </w:num>
  <w:num w:numId="17">
    <w:abstractNumId w:val="9"/>
  </w:num>
  <w:num w:numId="18">
    <w:abstractNumId w:val="23"/>
  </w:num>
  <w:num w:numId="19">
    <w:abstractNumId w:val="26"/>
  </w:num>
  <w:num w:numId="20">
    <w:abstractNumId w:val="25"/>
  </w:num>
  <w:num w:numId="21">
    <w:abstractNumId w:val="27"/>
  </w:num>
  <w:num w:numId="22">
    <w:abstractNumId w:val="11"/>
  </w:num>
  <w:num w:numId="23">
    <w:abstractNumId w:val="22"/>
  </w:num>
  <w:num w:numId="24">
    <w:abstractNumId w:val="16"/>
  </w:num>
  <w:num w:numId="25">
    <w:abstractNumId w:val="14"/>
  </w:num>
  <w:num w:numId="26">
    <w:abstractNumId w:val="2"/>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131078" w:nlCheck="1" w:checkStyle="0"/>
  <w:activeWritingStyle w:appName="MSWord" w:lang="en-US" w:vendorID="64" w:dllVersion="131078" w:nlCheck="1" w:checkStyle="0"/>
  <w:proofState w:spelling="clean" w:grammar="clean"/>
  <w:defaultTabStop w:val="142"/>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o:allowincell="f" fill="f" fillcolor="white" stroke="f" strokecolor="none [3212]">
      <v:fill color="white" on="f"/>
      <v:stroke color="none [3212]"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96"/>
    <w:rsid w:val="00000E72"/>
    <w:rsid w:val="000016CA"/>
    <w:rsid w:val="00002CA7"/>
    <w:rsid w:val="00003BDB"/>
    <w:rsid w:val="000042CF"/>
    <w:rsid w:val="00004D2D"/>
    <w:rsid w:val="0000508D"/>
    <w:rsid w:val="000057B8"/>
    <w:rsid w:val="000062AB"/>
    <w:rsid w:val="000066C8"/>
    <w:rsid w:val="00007932"/>
    <w:rsid w:val="00007AA9"/>
    <w:rsid w:val="00007E2D"/>
    <w:rsid w:val="000104A9"/>
    <w:rsid w:val="0001201E"/>
    <w:rsid w:val="00012D15"/>
    <w:rsid w:val="000136D0"/>
    <w:rsid w:val="0001404D"/>
    <w:rsid w:val="00014E44"/>
    <w:rsid w:val="000152AE"/>
    <w:rsid w:val="000160DD"/>
    <w:rsid w:val="00021231"/>
    <w:rsid w:val="00021401"/>
    <w:rsid w:val="00021B9C"/>
    <w:rsid w:val="00021C1D"/>
    <w:rsid w:val="000223D7"/>
    <w:rsid w:val="00023B1F"/>
    <w:rsid w:val="00023EAB"/>
    <w:rsid w:val="00023FDC"/>
    <w:rsid w:val="00024192"/>
    <w:rsid w:val="00024479"/>
    <w:rsid w:val="00024B8B"/>
    <w:rsid w:val="00025AB9"/>
    <w:rsid w:val="00027435"/>
    <w:rsid w:val="00027744"/>
    <w:rsid w:val="00030FD3"/>
    <w:rsid w:val="00032785"/>
    <w:rsid w:val="00033393"/>
    <w:rsid w:val="00033EF0"/>
    <w:rsid w:val="00035920"/>
    <w:rsid w:val="00036322"/>
    <w:rsid w:val="000372E3"/>
    <w:rsid w:val="0003782C"/>
    <w:rsid w:val="00040CF5"/>
    <w:rsid w:val="00040E4F"/>
    <w:rsid w:val="0004124E"/>
    <w:rsid w:val="000414F4"/>
    <w:rsid w:val="00043160"/>
    <w:rsid w:val="0004363C"/>
    <w:rsid w:val="00044057"/>
    <w:rsid w:val="000451F4"/>
    <w:rsid w:val="00045A90"/>
    <w:rsid w:val="0004656E"/>
    <w:rsid w:val="00046708"/>
    <w:rsid w:val="0005099F"/>
    <w:rsid w:val="00052952"/>
    <w:rsid w:val="00052DE7"/>
    <w:rsid w:val="00052FC4"/>
    <w:rsid w:val="00054247"/>
    <w:rsid w:val="00054375"/>
    <w:rsid w:val="00054DC6"/>
    <w:rsid w:val="000560AC"/>
    <w:rsid w:val="000571C8"/>
    <w:rsid w:val="000604CA"/>
    <w:rsid w:val="00060B4C"/>
    <w:rsid w:val="00061761"/>
    <w:rsid w:val="00061BD3"/>
    <w:rsid w:val="00061F25"/>
    <w:rsid w:val="000620E3"/>
    <w:rsid w:val="00063D5D"/>
    <w:rsid w:val="00063E0B"/>
    <w:rsid w:val="0006417B"/>
    <w:rsid w:val="000650BF"/>
    <w:rsid w:val="00065647"/>
    <w:rsid w:val="00065E65"/>
    <w:rsid w:val="000674C5"/>
    <w:rsid w:val="00067A01"/>
    <w:rsid w:val="00067B4B"/>
    <w:rsid w:val="000703AF"/>
    <w:rsid w:val="00070C76"/>
    <w:rsid w:val="00071F7B"/>
    <w:rsid w:val="00072555"/>
    <w:rsid w:val="0007307D"/>
    <w:rsid w:val="00073612"/>
    <w:rsid w:val="00073AF7"/>
    <w:rsid w:val="00074385"/>
    <w:rsid w:val="00075113"/>
    <w:rsid w:val="0007514B"/>
    <w:rsid w:val="00075941"/>
    <w:rsid w:val="000778D2"/>
    <w:rsid w:val="00080319"/>
    <w:rsid w:val="000807E9"/>
    <w:rsid w:val="00080F76"/>
    <w:rsid w:val="00081462"/>
    <w:rsid w:val="0008233F"/>
    <w:rsid w:val="000831FD"/>
    <w:rsid w:val="000834BE"/>
    <w:rsid w:val="000836A7"/>
    <w:rsid w:val="00083E7F"/>
    <w:rsid w:val="00085185"/>
    <w:rsid w:val="00085828"/>
    <w:rsid w:val="00086915"/>
    <w:rsid w:val="00087833"/>
    <w:rsid w:val="00087A19"/>
    <w:rsid w:val="00090B73"/>
    <w:rsid w:val="00091005"/>
    <w:rsid w:val="00092085"/>
    <w:rsid w:val="00092591"/>
    <w:rsid w:val="00093B60"/>
    <w:rsid w:val="00094368"/>
    <w:rsid w:val="000943B2"/>
    <w:rsid w:val="00096CBC"/>
    <w:rsid w:val="000979AF"/>
    <w:rsid w:val="00097F0A"/>
    <w:rsid w:val="000A0483"/>
    <w:rsid w:val="000A0820"/>
    <w:rsid w:val="000A09DC"/>
    <w:rsid w:val="000A0CB5"/>
    <w:rsid w:val="000A1153"/>
    <w:rsid w:val="000A14AC"/>
    <w:rsid w:val="000A1A80"/>
    <w:rsid w:val="000A3D7D"/>
    <w:rsid w:val="000A458E"/>
    <w:rsid w:val="000A56AA"/>
    <w:rsid w:val="000A598D"/>
    <w:rsid w:val="000A7171"/>
    <w:rsid w:val="000A7D5A"/>
    <w:rsid w:val="000B03BA"/>
    <w:rsid w:val="000B1DEA"/>
    <w:rsid w:val="000B2242"/>
    <w:rsid w:val="000B5B5E"/>
    <w:rsid w:val="000B5C34"/>
    <w:rsid w:val="000B6AF6"/>
    <w:rsid w:val="000B6CBF"/>
    <w:rsid w:val="000C09EA"/>
    <w:rsid w:val="000C2393"/>
    <w:rsid w:val="000C254E"/>
    <w:rsid w:val="000C2F9B"/>
    <w:rsid w:val="000C390E"/>
    <w:rsid w:val="000C3DFA"/>
    <w:rsid w:val="000C5558"/>
    <w:rsid w:val="000C5C01"/>
    <w:rsid w:val="000C657F"/>
    <w:rsid w:val="000C7186"/>
    <w:rsid w:val="000D0352"/>
    <w:rsid w:val="000D03C8"/>
    <w:rsid w:val="000D1242"/>
    <w:rsid w:val="000D3031"/>
    <w:rsid w:val="000D34B0"/>
    <w:rsid w:val="000D3FF3"/>
    <w:rsid w:val="000D50E4"/>
    <w:rsid w:val="000D53EB"/>
    <w:rsid w:val="000D56D5"/>
    <w:rsid w:val="000E1F2C"/>
    <w:rsid w:val="000E32C9"/>
    <w:rsid w:val="000E4A45"/>
    <w:rsid w:val="000E4DE3"/>
    <w:rsid w:val="000E502D"/>
    <w:rsid w:val="000E535D"/>
    <w:rsid w:val="000E5B1E"/>
    <w:rsid w:val="000E6B14"/>
    <w:rsid w:val="000E6B24"/>
    <w:rsid w:val="000E6E23"/>
    <w:rsid w:val="000E6FFC"/>
    <w:rsid w:val="000E7C87"/>
    <w:rsid w:val="000E7F2E"/>
    <w:rsid w:val="000F1633"/>
    <w:rsid w:val="000F186C"/>
    <w:rsid w:val="000F3F02"/>
    <w:rsid w:val="000F51E5"/>
    <w:rsid w:val="000F5B7A"/>
    <w:rsid w:val="000F6BC7"/>
    <w:rsid w:val="000F6E01"/>
    <w:rsid w:val="0010263C"/>
    <w:rsid w:val="001061D7"/>
    <w:rsid w:val="0010653C"/>
    <w:rsid w:val="00107E03"/>
    <w:rsid w:val="0011024F"/>
    <w:rsid w:val="0011080B"/>
    <w:rsid w:val="00110CF3"/>
    <w:rsid w:val="00114BE0"/>
    <w:rsid w:val="00114C94"/>
    <w:rsid w:val="001159F8"/>
    <w:rsid w:val="001163F0"/>
    <w:rsid w:val="00116D7B"/>
    <w:rsid w:val="0012075E"/>
    <w:rsid w:val="00120A36"/>
    <w:rsid w:val="00120EC3"/>
    <w:rsid w:val="0012137D"/>
    <w:rsid w:val="001216CE"/>
    <w:rsid w:val="0012192C"/>
    <w:rsid w:val="0012221C"/>
    <w:rsid w:val="00122C06"/>
    <w:rsid w:val="00124C08"/>
    <w:rsid w:val="0012521A"/>
    <w:rsid w:val="001279DF"/>
    <w:rsid w:val="00130C9E"/>
    <w:rsid w:val="0013153B"/>
    <w:rsid w:val="001328F7"/>
    <w:rsid w:val="00132D5C"/>
    <w:rsid w:val="00133904"/>
    <w:rsid w:val="00134247"/>
    <w:rsid w:val="001342A9"/>
    <w:rsid w:val="00134FE5"/>
    <w:rsid w:val="00135172"/>
    <w:rsid w:val="001368B0"/>
    <w:rsid w:val="00137EDD"/>
    <w:rsid w:val="00137FAC"/>
    <w:rsid w:val="00141022"/>
    <w:rsid w:val="0014189A"/>
    <w:rsid w:val="001429C0"/>
    <w:rsid w:val="00143EB6"/>
    <w:rsid w:val="00147707"/>
    <w:rsid w:val="001501FC"/>
    <w:rsid w:val="001508BC"/>
    <w:rsid w:val="0015090B"/>
    <w:rsid w:val="00150E62"/>
    <w:rsid w:val="00151481"/>
    <w:rsid w:val="00153B01"/>
    <w:rsid w:val="00153B3C"/>
    <w:rsid w:val="00157F19"/>
    <w:rsid w:val="00161F48"/>
    <w:rsid w:val="001621DD"/>
    <w:rsid w:val="00162C45"/>
    <w:rsid w:val="00163699"/>
    <w:rsid w:val="001637D8"/>
    <w:rsid w:val="001644A6"/>
    <w:rsid w:val="00165346"/>
    <w:rsid w:val="0016555C"/>
    <w:rsid w:val="001656CB"/>
    <w:rsid w:val="0016723F"/>
    <w:rsid w:val="00167D52"/>
    <w:rsid w:val="00167DF4"/>
    <w:rsid w:val="0017039C"/>
    <w:rsid w:val="0017083A"/>
    <w:rsid w:val="00170E50"/>
    <w:rsid w:val="00171E12"/>
    <w:rsid w:val="00171E69"/>
    <w:rsid w:val="00173E77"/>
    <w:rsid w:val="00174345"/>
    <w:rsid w:val="00176839"/>
    <w:rsid w:val="00176CAD"/>
    <w:rsid w:val="00177B3F"/>
    <w:rsid w:val="00177EA3"/>
    <w:rsid w:val="001807AC"/>
    <w:rsid w:val="00180D19"/>
    <w:rsid w:val="00181D77"/>
    <w:rsid w:val="00183137"/>
    <w:rsid w:val="0018356D"/>
    <w:rsid w:val="00184338"/>
    <w:rsid w:val="0018494B"/>
    <w:rsid w:val="00184A68"/>
    <w:rsid w:val="0018591A"/>
    <w:rsid w:val="001872AB"/>
    <w:rsid w:val="001873E7"/>
    <w:rsid w:val="00187847"/>
    <w:rsid w:val="00192B5B"/>
    <w:rsid w:val="00194860"/>
    <w:rsid w:val="00194F28"/>
    <w:rsid w:val="00195C1D"/>
    <w:rsid w:val="001968AF"/>
    <w:rsid w:val="00196E9F"/>
    <w:rsid w:val="00197369"/>
    <w:rsid w:val="001977F8"/>
    <w:rsid w:val="00197D3F"/>
    <w:rsid w:val="001A0042"/>
    <w:rsid w:val="001A0947"/>
    <w:rsid w:val="001A0A2C"/>
    <w:rsid w:val="001A0B74"/>
    <w:rsid w:val="001A0C57"/>
    <w:rsid w:val="001A1D5F"/>
    <w:rsid w:val="001A2B06"/>
    <w:rsid w:val="001A3B52"/>
    <w:rsid w:val="001A3E73"/>
    <w:rsid w:val="001A44D1"/>
    <w:rsid w:val="001A4FDC"/>
    <w:rsid w:val="001A6352"/>
    <w:rsid w:val="001A7A18"/>
    <w:rsid w:val="001A7B8E"/>
    <w:rsid w:val="001B0AF9"/>
    <w:rsid w:val="001B1326"/>
    <w:rsid w:val="001B28D7"/>
    <w:rsid w:val="001B3545"/>
    <w:rsid w:val="001B3D20"/>
    <w:rsid w:val="001B428A"/>
    <w:rsid w:val="001B5476"/>
    <w:rsid w:val="001B6C63"/>
    <w:rsid w:val="001B7407"/>
    <w:rsid w:val="001C0C95"/>
    <w:rsid w:val="001C0FBF"/>
    <w:rsid w:val="001C10AE"/>
    <w:rsid w:val="001C1D10"/>
    <w:rsid w:val="001C2378"/>
    <w:rsid w:val="001C2BAF"/>
    <w:rsid w:val="001C3830"/>
    <w:rsid w:val="001C3973"/>
    <w:rsid w:val="001C3A13"/>
    <w:rsid w:val="001C425C"/>
    <w:rsid w:val="001C4695"/>
    <w:rsid w:val="001C59B4"/>
    <w:rsid w:val="001C60A0"/>
    <w:rsid w:val="001D1288"/>
    <w:rsid w:val="001D168D"/>
    <w:rsid w:val="001D17C2"/>
    <w:rsid w:val="001D29C6"/>
    <w:rsid w:val="001D37D4"/>
    <w:rsid w:val="001D3B68"/>
    <w:rsid w:val="001D4054"/>
    <w:rsid w:val="001D4EEF"/>
    <w:rsid w:val="001D4F78"/>
    <w:rsid w:val="001D56E0"/>
    <w:rsid w:val="001D5CF9"/>
    <w:rsid w:val="001D6E0F"/>
    <w:rsid w:val="001D7380"/>
    <w:rsid w:val="001D7382"/>
    <w:rsid w:val="001D761F"/>
    <w:rsid w:val="001E0449"/>
    <w:rsid w:val="001E100A"/>
    <w:rsid w:val="001E11CE"/>
    <w:rsid w:val="001E1C88"/>
    <w:rsid w:val="001E1E19"/>
    <w:rsid w:val="001E3615"/>
    <w:rsid w:val="001E37A0"/>
    <w:rsid w:val="001E39A7"/>
    <w:rsid w:val="001E3E04"/>
    <w:rsid w:val="001E46F4"/>
    <w:rsid w:val="001E6566"/>
    <w:rsid w:val="001F0344"/>
    <w:rsid w:val="001F0511"/>
    <w:rsid w:val="001F18C9"/>
    <w:rsid w:val="001F19E0"/>
    <w:rsid w:val="001F2A28"/>
    <w:rsid w:val="001F3279"/>
    <w:rsid w:val="001F5D9F"/>
    <w:rsid w:val="001F62A0"/>
    <w:rsid w:val="001F63A7"/>
    <w:rsid w:val="001F69B0"/>
    <w:rsid w:val="001F6F1F"/>
    <w:rsid w:val="002003EF"/>
    <w:rsid w:val="002042A9"/>
    <w:rsid w:val="002053A1"/>
    <w:rsid w:val="002057B2"/>
    <w:rsid w:val="00205817"/>
    <w:rsid w:val="002060DA"/>
    <w:rsid w:val="00206CBA"/>
    <w:rsid w:val="002070DB"/>
    <w:rsid w:val="002076AA"/>
    <w:rsid w:val="00207CBA"/>
    <w:rsid w:val="0021042F"/>
    <w:rsid w:val="00210AE9"/>
    <w:rsid w:val="00212000"/>
    <w:rsid w:val="002127CF"/>
    <w:rsid w:val="00213DB4"/>
    <w:rsid w:val="002142F3"/>
    <w:rsid w:val="0021517B"/>
    <w:rsid w:val="00215501"/>
    <w:rsid w:val="0021680F"/>
    <w:rsid w:val="00217A0E"/>
    <w:rsid w:val="00220E93"/>
    <w:rsid w:val="00221B1F"/>
    <w:rsid w:val="00221E9F"/>
    <w:rsid w:val="0022330E"/>
    <w:rsid w:val="0022426B"/>
    <w:rsid w:val="00226799"/>
    <w:rsid w:val="0023080F"/>
    <w:rsid w:val="00231CD6"/>
    <w:rsid w:val="00232E4F"/>
    <w:rsid w:val="00235155"/>
    <w:rsid w:val="002355FE"/>
    <w:rsid w:val="00235C4E"/>
    <w:rsid w:val="00235DA2"/>
    <w:rsid w:val="0023787B"/>
    <w:rsid w:val="002404CE"/>
    <w:rsid w:val="0024122B"/>
    <w:rsid w:val="00242A29"/>
    <w:rsid w:val="002438DD"/>
    <w:rsid w:val="00243CC3"/>
    <w:rsid w:val="00244936"/>
    <w:rsid w:val="00246180"/>
    <w:rsid w:val="002500FC"/>
    <w:rsid w:val="00250513"/>
    <w:rsid w:val="0025154A"/>
    <w:rsid w:val="002516A3"/>
    <w:rsid w:val="00253D9D"/>
    <w:rsid w:val="0025420F"/>
    <w:rsid w:val="002546CA"/>
    <w:rsid w:val="0025482B"/>
    <w:rsid w:val="00255A54"/>
    <w:rsid w:val="00255F2E"/>
    <w:rsid w:val="002561F2"/>
    <w:rsid w:val="00256A74"/>
    <w:rsid w:val="00256C07"/>
    <w:rsid w:val="00256CEC"/>
    <w:rsid w:val="00257002"/>
    <w:rsid w:val="002572E7"/>
    <w:rsid w:val="002613E0"/>
    <w:rsid w:val="00261B8F"/>
    <w:rsid w:val="00262A60"/>
    <w:rsid w:val="00263809"/>
    <w:rsid w:val="002641AA"/>
    <w:rsid w:val="00264461"/>
    <w:rsid w:val="00264CF0"/>
    <w:rsid w:val="002653A8"/>
    <w:rsid w:val="00265747"/>
    <w:rsid w:val="002668A3"/>
    <w:rsid w:val="00266F3E"/>
    <w:rsid w:val="00267604"/>
    <w:rsid w:val="00271943"/>
    <w:rsid w:val="00273AB8"/>
    <w:rsid w:val="0027461D"/>
    <w:rsid w:val="002760FE"/>
    <w:rsid w:val="002766A5"/>
    <w:rsid w:val="00276F0F"/>
    <w:rsid w:val="00277141"/>
    <w:rsid w:val="00277D62"/>
    <w:rsid w:val="00281B79"/>
    <w:rsid w:val="00281EEF"/>
    <w:rsid w:val="00282257"/>
    <w:rsid w:val="002822E1"/>
    <w:rsid w:val="00283B1F"/>
    <w:rsid w:val="002845F9"/>
    <w:rsid w:val="002856C3"/>
    <w:rsid w:val="002859C2"/>
    <w:rsid w:val="00286C86"/>
    <w:rsid w:val="00287F80"/>
    <w:rsid w:val="00292AD0"/>
    <w:rsid w:val="00293011"/>
    <w:rsid w:val="00293B13"/>
    <w:rsid w:val="00294B8B"/>
    <w:rsid w:val="00294F88"/>
    <w:rsid w:val="002955AD"/>
    <w:rsid w:val="00295658"/>
    <w:rsid w:val="00295ABC"/>
    <w:rsid w:val="00295F15"/>
    <w:rsid w:val="00296CF1"/>
    <w:rsid w:val="002A182A"/>
    <w:rsid w:val="002A2E73"/>
    <w:rsid w:val="002A37B0"/>
    <w:rsid w:val="002A3D92"/>
    <w:rsid w:val="002A47F5"/>
    <w:rsid w:val="002A53C1"/>
    <w:rsid w:val="002A61D0"/>
    <w:rsid w:val="002A7BFC"/>
    <w:rsid w:val="002B0424"/>
    <w:rsid w:val="002B1438"/>
    <w:rsid w:val="002B5772"/>
    <w:rsid w:val="002B60C7"/>
    <w:rsid w:val="002B67BF"/>
    <w:rsid w:val="002B731E"/>
    <w:rsid w:val="002B767F"/>
    <w:rsid w:val="002B76E9"/>
    <w:rsid w:val="002C0682"/>
    <w:rsid w:val="002C1020"/>
    <w:rsid w:val="002C1032"/>
    <w:rsid w:val="002C1723"/>
    <w:rsid w:val="002C3550"/>
    <w:rsid w:val="002C4086"/>
    <w:rsid w:val="002C6A9F"/>
    <w:rsid w:val="002C7C79"/>
    <w:rsid w:val="002D08C2"/>
    <w:rsid w:val="002D15AF"/>
    <w:rsid w:val="002D1B1C"/>
    <w:rsid w:val="002D1C24"/>
    <w:rsid w:val="002D1DD8"/>
    <w:rsid w:val="002D41BA"/>
    <w:rsid w:val="002D5068"/>
    <w:rsid w:val="002D5320"/>
    <w:rsid w:val="002D70C7"/>
    <w:rsid w:val="002E1E67"/>
    <w:rsid w:val="002E29D0"/>
    <w:rsid w:val="002E310D"/>
    <w:rsid w:val="002E33E7"/>
    <w:rsid w:val="002E47DF"/>
    <w:rsid w:val="002E5EDA"/>
    <w:rsid w:val="002E5FF2"/>
    <w:rsid w:val="002E6A88"/>
    <w:rsid w:val="002E7F4A"/>
    <w:rsid w:val="002F0A51"/>
    <w:rsid w:val="002F17BC"/>
    <w:rsid w:val="002F1F08"/>
    <w:rsid w:val="002F2510"/>
    <w:rsid w:val="002F26B7"/>
    <w:rsid w:val="002F3EE1"/>
    <w:rsid w:val="002F5799"/>
    <w:rsid w:val="002F7F45"/>
    <w:rsid w:val="0030182C"/>
    <w:rsid w:val="003018DF"/>
    <w:rsid w:val="00302089"/>
    <w:rsid w:val="00304547"/>
    <w:rsid w:val="00304C32"/>
    <w:rsid w:val="003065CE"/>
    <w:rsid w:val="00307171"/>
    <w:rsid w:val="00307913"/>
    <w:rsid w:val="00311151"/>
    <w:rsid w:val="0031166B"/>
    <w:rsid w:val="00312424"/>
    <w:rsid w:val="00312775"/>
    <w:rsid w:val="00314260"/>
    <w:rsid w:val="00317564"/>
    <w:rsid w:val="00317DFC"/>
    <w:rsid w:val="0032118C"/>
    <w:rsid w:val="00321A0E"/>
    <w:rsid w:val="003221D1"/>
    <w:rsid w:val="003227E9"/>
    <w:rsid w:val="003232E7"/>
    <w:rsid w:val="0032581B"/>
    <w:rsid w:val="00326800"/>
    <w:rsid w:val="00326BF8"/>
    <w:rsid w:val="00327EB2"/>
    <w:rsid w:val="00331ECC"/>
    <w:rsid w:val="003332AA"/>
    <w:rsid w:val="0033356E"/>
    <w:rsid w:val="00333F79"/>
    <w:rsid w:val="003357DF"/>
    <w:rsid w:val="00335B02"/>
    <w:rsid w:val="0033670E"/>
    <w:rsid w:val="003372B3"/>
    <w:rsid w:val="00337DE3"/>
    <w:rsid w:val="00340F54"/>
    <w:rsid w:val="00340FB0"/>
    <w:rsid w:val="00341052"/>
    <w:rsid w:val="003419F7"/>
    <w:rsid w:val="0034224C"/>
    <w:rsid w:val="00342EDC"/>
    <w:rsid w:val="00344319"/>
    <w:rsid w:val="0034468D"/>
    <w:rsid w:val="0034579F"/>
    <w:rsid w:val="00345CD5"/>
    <w:rsid w:val="003462C9"/>
    <w:rsid w:val="00346B56"/>
    <w:rsid w:val="00346E30"/>
    <w:rsid w:val="00347255"/>
    <w:rsid w:val="00347CD4"/>
    <w:rsid w:val="00351A64"/>
    <w:rsid w:val="00351EC2"/>
    <w:rsid w:val="00353975"/>
    <w:rsid w:val="00354A3D"/>
    <w:rsid w:val="00354FEB"/>
    <w:rsid w:val="00355792"/>
    <w:rsid w:val="00356417"/>
    <w:rsid w:val="00357ADD"/>
    <w:rsid w:val="00357F0A"/>
    <w:rsid w:val="0036037C"/>
    <w:rsid w:val="003604E0"/>
    <w:rsid w:val="00362D0A"/>
    <w:rsid w:val="00363008"/>
    <w:rsid w:val="00363038"/>
    <w:rsid w:val="00363768"/>
    <w:rsid w:val="0036376B"/>
    <w:rsid w:val="00364E21"/>
    <w:rsid w:val="003650E4"/>
    <w:rsid w:val="00365294"/>
    <w:rsid w:val="00365A1B"/>
    <w:rsid w:val="00365EE9"/>
    <w:rsid w:val="0036637E"/>
    <w:rsid w:val="00367B07"/>
    <w:rsid w:val="00367C49"/>
    <w:rsid w:val="00367CE1"/>
    <w:rsid w:val="00367DA7"/>
    <w:rsid w:val="00370873"/>
    <w:rsid w:val="0037127A"/>
    <w:rsid w:val="003712D8"/>
    <w:rsid w:val="00371731"/>
    <w:rsid w:val="003736A2"/>
    <w:rsid w:val="00373F8D"/>
    <w:rsid w:val="0037439B"/>
    <w:rsid w:val="003746DB"/>
    <w:rsid w:val="0037535A"/>
    <w:rsid w:val="00375BE2"/>
    <w:rsid w:val="0037677E"/>
    <w:rsid w:val="003803D3"/>
    <w:rsid w:val="003807F8"/>
    <w:rsid w:val="0038109E"/>
    <w:rsid w:val="0038300E"/>
    <w:rsid w:val="00383B51"/>
    <w:rsid w:val="00386840"/>
    <w:rsid w:val="0038774F"/>
    <w:rsid w:val="00391060"/>
    <w:rsid w:val="003924AB"/>
    <w:rsid w:val="003951A5"/>
    <w:rsid w:val="00395435"/>
    <w:rsid w:val="00395984"/>
    <w:rsid w:val="00395C02"/>
    <w:rsid w:val="003966BC"/>
    <w:rsid w:val="00396F7E"/>
    <w:rsid w:val="0039710A"/>
    <w:rsid w:val="00397799"/>
    <w:rsid w:val="003A00D9"/>
    <w:rsid w:val="003A045F"/>
    <w:rsid w:val="003A19B4"/>
    <w:rsid w:val="003A4400"/>
    <w:rsid w:val="003A47E9"/>
    <w:rsid w:val="003A6E33"/>
    <w:rsid w:val="003A706C"/>
    <w:rsid w:val="003A77C6"/>
    <w:rsid w:val="003A7AFE"/>
    <w:rsid w:val="003B1083"/>
    <w:rsid w:val="003B249D"/>
    <w:rsid w:val="003B2671"/>
    <w:rsid w:val="003B34EF"/>
    <w:rsid w:val="003B3EBD"/>
    <w:rsid w:val="003B44C1"/>
    <w:rsid w:val="003B452F"/>
    <w:rsid w:val="003B4A4C"/>
    <w:rsid w:val="003B4F3A"/>
    <w:rsid w:val="003B62C6"/>
    <w:rsid w:val="003B69AE"/>
    <w:rsid w:val="003C05B0"/>
    <w:rsid w:val="003C0DE4"/>
    <w:rsid w:val="003C1696"/>
    <w:rsid w:val="003C1C8F"/>
    <w:rsid w:val="003C2920"/>
    <w:rsid w:val="003C3422"/>
    <w:rsid w:val="003C6E53"/>
    <w:rsid w:val="003D07B8"/>
    <w:rsid w:val="003D09D7"/>
    <w:rsid w:val="003D152C"/>
    <w:rsid w:val="003D3B10"/>
    <w:rsid w:val="003D48A8"/>
    <w:rsid w:val="003D6D4B"/>
    <w:rsid w:val="003D6E60"/>
    <w:rsid w:val="003D77DC"/>
    <w:rsid w:val="003D7E34"/>
    <w:rsid w:val="003E0AFC"/>
    <w:rsid w:val="003E142B"/>
    <w:rsid w:val="003E1749"/>
    <w:rsid w:val="003E2EA5"/>
    <w:rsid w:val="003E3069"/>
    <w:rsid w:val="003E3623"/>
    <w:rsid w:val="003E36CA"/>
    <w:rsid w:val="003E3ACB"/>
    <w:rsid w:val="003E3C1A"/>
    <w:rsid w:val="003E4759"/>
    <w:rsid w:val="003E5C04"/>
    <w:rsid w:val="003E61E4"/>
    <w:rsid w:val="003E75B4"/>
    <w:rsid w:val="003E7F3A"/>
    <w:rsid w:val="003F2225"/>
    <w:rsid w:val="003F4FB3"/>
    <w:rsid w:val="003F66B7"/>
    <w:rsid w:val="003F6C4F"/>
    <w:rsid w:val="003F70EF"/>
    <w:rsid w:val="0040059A"/>
    <w:rsid w:val="004006E6"/>
    <w:rsid w:val="0040350A"/>
    <w:rsid w:val="00403D9A"/>
    <w:rsid w:val="004062A5"/>
    <w:rsid w:val="004106C2"/>
    <w:rsid w:val="0041075D"/>
    <w:rsid w:val="00410B09"/>
    <w:rsid w:val="0041199C"/>
    <w:rsid w:val="00412080"/>
    <w:rsid w:val="00412273"/>
    <w:rsid w:val="0041227A"/>
    <w:rsid w:val="00413C5F"/>
    <w:rsid w:val="004142F7"/>
    <w:rsid w:val="00414393"/>
    <w:rsid w:val="0041541F"/>
    <w:rsid w:val="00415601"/>
    <w:rsid w:val="00420452"/>
    <w:rsid w:val="00420636"/>
    <w:rsid w:val="00422FAA"/>
    <w:rsid w:val="00425082"/>
    <w:rsid w:val="004256D3"/>
    <w:rsid w:val="00425E9F"/>
    <w:rsid w:val="00427607"/>
    <w:rsid w:val="00427FE0"/>
    <w:rsid w:val="004305F8"/>
    <w:rsid w:val="00430C4B"/>
    <w:rsid w:val="00434F8F"/>
    <w:rsid w:val="00435407"/>
    <w:rsid w:val="00435781"/>
    <w:rsid w:val="004360A3"/>
    <w:rsid w:val="0043773C"/>
    <w:rsid w:val="00437B57"/>
    <w:rsid w:val="00441305"/>
    <w:rsid w:val="00441B8C"/>
    <w:rsid w:val="00441D49"/>
    <w:rsid w:val="00442207"/>
    <w:rsid w:val="00444A58"/>
    <w:rsid w:val="004450AC"/>
    <w:rsid w:val="00446AE6"/>
    <w:rsid w:val="00446E8C"/>
    <w:rsid w:val="00450300"/>
    <w:rsid w:val="004510EC"/>
    <w:rsid w:val="004531D9"/>
    <w:rsid w:val="00456A1F"/>
    <w:rsid w:val="00456CEA"/>
    <w:rsid w:val="004601AE"/>
    <w:rsid w:val="0046208A"/>
    <w:rsid w:val="004623EA"/>
    <w:rsid w:val="00462F47"/>
    <w:rsid w:val="0046476D"/>
    <w:rsid w:val="00464AD2"/>
    <w:rsid w:val="00464F39"/>
    <w:rsid w:val="004657EB"/>
    <w:rsid w:val="004666E4"/>
    <w:rsid w:val="00467AEE"/>
    <w:rsid w:val="00467BEF"/>
    <w:rsid w:val="00467D71"/>
    <w:rsid w:val="00470594"/>
    <w:rsid w:val="004709E4"/>
    <w:rsid w:val="00472724"/>
    <w:rsid w:val="004730A3"/>
    <w:rsid w:val="004744E4"/>
    <w:rsid w:val="00474F09"/>
    <w:rsid w:val="00475F96"/>
    <w:rsid w:val="00477F55"/>
    <w:rsid w:val="004807AD"/>
    <w:rsid w:val="00480FA2"/>
    <w:rsid w:val="004815EA"/>
    <w:rsid w:val="00481791"/>
    <w:rsid w:val="00481FB8"/>
    <w:rsid w:val="0048374F"/>
    <w:rsid w:val="004837B9"/>
    <w:rsid w:val="0048386C"/>
    <w:rsid w:val="00483E2F"/>
    <w:rsid w:val="004856DC"/>
    <w:rsid w:val="004869ED"/>
    <w:rsid w:val="00486AA4"/>
    <w:rsid w:val="0049098A"/>
    <w:rsid w:val="00490E4B"/>
    <w:rsid w:val="004919E9"/>
    <w:rsid w:val="00491F17"/>
    <w:rsid w:val="00493A9B"/>
    <w:rsid w:val="00493AFD"/>
    <w:rsid w:val="00494028"/>
    <w:rsid w:val="00494390"/>
    <w:rsid w:val="0049455E"/>
    <w:rsid w:val="004947FE"/>
    <w:rsid w:val="00494C6D"/>
    <w:rsid w:val="00494FB8"/>
    <w:rsid w:val="00495BC0"/>
    <w:rsid w:val="004A03EF"/>
    <w:rsid w:val="004A05E3"/>
    <w:rsid w:val="004A0E0F"/>
    <w:rsid w:val="004A0ECB"/>
    <w:rsid w:val="004A1999"/>
    <w:rsid w:val="004A3F22"/>
    <w:rsid w:val="004A4BE6"/>
    <w:rsid w:val="004A7359"/>
    <w:rsid w:val="004A7DBF"/>
    <w:rsid w:val="004A7ED0"/>
    <w:rsid w:val="004B002F"/>
    <w:rsid w:val="004B0033"/>
    <w:rsid w:val="004B2D15"/>
    <w:rsid w:val="004B2EFF"/>
    <w:rsid w:val="004B3290"/>
    <w:rsid w:val="004B48A7"/>
    <w:rsid w:val="004B5133"/>
    <w:rsid w:val="004B5506"/>
    <w:rsid w:val="004B6F23"/>
    <w:rsid w:val="004B7AFD"/>
    <w:rsid w:val="004B7D05"/>
    <w:rsid w:val="004C0EAF"/>
    <w:rsid w:val="004C22E2"/>
    <w:rsid w:val="004C25CB"/>
    <w:rsid w:val="004C28D7"/>
    <w:rsid w:val="004C3224"/>
    <w:rsid w:val="004C4CFA"/>
    <w:rsid w:val="004C63C2"/>
    <w:rsid w:val="004C6E64"/>
    <w:rsid w:val="004D01CB"/>
    <w:rsid w:val="004D0560"/>
    <w:rsid w:val="004D1FD7"/>
    <w:rsid w:val="004D2CAA"/>
    <w:rsid w:val="004D345E"/>
    <w:rsid w:val="004D4326"/>
    <w:rsid w:val="004D4FE8"/>
    <w:rsid w:val="004D67FA"/>
    <w:rsid w:val="004D7C37"/>
    <w:rsid w:val="004E0CF2"/>
    <w:rsid w:val="004E0D35"/>
    <w:rsid w:val="004E18B2"/>
    <w:rsid w:val="004E1C3F"/>
    <w:rsid w:val="004E1C45"/>
    <w:rsid w:val="004E1ED4"/>
    <w:rsid w:val="004E2847"/>
    <w:rsid w:val="004E348D"/>
    <w:rsid w:val="004E43B0"/>
    <w:rsid w:val="004E5439"/>
    <w:rsid w:val="004E6060"/>
    <w:rsid w:val="004E679E"/>
    <w:rsid w:val="004F01A6"/>
    <w:rsid w:val="004F0453"/>
    <w:rsid w:val="004F10A7"/>
    <w:rsid w:val="004F10E4"/>
    <w:rsid w:val="004F268A"/>
    <w:rsid w:val="004F2925"/>
    <w:rsid w:val="004F3828"/>
    <w:rsid w:val="004F59C7"/>
    <w:rsid w:val="004F7079"/>
    <w:rsid w:val="004F72D6"/>
    <w:rsid w:val="004F7E91"/>
    <w:rsid w:val="00500CAE"/>
    <w:rsid w:val="005013B7"/>
    <w:rsid w:val="005020AD"/>
    <w:rsid w:val="00502444"/>
    <w:rsid w:val="00502997"/>
    <w:rsid w:val="00503D88"/>
    <w:rsid w:val="00504829"/>
    <w:rsid w:val="005049DD"/>
    <w:rsid w:val="00505C88"/>
    <w:rsid w:val="00506242"/>
    <w:rsid w:val="0050742F"/>
    <w:rsid w:val="00510746"/>
    <w:rsid w:val="005109C2"/>
    <w:rsid w:val="005116E4"/>
    <w:rsid w:val="00511874"/>
    <w:rsid w:val="0051206F"/>
    <w:rsid w:val="00512CDE"/>
    <w:rsid w:val="00513B00"/>
    <w:rsid w:val="00514FC9"/>
    <w:rsid w:val="00515C1D"/>
    <w:rsid w:val="005160C6"/>
    <w:rsid w:val="00516AF9"/>
    <w:rsid w:val="00516C4E"/>
    <w:rsid w:val="0051761B"/>
    <w:rsid w:val="0052177F"/>
    <w:rsid w:val="005223EF"/>
    <w:rsid w:val="00524DF4"/>
    <w:rsid w:val="00525BCA"/>
    <w:rsid w:val="00526197"/>
    <w:rsid w:val="0053269E"/>
    <w:rsid w:val="00534944"/>
    <w:rsid w:val="00534E4A"/>
    <w:rsid w:val="00535616"/>
    <w:rsid w:val="00535C43"/>
    <w:rsid w:val="0053603E"/>
    <w:rsid w:val="0054029B"/>
    <w:rsid w:val="0054076E"/>
    <w:rsid w:val="00542701"/>
    <w:rsid w:val="005434DD"/>
    <w:rsid w:val="00546F3C"/>
    <w:rsid w:val="00547369"/>
    <w:rsid w:val="00550A7B"/>
    <w:rsid w:val="005516E8"/>
    <w:rsid w:val="00551AAD"/>
    <w:rsid w:val="00551D8D"/>
    <w:rsid w:val="00552283"/>
    <w:rsid w:val="00552C89"/>
    <w:rsid w:val="00554352"/>
    <w:rsid w:val="00554730"/>
    <w:rsid w:val="00554AC0"/>
    <w:rsid w:val="00557D89"/>
    <w:rsid w:val="005623D9"/>
    <w:rsid w:val="00563320"/>
    <w:rsid w:val="00563A0B"/>
    <w:rsid w:val="00563D62"/>
    <w:rsid w:val="00564384"/>
    <w:rsid w:val="00564977"/>
    <w:rsid w:val="00564A35"/>
    <w:rsid w:val="005668D8"/>
    <w:rsid w:val="005676AB"/>
    <w:rsid w:val="00567732"/>
    <w:rsid w:val="00567A02"/>
    <w:rsid w:val="00567D74"/>
    <w:rsid w:val="0057180A"/>
    <w:rsid w:val="00573368"/>
    <w:rsid w:val="005744DC"/>
    <w:rsid w:val="00574726"/>
    <w:rsid w:val="00575523"/>
    <w:rsid w:val="00575996"/>
    <w:rsid w:val="00576CF0"/>
    <w:rsid w:val="00577EEC"/>
    <w:rsid w:val="00583390"/>
    <w:rsid w:val="005833FD"/>
    <w:rsid w:val="005837EA"/>
    <w:rsid w:val="00583C95"/>
    <w:rsid w:val="0058459E"/>
    <w:rsid w:val="00584810"/>
    <w:rsid w:val="00585157"/>
    <w:rsid w:val="00586B50"/>
    <w:rsid w:val="00586D05"/>
    <w:rsid w:val="00590CA3"/>
    <w:rsid w:val="005932ED"/>
    <w:rsid w:val="005939C3"/>
    <w:rsid w:val="00594ED4"/>
    <w:rsid w:val="005959B8"/>
    <w:rsid w:val="00596A33"/>
    <w:rsid w:val="005A1580"/>
    <w:rsid w:val="005A2324"/>
    <w:rsid w:val="005A2B73"/>
    <w:rsid w:val="005A3280"/>
    <w:rsid w:val="005A3928"/>
    <w:rsid w:val="005A3CB7"/>
    <w:rsid w:val="005A445E"/>
    <w:rsid w:val="005A4792"/>
    <w:rsid w:val="005A7065"/>
    <w:rsid w:val="005A77E4"/>
    <w:rsid w:val="005B1121"/>
    <w:rsid w:val="005B45BA"/>
    <w:rsid w:val="005B4821"/>
    <w:rsid w:val="005B48FD"/>
    <w:rsid w:val="005B4FD4"/>
    <w:rsid w:val="005B5DCE"/>
    <w:rsid w:val="005B6140"/>
    <w:rsid w:val="005B6B05"/>
    <w:rsid w:val="005B6B49"/>
    <w:rsid w:val="005B7630"/>
    <w:rsid w:val="005B7CD7"/>
    <w:rsid w:val="005C08F5"/>
    <w:rsid w:val="005C2D87"/>
    <w:rsid w:val="005C42D9"/>
    <w:rsid w:val="005C4B73"/>
    <w:rsid w:val="005C4F27"/>
    <w:rsid w:val="005C5218"/>
    <w:rsid w:val="005C6057"/>
    <w:rsid w:val="005C698A"/>
    <w:rsid w:val="005D0433"/>
    <w:rsid w:val="005D314D"/>
    <w:rsid w:val="005D35C3"/>
    <w:rsid w:val="005D3AC2"/>
    <w:rsid w:val="005D5067"/>
    <w:rsid w:val="005D521D"/>
    <w:rsid w:val="005D74D7"/>
    <w:rsid w:val="005D7633"/>
    <w:rsid w:val="005D781B"/>
    <w:rsid w:val="005D7DDB"/>
    <w:rsid w:val="005E088C"/>
    <w:rsid w:val="005E0B68"/>
    <w:rsid w:val="005E167A"/>
    <w:rsid w:val="005E286C"/>
    <w:rsid w:val="005E2A84"/>
    <w:rsid w:val="005E51B7"/>
    <w:rsid w:val="005E5BF4"/>
    <w:rsid w:val="005E5C98"/>
    <w:rsid w:val="005E6618"/>
    <w:rsid w:val="005F29E3"/>
    <w:rsid w:val="005F37F8"/>
    <w:rsid w:val="005F413A"/>
    <w:rsid w:val="005F44C8"/>
    <w:rsid w:val="005F67A7"/>
    <w:rsid w:val="00600497"/>
    <w:rsid w:val="00602600"/>
    <w:rsid w:val="00603A57"/>
    <w:rsid w:val="00604732"/>
    <w:rsid w:val="0060486D"/>
    <w:rsid w:val="006058CD"/>
    <w:rsid w:val="00605D99"/>
    <w:rsid w:val="00611203"/>
    <w:rsid w:val="00611302"/>
    <w:rsid w:val="00612460"/>
    <w:rsid w:val="006165FA"/>
    <w:rsid w:val="00616771"/>
    <w:rsid w:val="0062494D"/>
    <w:rsid w:val="00624E7B"/>
    <w:rsid w:val="0062505F"/>
    <w:rsid w:val="00627E93"/>
    <w:rsid w:val="00630A95"/>
    <w:rsid w:val="00630EE4"/>
    <w:rsid w:val="00634006"/>
    <w:rsid w:val="006350A8"/>
    <w:rsid w:val="00635A8F"/>
    <w:rsid w:val="00635F07"/>
    <w:rsid w:val="006362F2"/>
    <w:rsid w:val="006400FD"/>
    <w:rsid w:val="00640189"/>
    <w:rsid w:val="00640942"/>
    <w:rsid w:val="006418AA"/>
    <w:rsid w:val="00641A75"/>
    <w:rsid w:val="0064310C"/>
    <w:rsid w:val="00643ADC"/>
    <w:rsid w:val="00643D49"/>
    <w:rsid w:val="00643FA2"/>
    <w:rsid w:val="0064407D"/>
    <w:rsid w:val="00647795"/>
    <w:rsid w:val="00647EF2"/>
    <w:rsid w:val="00651813"/>
    <w:rsid w:val="00651B50"/>
    <w:rsid w:val="00651EDA"/>
    <w:rsid w:val="00651F13"/>
    <w:rsid w:val="006520F4"/>
    <w:rsid w:val="00652F82"/>
    <w:rsid w:val="0065343D"/>
    <w:rsid w:val="00653EF3"/>
    <w:rsid w:val="00654245"/>
    <w:rsid w:val="006559AC"/>
    <w:rsid w:val="00656662"/>
    <w:rsid w:val="00656868"/>
    <w:rsid w:val="006568DC"/>
    <w:rsid w:val="00656AC0"/>
    <w:rsid w:val="00656F38"/>
    <w:rsid w:val="00657E58"/>
    <w:rsid w:val="0066037A"/>
    <w:rsid w:val="00663192"/>
    <w:rsid w:val="00663377"/>
    <w:rsid w:val="00663935"/>
    <w:rsid w:val="00663B1C"/>
    <w:rsid w:val="00663BFF"/>
    <w:rsid w:val="0066435F"/>
    <w:rsid w:val="00664841"/>
    <w:rsid w:val="00665429"/>
    <w:rsid w:val="00665B6F"/>
    <w:rsid w:val="00665DD4"/>
    <w:rsid w:val="00666206"/>
    <w:rsid w:val="006669F6"/>
    <w:rsid w:val="006715E0"/>
    <w:rsid w:val="00672DD3"/>
    <w:rsid w:val="00673151"/>
    <w:rsid w:val="00673964"/>
    <w:rsid w:val="00675155"/>
    <w:rsid w:val="006765C4"/>
    <w:rsid w:val="00677325"/>
    <w:rsid w:val="00677DA4"/>
    <w:rsid w:val="00677E32"/>
    <w:rsid w:val="00680496"/>
    <w:rsid w:val="00681022"/>
    <w:rsid w:val="00681425"/>
    <w:rsid w:val="00681689"/>
    <w:rsid w:val="00682408"/>
    <w:rsid w:val="00682C0A"/>
    <w:rsid w:val="0068333C"/>
    <w:rsid w:val="006839B2"/>
    <w:rsid w:val="006845B1"/>
    <w:rsid w:val="00685596"/>
    <w:rsid w:val="006857E5"/>
    <w:rsid w:val="00685802"/>
    <w:rsid w:val="00686579"/>
    <w:rsid w:val="006869CC"/>
    <w:rsid w:val="00686F41"/>
    <w:rsid w:val="00687C53"/>
    <w:rsid w:val="006905FD"/>
    <w:rsid w:val="00690A7A"/>
    <w:rsid w:val="0069138C"/>
    <w:rsid w:val="006913D5"/>
    <w:rsid w:val="006925FA"/>
    <w:rsid w:val="0069287B"/>
    <w:rsid w:val="00696A1A"/>
    <w:rsid w:val="00696B43"/>
    <w:rsid w:val="00696DD3"/>
    <w:rsid w:val="0069730B"/>
    <w:rsid w:val="00697525"/>
    <w:rsid w:val="006976B5"/>
    <w:rsid w:val="00697F53"/>
    <w:rsid w:val="006A5861"/>
    <w:rsid w:val="006A5D44"/>
    <w:rsid w:val="006A61EE"/>
    <w:rsid w:val="006A668C"/>
    <w:rsid w:val="006A6B23"/>
    <w:rsid w:val="006A7116"/>
    <w:rsid w:val="006B0C3A"/>
    <w:rsid w:val="006B0D80"/>
    <w:rsid w:val="006B27D7"/>
    <w:rsid w:val="006B3016"/>
    <w:rsid w:val="006B3B01"/>
    <w:rsid w:val="006B4081"/>
    <w:rsid w:val="006B443D"/>
    <w:rsid w:val="006B4C02"/>
    <w:rsid w:val="006B50A9"/>
    <w:rsid w:val="006B54CA"/>
    <w:rsid w:val="006B58D1"/>
    <w:rsid w:val="006B6AF7"/>
    <w:rsid w:val="006B6ECD"/>
    <w:rsid w:val="006B7E34"/>
    <w:rsid w:val="006C0A6A"/>
    <w:rsid w:val="006C1B77"/>
    <w:rsid w:val="006C2D63"/>
    <w:rsid w:val="006C531E"/>
    <w:rsid w:val="006C5728"/>
    <w:rsid w:val="006C5799"/>
    <w:rsid w:val="006C5A96"/>
    <w:rsid w:val="006C5ABF"/>
    <w:rsid w:val="006C5E25"/>
    <w:rsid w:val="006C6486"/>
    <w:rsid w:val="006C671D"/>
    <w:rsid w:val="006C6E08"/>
    <w:rsid w:val="006C7E20"/>
    <w:rsid w:val="006D08E4"/>
    <w:rsid w:val="006D100B"/>
    <w:rsid w:val="006D1F1A"/>
    <w:rsid w:val="006D2A41"/>
    <w:rsid w:val="006D52A8"/>
    <w:rsid w:val="006D7B98"/>
    <w:rsid w:val="006D7FA0"/>
    <w:rsid w:val="006E22A6"/>
    <w:rsid w:val="006E3832"/>
    <w:rsid w:val="006E59CE"/>
    <w:rsid w:val="006F1F57"/>
    <w:rsid w:val="006F1FC2"/>
    <w:rsid w:val="006F3081"/>
    <w:rsid w:val="006F3A0D"/>
    <w:rsid w:val="006F4008"/>
    <w:rsid w:val="006F5B5A"/>
    <w:rsid w:val="006F6BA2"/>
    <w:rsid w:val="006F7B8B"/>
    <w:rsid w:val="006F7FF6"/>
    <w:rsid w:val="007003D9"/>
    <w:rsid w:val="00700950"/>
    <w:rsid w:val="00700E31"/>
    <w:rsid w:val="0070227A"/>
    <w:rsid w:val="007023BC"/>
    <w:rsid w:val="00702FC2"/>
    <w:rsid w:val="00703318"/>
    <w:rsid w:val="007038F3"/>
    <w:rsid w:val="00704068"/>
    <w:rsid w:val="00704136"/>
    <w:rsid w:val="00705D03"/>
    <w:rsid w:val="00707B6E"/>
    <w:rsid w:val="00710481"/>
    <w:rsid w:val="00710593"/>
    <w:rsid w:val="00710D94"/>
    <w:rsid w:val="00712984"/>
    <w:rsid w:val="00713391"/>
    <w:rsid w:val="007145FE"/>
    <w:rsid w:val="0071680B"/>
    <w:rsid w:val="00717238"/>
    <w:rsid w:val="0072031D"/>
    <w:rsid w:val="00720DD5"/>
    <w:rsid w:val="0072175A"/>
    <w:rsid w:val="00721D86"/>
    <w:rsid w:val="00722C51"/>
    <w:rsid w:val="0072326F"/>
    <w:rsid w:val="007237D2"/>
    <w:rsid w:val="0072512B"/>
    <w:rsid w:val="00725F1B"/>
    <w:rsid w:val="007265A9"/>
    <w:rsid w:val="00726FA4"/>
    <w:rsid w:val="00727FD4"/>
    <w:rsid w:val="00730182"/>
    <w:rsid w:val="00730467"/>
    <w:rsid w:val="007305A4"/>
    <w:rsid w:val="0073084A"/>
    <w:rsid w:val="00730A53"/>
    <w:rsid w:val="0073211E"/>
    <w:rsid w:val="007334F1"/>
    <w:rsid w:val="0073538C"/>
    <w:rsid w:val="00735A07"/>
    <w:rsid w:val="00735DE7"/>
    <w:rsid w:val="00736A54"/>
    <w:rsid w:val="00737206"/>
    <w:rsid w:val="00737AD0"/>
    <w:rsid w:val="0074031D"/>
    <w:rsid w:val="00741062"/>
    <w:rsid w:val="00741B06"/>
    <w:rsid w:val="00743DDD"/>
    <w:rsid w:val="00743FE6"/>
    <w:rsid w:val="00744B7F"/>
    <w:rsid w:val="007476C9"/>
    <w:rsid w:val="007521AB"/>
    <w:rsid w:val="0075407C"/>
    <w:rsid w:val="00754168"/>
    <w:rsid w:val="0075527C"/>
    <w:rsid w:val="00755C0A"/>
    <w:rsid w:val="00757367"/>
    <w:rsid w:val="00757438"/>
    <w:rsid w:val="00757F84"/>
    <w:rsid w:val="007608BF"/>
    <w:rsid w:val="007631F1"/>
    <w:rsid w:val="00766B12"/>
    <w:rsid w:val="007670FF"/>
    <w:rsid w:val="007679A6"/>
    <w:rsid w:val="007703FF"/>
    <w:rsid w:val="00774088"/>
    <w:rsid w:val="00774BBF"/>
    <w:rsid w:val="00775C7F"/>
    <w:rsid w:val="00775DDF"/>
    <w:rsid w:val="007770E0"/>
    <w:rsid w:val="00777221"/>
    <w:rsid w:val="0078155C"/>
    <w:rsid w:val="00781D86"/>
    <w:rsid w:val="00782183"/>
    <w:rsid w:val="007828F2"/>
    <w:rsid w:val="00783E9B"/>
    <w:rsid w:val="00784D4D"/>
    <w:rsid w:val="00785B6B"/>
    <w:rsid w:val="00785F31"/>
    <w:rsid w:val="00787A16"/>
    <w:rsid w:val="00787BC5"/>
    <w:rsid w:val="00790312"/>
    <w:rsid w:val="00790525"/>
    <w:rsid w:val="00790F34"/>
    <w:rsid w:val="007914A9"/>
    <w:rsid w:val="00791F5C"/>
    <w:rsid w:val="00792658"/>
    <w:rsid w:val="00793DEC"/>
    <w:rsid w:val="0079527E"/>
    <w:rsid w:val="007964CD"/>
    <w:rsid w:val="007A1C43"/>
    <w:rsid w:val="007A2413"/>
    <w:rsid w:val="007A2507"/>
    <w:rsid w:val="007A2555"/>
    <w:rsid w:val="007A2A51"/>
    <w:rsid w:val="007A2F44"/>
    <w:rsid w:val="007A3134"/>
    <w:rsid w:val="007A4CBC"/>
    <w:rsid w:val="007A4CDF"/>
    <w:rsid w:val="007A55FE"/>
    <w:rsid w:val="007A674E"/>
    <w:rsid w:val="007A6C35"/>
    <w:rsid w:val="007B05CF"/>
    <w:rsid w:val="007B271D"/>
    <w:rsid w:val="007B2D98"/>
    <w:rsid w:val="007B2EF6"/>
    <w:rsid w:val="007B3315"/>
    <w:rsid w:val="007B395B"/>
    <w:rsid w:val="007B3EDF"/>
    <w:rsid w:val="007B4459"/>
    <w:rsid w:val="007B4CD2"/>
    <w:rsid w:val="007B713C"/>
    <w:rsid w:val="007B7524"/>
    <w:rsid w:val="007B7C38"/>
    <w:rsid w:val="007C119B"/>
    <w:rsid w:val="007C1604"/>
    <w:rsid w:val="007C2D74"/>
    <w:rsid w:val="007C373B"/>
    <w:rsid w:val="007C60EF"/>
    <w:rsid w:val="007C6562"/>
    <w:rsid w:val="007C6BF0"/>
    <w:rsid w:val="007C7515"/>
    <w:rsid w:val="007D02E8"/>
    <w:rsid w:val="007D0B00"/>
    <w:rsid w:val="007D1A74"/>
    <w:rsid w:val="007D1D55"/>
    <w:rsid w:val="007D35D6"/>
    <w:rsid w:val="007D4F1E"/>
    <w:rsid w:val="007D5CEF"/>
    <w:rsid w:val="007D5D93"/>
    <w:rsid w:val="007D7CB6"/>
    <w:rsid w:val="007E14AE"/>
    <w:rsid w:val="007E21D1"/>
    <w:rsid w:val="007E2A94"/>
    <w:rsid w:val="007E3A69"/>
    <w:rsid w:val="007E43DF"/>
    <w:rsid w:val="007E453B"/>
    <w:rsid w:val="007E4B5A"/>
    <w:rsid w:val="007E677E"/>
    <w:rsid w:val="007F0BE0"/>
    <w:rsid w:val="007F30E7"/>
    <w:rsid w:val="007F3F1F"/>
    <w:rsid w:val="007F45B1"/>
    <w:rsid w:val="007F4667"/>
    <w:rsid w:val="007F5A55"/>
    <w:rsid w:val="007F5A89"/>
    <w:rsid w:val="007F6FBE"/>
    <w:rsid w:val="007F6FC0"/>
    <w:rsid w:val="007F7E66"/>
    <w:rsid w:val="008047CA"/>
    <w:rsid w:val="00804A17"/>
    <w:rsid w:val="00804A9A"/>
    <w:rsid w:val="008050D7"/>
    <w:rsid w:val="00810E8E"/>
    <w:rsid w:val="008111D8"/>
    <w:rsid w:val="00812F94"/>
    <w:rsid w:val="0081472D"/>
    <w:rsid w:val="00815140"/>
    <w:rsid w:val="008161EB"/>
    <w:rsid w:val="008166DA"/>
    <w:rsid w:val="00817D3B"/>
    <w:rsid w:val="00821799"/>
    <w:rsid w:val="00825C1A"/>
    <w:rsid w:val="00830A38"/>
    <w:rsid w:val="00831853"/>
    <w:rsid w:val="008321C6"/>
    <w:rsid w:val="008337B1"/>
    <w:rsid w:val="00833E02"/>
    <w:rsid w:val="00837D72"/>
    <w:rsid w:val="008400E8"/>
    <w:rsid w:val="00842938"/>
    <w:rsid w:val="00842A01"/>
    <w:rsid w:val="00843E96"/>
    <w:rsid w:val="00844FC1"/>
    <w:rsid w:val="00846AC9"/>
    <w:rsid w:val="00847705"/>
    <w:rsid w:val="00847AB1"/>
    <w:rsid w:val="008500E7"/>
    <w:rsid w:val="00850134"/>
    <w:rsid w:val="008513BC"/>
    <w:rsid w:val="00852180"/>
    <w:rsid w:val="00853379"/>
    <w:rsid w:val="00856C4C"/>
    <w:rsid w:val="00856E88"/>
    <w:rsid w:val="00857133"/>
    <w:rsid w:val="00857182"/>
    <w:rsid w:val="00857F3A"/>
    <w:rsid w:val="00860FC8"/>
    <w:rsid w:val="00860FE1"/>
    <w:rsid w:val="00861708"/>
    <w:rsid w:val="00861B8E"/>
    <w:rsid w:val="00862690"/>
    <w:rsid w:val="00863488"/>
    <w:rsid w:val="00865C86"/>
    <w:rsid w:val="0086652A"/>
    <w:rsid w:val="008665E1"/>
    <w:rsid w:val="008671A5"/>
    <w:rsid w:val="0087047A"/>
    <w:rsid w:val="008704BE"/>
    <w:rsid w:val="0087058E"/>
    <w:rsid w:val="008706A4"/>
    <w:rsid w:val="008711A6"/>
    <w:rsid w:val="00871289"/>
    <w:rsid w:val="00872084"/>
    <w:rsid w:val="0087221B"/>
    <w:rsid w:val="00873145"/>
    <w:rsid w:val="00873568"/>
    <w:rsid w:val="008738AC"/>
    <w:rsid w:val="00874657"/>
    <w:rsid w:val="00874BDF"/>
    <w:rsid w:val="008750C3"/>
    <w:rsid w:val="008754E5"/>
    <w:rsid w:val="00875FE5"/>
    <w:rsid w:val="00877D1A"/>
    <w:rsid w:val="00880011"/>
    <w:rsid w:val="00880EA8"/>
    <w:rsid w:val="00881833"/>
    <w:rsid w:val="00881F41"/>
    <w:rsid w:val="00883C03"/>
    <w:rsid w:val="008848F7"/>
    <w:rsid w:val="00887071"/>
    <w:rsid w:val="00890CA5"/>
    <w:rsid w:val="00891EEE"/>
    <w:rsid w:val="00891FFC"/>
    <w:rsid w:val="00892A50"/>
    <w:rsid w:val="008940F8"/>
    <w:rsid w:val="008947B4"/>
    <w:rsid w:val="00894891"/>
    <w:rsid w:val="00895460"/>
    <w:rsid w:val="00895AEA"/>
    <w:rsid w:val="008967A6"/>
    <w:rsid w:val="00897257"/>
    <w:rsid w:val="008A0B89"/>
    <w:rsid w:val="008A0E95"/>
    <w:rsid w:val="008A1F00"/>
    <w:rsid w:val="008A2B39"/>
    <w:rsid w:val="008A2D84"/>
    <w:rsid w:val="008A3F40"/>
    <w:rsid w:val="008A526B"/>
    <w:rsid w:val="008A5749"/>
    <w:rsid w:val="008A6042"/>
    <w:rsid w:val="008A63E3"/>
    <w:rsid w:val="008A71CD"/>
    <w:rsid w:val="008B0157"/>
    <w:rsid w:val="008B0995"/>
    <w:rsid w:val="008B1598"/>
    <w:rsid w:val="008B1765"/>
    <w:rsid w:val="008B1968"/>
    <w:rsid w:val="008B1C99"/>
    <w:rsid w:val="008B25CD"/>
    <w:rsid w:val="008B3580"/>
    <w:rsid w:val="008B388F"/>
    <w:rsid w:val="008B38FA"/>
    <w:rsid w:val="008B41D5"/>
    <w:rsid w:val="008B4D8F"/>
    <w:rsid w:val="008B6068"/>
    <w:rsid w:val="008B6E06"/>
    <w:rsid w:val="008C17F7"/>
    <w:rsid w:val="008C379A"/>
    <w:rsid w:val="008C4505"/>
    <w:rsid w:val="008C4696"/>
    <w:rsid w:val="008C5B19"/>
    <w:rsid w:val="008D07CB"/>
    <w:rsid w:val="008D093F"/>
    <w:rsid w:val="008D1103"/>
    <w:rsid w:val="008D1F4E"/>
    <w:rsid w:val="008D411F"/>
    <w:rsid w:val="008D482B"/>
    <w:rsid w:val="008D4B41"/>
    <w:rsid w:val="008D4CC8"/>
    <w:rsid w:val="008D661F"/>
    <w:rsid w:val="008D69C5"/>
    <w:rsid w:val="008D6F84"/>
    <w:rsid w:val="008D72A1"/>
    <w:rsid w:val="008E0A04"/>
    <w:rsid w:val="008E0B1A"/>
    <w:rsid w:val="008E1832"/>
    <w:rsid w:val="008E1E30"/>
    <w:rsid w:val="008E32E1"/>
    <w:rsid w:val="008E3CF2"/>
    <w:rsid w:val="008E48DA"/>
    <w:rsid w:val="008E4D82"/>
    <w:rsid w:val="008E5E41"/>
    <w:rsid w:val="008E648C"/>
    <w:rsid w:val="008E68B8"/>
    <w:rsid w:val="008F2387"/>
    <w:rsid w:val="008F271F"/>
    <w:rsid w:val="008F27B4"/>
    <w:rsid w:val="008F2AAB"/>
    <w:rsid w:val="008F3AFE"/>
    <w:rsid w:val="008F3D51"/>
    <w:rsid w:val="008F5A27"/>
    <w:rsid w:val="008F6223"/>
    <w:rsid w:val="008F6488"/>
    <w:rsid w:val="00903551"/>
    <w:rsid w:val="0090556E"/>
    <w:rsid w:val="00905BDE"/>
    <w:rsid w:val="00905F4A"/>
    <w:rsid w:val="0090635C"/>
    <w:rsid w:val="00906ACE"/>
    <w:rsid w:val="00907236"/>
    <w:rsid w:val="00910CB9"/>
    <w:rsid w:val="00911879"/>
    <w:rsid w:val="00912271"/>
    <w:rsid w:val="0091238D"/>
    <w:rsid w:val="00912B6F"/>
    <w:rsid w:val="00913956"/>
    <w:rsid w:val="009146D1"/>
    <w:rsid w:val="00915925"/>
    <w:rsid w:val="00915A54"/>
    <w:rsid w:val="00916458"/>
    <w:rsid w:val="00916C04"/>
    <w:rsid w:val="009172C3"/>
    <w:rsid w:val="009175E1"/>
    <w:rsid w:val="00920A35"/>
    <w:rsid w:val="00921985"/>
    <w:rsid w:val="0092231A"/>
    <w:rsid w:val="00922E36"/>
    <w:rsid w:val="00923A24"/>
    <w:rsid w:val="00924DD7"/>
    <w:rsid w:val="009253E0"/>
    <w:rsid w:val="00925505"/>
    <w:rsid w:val="00925710"/>
    <w:rsid w:val="0092628D"/>
    <w:rsid w:val="0092636C"/>
    <w:rsid w:val="00926F6B"/>
    <w:rsid w:val="009272C5"/>
    <w:rsid w:val="009273FC"/>
    <w:rsid w:val="00930680"/>
    <w:rsid w:val="009319CC"/>
    <w:rsid w:val="00932880"/>
    <w:rsid w:val="009350EC"/>
    <w:rsid w:val="00935A8C"/>
    <w:rsid w:val="00935C33"/>
    <w:rsid w:val="009366B2"/>
    <w:rsid w:val="009374D4"/>
    <w:rsid w:val="00937640"/>
    <w:rsid w:val="00940793"/>
    <w:rsid w:val="009415FC"/>
    <w:rsid w:val="00943AC2"/>
    <w:rsid w:val="00943CD1"/>
    <w:rsid w:val="009445CA"/>
    <w:rsid w:val="00944CC6"/>
    <w:rsid w:val="00945553"/>
    <w:rsid w:val="00945DCB"/>
    <w:rsid w:val="00946417"/>
    <w:rsid w:val="009477FF"/>
    <w:rsid w:val="00947D01"/>
    <w:rsid w:val="0095080F"/>
    <w:rsid w:val="00950E78"/>
    <w:rsid w:val="009515C3"/>
    <w:rsid w:val="00951B5D"/>
    <w:rsid w:val="00951CEF"/>
    <w:rsid w:val="00951EFD"/>
    <w:rsid w:val="00953A74"/>
    <w:rsid w:val="00954961"/>
    <w:rsid w:val="00955480"/>
    <w:rsid w:val="00955825"/>
    <w:rsid w:val="00955BF4"/>
    <w:rsid w:val="009569B5"/>
    <w:rsid w:val="00956AC9"/>
    <w:rsid w:val="00956FF4"/>
    <w:rsid w:val="00957BD4"/>
    <w:rsid w:val="0096089C"/>
    <w:rsid w:val="00961A86"/>
    <w:rsid w:val="00961DB1"/>
    <w:rsid w:val="009640EE"/>
    <w:rsid w:val="00964784"/>
    <w:rsid w:val="00966241"/>
    <w:rsid w:val="00967845"/>
    <w:rsid w:val="009703B0"/>
    <w:rsid w:val="00970997"/>
    <w:rsid w:val="009709BD"/>
    <w:rsid w:val="00971C4E"/>
    <w:rsid w:val="00972FE6"/>
    <w:rsid w:val="009744AF"/>
    <w:rsid w:val="009744D3"/>
    <w:rsid w:val="00974D32"/>
    <w:rsid w:val="009762BE"/>
    <w:rsid w:val="00976EDE"/>
    <w:rsid w:val="00976F74"/>
    <w:rsid w:val="00980AA7"/>
    <w:rsid w:val="00980CA7"/>
    <w:rsid w:val="00981AFC"/>
    <w:rsid w:val="00982EF7"/>
    <w:rsid w:val="0098341F"/>
    <w:rsid w:val="00983F27"/>
    <w:rsid w:val="009844BD"/>
    <w:rsid w:val="00984951"/>
    <w:rsid w:val="00985D9D"/>
    <w:rsid w:val="009868C8"/>
    <w:rsid w:val="00987332"/>
    <w:rsid w:val="0098767B"/>
    <w:rsid w:val="009876D1"/>
    <w:rsid w:val="00987E13"/>
    <w:rsid w:val="009902A7"/>
    <w:rsid w:val="00990A5E"/>
    <w:rsid w:val="00990CE0"/>
    <w:rsid w:val="009913C7"/>
    <w:rsid w:val="0099466A"/>
    <w:rsid w:val="00994937"/>
    <w:rsid w:val="009949A2"/>
    <w:rsid w:val="00995559"/>
    <w:rsid w:val="0099685A"/>
    <w:rsid w:val="00996C89"/>
    <w:rsid w:val="009A0E1F"/>
    <w:rsid w:val="009A172B"/>
    <w:rsid w:val="009A5984"/>
    <w:rsid w:val="009A757F"/>
    <w:rsid w:val="009B001B"/>
    <w:rsid w:val="009B23FB"/>
    <w:rsid w:val="009B2C95"/>
    <w:rsid w:val="009B4AE8"/>
    <w:rsid w:val="009B4C6F"/>
    <w:rsid w:val="009B549F"/>
    <w:rsid w:val="009B5BE7"/>
    <w:rsid w:val="009B6B3C"/>
    <w:rsid w:val="009C0D13"/>
    <w:rsid w:val="009C5118"/>
    <w:rsid w:val="009C7494"/>
    <w:rsid w:val="009D0064"/>
    <w:rsid w:val="009D17A0"/>
    <w:rsid w:val="009D38BE"/>
    <w:rsid w:val="009D4F25"/>
    <w:rsid w:val="009E0506"/>
    <w:rsid w:val="009E1519"/>
    <w:rsid w:val="009E31E3"/>
    <w:rsid w:val="009E33A7"/>
    <w:rsid w:val="009E3646"/>
    <w:rsid w:val="009E7ACE"/>
    <w:rsid w:val="009E7F69"/>
    <w:rsid w:val="009F067D"/>
    <w:rsid w:val="009F0C3C"/>
    <w:rsid w:val="009F23B7"/>
    <w:rsid w:val="009F3047"/>
    <w:rsid w:val="009F312F"/>
    <w:rsid w:val="009F46FB"/>
    <w:rsid w:val="009F5098"/>
    <w:rsid w:val="009F5C9D"/>
    <w:rsid w:val="009F7F40"/>
    <w:rsid w:val="00A02685"/>
    <w:rsid w:val="00A02F82"/>
    <w:rsid w:val="00A03141"/>
    <w:rsid w:val="00A03600"/>
    <w:rsid w:val="00A04DCD"/>
    <w:rsid w:val="00A05CB8"/>
    <w:rsid w:val="00A065E8"/>
    <w:rsid w:val="00A06B4D"/>
    <w:rsid w:val="00A07D5B"/>
    <w:rsid w:val="00A10DC2"/>
    <w:rsid w:val="00A12AEE"/>
    <w:rsid w:val="00A1367F"/>
    <w:rsid w:val="00A1519E"/>
    <w:rsid w:val="00A204DD"/>
    <w:rsid w:val="00A2099E"/>
    <w:rsid w:val="00A20DDA"/>
    <w:rsid w:val="00A211F3"/>
    <w:rsid w:val="00A2138A"/>
    <w:rsid w:val="00A23D0B"/>
    <w:rsid w:val="00A24FDD"/>
    <w:rsid w:val="00A253E9"/>
    <w:rsid w:val="00A30D09"/>
    <w:rsid w:val="00A32154"/>
    <w:rsid w:val="00A326FE"/>
    <w:rsid w:val="00A32ED9"/>
    <w:rsid w:val="00A33CD5"/>
    <w:rsid w:val="00A340DB"/>
    <w:rsid w:val="00A34329"/>
    <w:rsid w:val="00A347A8"/>
    <w:rsid w:val="00A35B0D"/>
    <w:rsid w:val="00A35C45"/>
    <w:rsid w:val="00A35FB7"/>
    <w:rsid w:val="00A3705C"/>
    <w:rsid w:val="00A40572"/>
    <w:rsid w:val="00A42178"/>
    <w:rsid w:val="00A43948"/>
    <w:rsid w:val="00A44967"/>
    <w:rsid w:val="00A45AA5"/>
    <w:rsid w:val="00A46586"/>
    <w:rsid w:val="00A46678"/>
    <w:rsid w:val="00A46B46"/>
    <w:rsid w:val="00A47D98"/>
    <w:rsid w:val="00A47FC5"/>
    <w:rsid w:val="00A517BF"/>
    <w:rsid w:val="00A531E7"/>
    <w:rsid w:val="00A53971"/>
    <w:rsid w:val="00A54B04"/>
    <w:rsid w:val="00A55349"/>
    <w:rsid w:val="00A55B37"/>
    <w:rsid w:val="00A55D04"/>
    <w:rsid w:val="00A5650F"/>
    <w:rsid w:val="00A579BF"/>
    <w:rsid w:val="00A60029"/>
    <w:rsid w:val="00A60E43"/>
    <w:rsid w:val="00A637D2"/>
    <w:rsid w:val="00A647F3"/>
    <w:rsid w:val="00A662AB"/>
    <w:rsid w:val="00A665FD"/>
    <w:rsid w:val="00A66C1A"/>
    <w:rsid w:val="00A673A1"/>
    <w:rsid w:val="00A67D9F"/>
    <w:rsid w:val="00A70E5A"/>
    <w:rsid w:val="00A70F00"/>
    <w:rsid w:val="00A713C8"/>
    <w:rsid w:val="00A714C4"/>
    <w:rsid w:val="00A724CB"/>
    <w:rsid w:val="00A73183"/>
    <w:rsid w:val="00A74E22"/>
    <w:rsid w:val="00A75509"/>
    <w:rsid w:val="00A75599"/>
    <w:rsid w:val="00A757B7"/>
    <w:rsid w:val="00A76594"/>
    <w:rsid w:val="00A77CB9"/>
    <w:rsid w:val="00A77D3D"/>
    <w:rsid w:val="00A80F3E"/>
    <w:rsid w:val="00A82534"/>
    <w:rsid w:val="00A855A5"/>
    <w:rsid w:val="00A856F7"/>
    <w:rsid w:val="00A858FD"/>
    <w:rsid w:val="00A8632C"/>
    <w:rsid w:val="00A8661A"/>
    <w:rsid w:val="00A86AF1"/>
    <w:rsid w:val="00A86B71"/>
    <w:rsid w:val="00A87863"/>
    <w:rsid w:val="00A913FC"/>
    <w:rsid w:val="00A91DB3"/>
    <w:rsid w:val="00A921B7"/>
    <w:rsid w:val="00A93ADE"/>
    <w:rsid w:val="00A963BC"/>
    <w:rsid w:val="00A965E2"/>
    <w:rsid w:val="00A970AF"/>
    <w:rsid w:val="00A97498"/>
    <w:rsid w:val="00AA1CD2"/>
    <w:rsid w:val="00AA2545"/>
    <w:rsid w:val="00AA3E5D"/>
    <w:rsid w:val="00AA55D1"/>
    <w:rsid w:val="00AA7761"/>
    <w:rsid w:val="00AB389A"/>
    <w:rsid w:val="00AB40FC"/>
    <w:rsid w:val="00AB4D81"/>
    <w:rsid w:val="00AC0188"/>
    <w:rsid w:val="00AC1180"/>
    <w:rsid w:val="00AC18BA"/>
    <w:rsid w:val="00AC2CD0"/>
    <w:rsid w:val="00AC2FA2"/>
    <w:rsid w:val="00AC39A5"/>
    <w:rsid w:val="00AC4741"/>
    <w:rsid w:val="00AC52B8"/>
    <w:rsid w:val="00AC7D11"/>
    <w:rsid w:val="00AD0D1F"/>
    <w:rsid w:val="00AD0D4D"/>
    <w:rsid w:val="00AD0D9D"/>
    <w:rsid w:val="00AD1802"/>
    <w:rsid w:val="00AD19BB"/>
    <w:rsid w:val="00AD2BC9"/>
    <w:rsid w:val="00AD404E"/>
    <w:rsid w:val="00AD4881"/>
    <w:rsid w:val="00AD4C47"/>
    <w:rsid w:val="00AD5032"/>
    <w:rsid w:val="00AD5067"/>
    <w:rsid w:val="00AD53FC"/>
    <w:rsid w:val="00AD5B18"/>
    <w:rsid w:val="00AE00F6"/>
    <w:rsid w:val="00AE0133"/>
    <w:rsid w:val="00AE0805"/>
    <w:rsid w:val="00AE136A"/>
    <w:rsid w:val="00AE2AC1"/>
    <w:rsid w:val="00AE3BDA"/>
    <w:rsid w:val="00AE3EE6"/>
    <w:rsid w:val="00AE41A5"/>
    <w:rsid w:val="00AE42E5"/>
    <w:rsid w:val="00AE43E8"/>
    <w:rsid w:val="00AE537E"/>
    <w:rsid w:val="00AE58E9"/>
    <w:rsid w:val="00AE5F02"/>
    <w:rsid w:val="00AE6DA6"/>
    <w:rsid w:val="00AE7668"/>
    <w:rsid w:val="00AE7C12"/>
    <w:rsid w:val="00AF0571"/>
    <w:rsid w:val="00AF1216"/>
    <w:rsid w:val="00AF1EA7"/>
    <w:rsid w:val="00AF38FC"/>
    <w:rsid w:val="00AF3B69"/>
    <w:rsid w:val="00AF4FA8"/>
    <w:rsid w:val="00AF4FF1"/>
    <w:rsid w:val="00AF538B"/>
    <w:rsid w:val="00AF5700"/>
    <w:rsid w:val="00B00BA3"/>
    <w:rsid w:val="00B00D0B"/>
    <w:rsid w:val="00B00E2E"/>
    <w:rsid w:val="00B019E2"/>
    <w:rsid w:val="00B01DCB"/>
    <w:rsid w:val="00B02188"/>
    <w:rsid w:val="00B0259E"/>
    <w:rsid w:val="00B03145"/>
    <w:rsid w:val="00B0595F"/>
    <w:rsid w:val="00B063B3"/>
    <w:rsid w:val="00B11AC4"/>
    <w:rsid w:val="00B12053"/>
    <w:rsid w:val="00B12358"/>
    <w:rsid w:val="00B13C47"/>
    <w:rsid w:val="00B1444E"/>
    <w:rsid w:val="00B14EFC"/>
    <w:rsid w:val="00B1618D"/>
    <w:rsid w:val="00B17762"/>
    <w:rsid w:val="00B20624"/>
    <w:rsid w:val="00B208A3"/>
    <w:rsid w:val="00B21F1C"/>
    <w:rsid w:val="00B22901"/>
    <w:rsid w:val="00B22F57"/>
    <w:rsid w:val="00B24385"/>
    <w:rsid w:val="00B25053"/>
    <w:rsid w:val="00B264D3"/>
    <w:rsid w:val="00B26B06"/>
    <w:rsid w:val="00B30FD8"/>
    <w:rsid w:val="00B3245E"/>
    <w:rsid w:val="00B328CF"/>
    <w:rsid w:val="00B32D66"/>
    <w:rsid w:val="00B331C9"/>
    <w:rsid w:val="00B333F1"/>
    <w:rsid w:val="00B33E84"/>
    <w:rsid w:val="00B350A8"/>
    <w:rsid w:val="00B40168"/>
    <w:rsid w:val="00B40DC9"/>
    <w:rsid w:val="00B420F0"/>
    <w:rsid w:val="00B43E72"/>
    <w:rsid w:val="00B444EA"/>
    <w:rsid w:val="00B446FE"/>
    <w:rsid w:val="00B4501B"/>
    <w:rsid w:val="00B455BA"/>
    <w:rsid w:val="00B459F6"/>
    <w:rsid w:val="00B45BE5"/>
    <w:rsid w:val="00B45DB8"/>
    <w:rsid w:val="00B4688C"/>
    <w:rsid w:val="00B4756B"/>
    <w:rsid w:val="00B50020"/>
    <w:rsid w:val="00B50975"/>
    <w:rsid w:val="00B51C06"/>
    <w:rsid w:val="00B51D21"/>
    <w:rsid w:val="00B547FE"/>
    <w:rsid w:val="00B567D8"/>
    <w:rsid w:val="00B56D23"/>
    <w:rsid w:val="00B57840"/>
    <w:rsid w:val="00B6006A"/>
    <w:rsid w:val="00B60163"/>
    <w:rsid w:val="00B6098E"/>
    <w:rsid w:val="00B62780"/>
    <w:rsid w:val="00B63AE6"/>
    <w:rsid w:val="00B63AEE"/>
    <w:rsid w:val="00B70978"/>
    <w:rsid w:val="00B70B2B"/>
    <w:rsid w:val="00B734F3"/>
    <w:rsid w:val="00B73F1E"/>
    <w:rsid w:val="00B74363"/>
    <w:rsid w:val="00B743AC"/>
    <w:rsid w:val="00B764D4"/>
    <w:rsid w:val="00B76BD8"/>
    <w:rsid w:val="00B770FC"/>
    <w:rsid w:val="00B80259"/>
    <w:rsid w:val="00B8157B"/>
    <w:rsid w:val="00B82E29"/>
    <w:rsid w:val="00B84457"/>
    <w:rsid w:val="00B84B09"/>
    <w:rsid w:val="00B87E4A"/>
    <w:rsid w:val="00B87F6D"/>
    <w:rsid w:val="00B902E3"/>
    <w:rsid w:val="00B90F85"/>
    <w:rsid w:val="00B92EA3"/>
    <w:rsid w:val="00B93985"/>
    <w:rsid w:val="00B94F2D"/>
    <w:rsid w:val="00B95427"/>
    <w:rsid w:val="00B9551E"/>
    <w:rsid w:val="00B969EF"/>
    <w:rsid w:val="00B97ADB"/>
    <w:rsid w:val="00B97F7E"/>
    <w:rsid w:val="00BA008E"/>
    <w:rsid w:val="00BA0957"/>
    <w:rsid w:val="00BA12B4"/>
    <w:rsid w:val="00BA1C41"/>
    <w:rsid w:val="00BA1FD6"/>
    <w:rsid w:val="00BA2A02"/>
    <w:rsid w:val="00BA4AEA"/>
    <w:rsid w:val="00BA4B85"/>
    <w:rsid w:val="00BA5C99"/>
    <w:rsid w:val="00BA6667"/>
    <w:rsid w:val="00BA6DDB"/>
    <w:rsid w:val="00BB0BF0"/>
    <w:rsid w:val="00BB1C75"/>
    <w:rsid w:val="00BB1E1F"/>
    <w:rsid w:val="00BB24F4"/>
    <w:rsid w:val="00BB257B"/>
    <w:rsid w:val="00BB4AF4"/>
    <w:rsid w:val="00BB4EDF"/>
    <w:rsid w:val="00BB5A09"/>
    <w:rsid w:val="00BB6048"/>
    <w:rsid w:val="00BB6AF8"/>
    <w:rsid w:val="00BB746E"/>
    <w:rsid w:val="00BB7735"/>
    <w:rsid w:val="00BC027A"/>
    <w:rsid w:val="00BC1C13"/>
    <w:rsid w:val="00BC232B"/>
    <w:rsid w:val="00BC2B38"/>
    <w:rsid w:val="00BC4CB6"/>
    <w:rsid w:val="00BC5F1F"/>
    <w:rsid w:val="00BD03BD"/>
    <w:rsid w:val="00BD06A9"/>
    <w:rsid w:val="00BD07FB"/>
    <w:rsid w:val="00BD0B3A"/>
    <w:rsid w:val="00BD0B7C"/>
    <w:rsid w:val="00BD298F"/>
    <w:rsid w:val="00BD3CB0"/>
    <w:rsid w:val="00BD4280"/>
    <w:rsid w:val="00BD4856"/>
    <w:rsid w:val="00BD4A0A"/>
    <w:rsid w:val="00BD5538"/>
    <w:rsid w:val="00BD5E4B"/>
    <w:rsid w:val="00BD6B08"/>
    <w:rsid w:val="00BD7393"/>
    <w:rsid w:val="00BD7CD5"/>
    <w:rsid w:val="00BD7E76"/>
    <w:rsid w:val="00BE1157"/>
    <w:rsid w:val="00BE12C9"/>
    <w:rsid w:val="00BE1792"/>
    <w:rsid w:val="00BE1C93"/>
    <w:rsid w:val="00BE3108"/>
    <w:rsid w:val="00BE4972"/>
    <w:rsid w:val="00BE4991"/>
    <w:rsid w:val="00BE4A20"/>
    <w:rsid w:val="00BE5976"/>
    <w:rsid w:val="00BE6540"/>
    <w:rsid w:val="00BE6AA3"/>
    <w:rsid w:val="00BE6BFC"/>
    <w:rsid w:val="00BE6DAD"/>
    <w:rsid w:val="00BE720D"/>
    <w:rsid w:val="00BE75D4"/>
    <w:rsid w:val="00BE775E"/>
    <w:rsid w:val="00BF166E"/>
    <w:rsid w:val="00BF3B32"/>
    <w:rsid w:val="00BF3E36"/>
    <w:rsid w:val="00BF3EEE"/>
    <w:rsid w:val="00BF407E"/>
    <w:rsid w:val="00BF4639"/>
    <w:rsid w:val="00BF6441"/>
    <w:rsid w:val="00BF6681"/>
    <w:rsid w:val="00BF684A"/>
    <w:rsid w:val="00BF74F6"/>
    <w:rsid w:val="00BF7D53"/>
    <w:rsid w:val="00C0078A"/>
    <w:rsid w:val="00C00C3F"/>
    <w:rsid w:val="00C00EDF"/>
    <w:rsid w:val="00C0189E"/>
    <w:rsid w:val="00C03B67"/>
    <w:rsid w:val="00C04337"/>
    <w:rsid w:val="00C04C81"/>
    <w:rsid w:val="00C050AA"/>
    <w:rsid w:val="00C068C1"/>
    <w:rsid w:val="00C12229"/>
    <w:rsid w:val="00C122B2"/>
    <w:rsid w:val="00C13146"/>
    <w:rsid w:val="00C13B9E"/>
    <w:rsid w:val="00C13D42"/>
    <w:rsid w:val="00C141E3"/>
    <w:rsid w:val="00C143FA"/>
    <w:rsid w:val="00C14CBD"/>
    <w:rsid w:val="00C16B68"/>
    <w:rsid w:val="00C16DDB"/>
    <w:rsid w:val="00C174E6"/>
    <w:rsid w:val="00C177C8"/>
    <w:rsid w:val="00C17B24"/>
    <w:rsid w:val="00C201B7"/>
    <w:rsid w:val="00C210BB"/>
    <w:rsid w:val="00C22254"/>
    <w:rsid w:val="00C22915"/>
    <w:rsid w:val="00C22F62"/>
    <w:rsid w:val="00C234C3"/>
    <w:rsid w:val="00C24648"/>
    <w:rsid w:val="00C24B11"/>
    <w:rsid w:val="00C25126"/>
    <w:rsid w:val="00C2661F"/>
    <w:rsid w:val="00C30ADB"/>
    <w:rsid w:val="00C31BDE"/>
    <w:rsid w:val="00C33871"/>
    <w:rsid w:val="00C33FBA"/>
    <w:rsid w:val="00C347C0"/>
    <w:rsid w:val="00C34B47"/>
    <w:rsid w:val="00C34F68"/>
    <w:rsid w:val="00C36652"/>
    <w:rsid w:val="00C40EB4"/>
    <w:rsid w:val="00C41375"/>
    <w:rsid w:val="00C41923"/>
    <w:rsid w:val="00C42804"/>
    <w:rsid w:val="00C4281C"/>
    <w:rsid w:val="00C42B72"/>
    <w:rsid w:val="00C42ED5"/>
    <w:rsid w:val="00C4394C"/>
    <w:rsid w:val="00C43B47"/>
    <w:rsid w:val="00C46A65"/>
    <w:rsid w:val="00C50759"/>
    <w:rsid w:val="00C51D82"/>
    <w:rsid w:val="00C52130"/>
    <w:rsid w:val="00C52B0D"/>
    <w:rsid w:val="00C52B70"/>
    <w:rsid w:val="00C53DB4"/>
    <w:rsid w:val="00C54204"/>
    <w:rsid w:val="00C54488"/>
    <w:rsid w:val="00C54D4F"/>
    <w:rsid w:val="00C55E50"/>
    <w:rsid w:val="00C564B1"/>
    <w:rsid w:val="00C575AB"/>
    <w:rsid w:val="00C57DAB"/>
    <w:rsid w:val="00C6282C"/>
    <w:rsid w:val="00C636C8"/>
    <w:rsid w:val="00C64DEB"/>
    <w:rsid w:val="00C6698E"/>
    <w:rsid w:val="00C66CF8"/>
    <w:rsid w:val="00C66E70"/>
    <w:rsid w:val="00C673D2"/>
    <w:rsid w:val="00C707BC"/>
    <w:rsid w:val="00C70DB8"/>
    <w:rsid w:val="00C70FA4"/>
    <w:rsid w:val="00C710A7"/>
    <w:rsid w:val="00C718E7"/>
    <w:rsid w:val="00C7262A"/>
    <w:rsid w:val="00C72D2B"/>
    <w:rsid w:val="00C75954"/>
    <w:rsid w:val="00C76021"/>
    <w:rsid w:val="00C76698"/>
    <w:rsid w:val="00C76A48"/>
    <w:rsid w:val="00C76EF4"/>
    <w:rsid w:val="00C77B86"/>
    <w:rsid w:val="00C77C63"/>
    <w:rsid w:val="00C81743"/>
    <w:rsid w:val="00C81950"/>
    <w:rsid w:val="00C83858"/>
    <w:rsid w:val="00C83F48"/>
    <w:rsid w:val="00C83FAF"/>
    <w:rsid w:val="00C84347"/>
    <w:rsid w:val="00C84A00"/>
    <w:rsid w:val="00C84ED9"/>
    <w:rsid w:val="00C85889"/>
    <w:rsid w:val="00C85F53"/>
    <w:rsid w:val="00C907D0"/>
    <w:rsid w:val="00C925D2"/>
    <w:rsid w:val="00C95C6D"/>
    <w:rsid w:val="00C968DD"/>
    <w:rsid w:val="00C96A40"/>
    <w:rsid w:val="00C97973"/>
    <w:rsid w:val="00CA0440"/>
    <w:rsid w:val="00CA0A33"/>
    <w:rsid w:val="00CA2868"/>
    <w:rsid w:val="00CA312A"/>
    <w:rsid w:val="00CA481D"/>
    <w:rsid w:val="00CA4C8D"/>
    <w:rsid w:val="00CA4DA1"/>
    <w:rsid w:val="00CA5404"/>
    <w:rsid w:val="00CA673B"/>
    <w:rsid w:val="00CB047B"/>
    <w:rsid w:val="00CB0819"/>
    <w:rsid w:val="00CB0CBA"/>
    <w:rsid w:val="00CB635E"/>
    <w:rsid w:val="00CC178A"/>
    <w:rsid w:val="00CC1C2A"/>
    <w:rsid w:val="00CC20B5"/>
    <w:rsid w:val="00CC2399"/>
    <w:rsid w:val="00CC281D"/>
    <w:rsid w:val="00CC3416"/>
    <w:rsid w:val="00CC3D19"/>
    <w:rsid w:val="00CC546F"/>
    <w:rsid w:val="00CC5B34"/>
    <w:rsid w:val="00CC73D5"/>
    <w:rsid w:val="00CC7BD9"/>
    <w:rsid w:val="00CD010C"/>
    <w:rsid w:val="00CD17B1"/>
    <w:rsid w:val="00CD207A"/>
    <w:rsid w:val="00CD23B2"/>
    <w:rsid w:val="00CD2B0A"/>
    <w:rsid w:val="00CD2BFB"/>
    <w:rsid w:val="00CD2D63"/>
    <w:rsid w:val="00CD3913"/>
    <w:rsid w:val="00CD3BB1"/>
    <w:rsid w:val="00CD4CBD"/>
    <w:rsid w:val="00CD5CA0"/>
    <w:rsid w:val="00CD633B"/>
    <w:rsid w:val="00CD6E64"/>
    <w:rsid w:val="00CD6EC4"/>
    <w:rsid w:val="00CD7628"/>
    <w:rsid w:val="00CE0788"/>
    <w:rsid w:val="00CE14AA"/>
    <w:rsid w:val="00CE1B08"/>
    <w:rsid w:val="00CE30CA"/>
    <w:rsid w:val="00CE32C6"/>
    <w:rsid w:val="00CE37F0"/>
    <w:rsid w:val="00CE3B09"/>
    <w:rsid w:val="00CE6256"/>
    <w:rsid w:val="00CE6DF5"/>
    <w:rsid w:val="00CF01B2"/>
    <w:rsid w:val="00CF0620"/>
    <w:rsid w:val="00CF13B8"/>
    <w:rsid w:val="00CF239E"/>
    <w:rsid w:val="00CF4942"/>
    <w:rsid w:val="00CF5380"/>
    <w:rsid w:val="00CF5609"/>
    <w:rsid w:val="00CF5BDD"/>
    <w:rsid w:val="00CF6522"/>
    <w:rsid w:val="00CF6655"/>
    <w:rsid w:val="00CF6C49"/>
    <w:rsid w:val="00CF71D1"/>
    <w:rsid w:val="00CF755A"/>
    <w:rsid w:val="00CF78AD"/>
    <w:rsid w:val="00CF7DB4"/>
    <w:rsid w:val="00D014D7"/>
    <w:rsid w:val="00D01CD2"/>
    <w:rsid w:val="00D0469E"/>
    <w:rsid w:val="00D063CA"/>
    <w:rsid w:val="00D0760C"/>
    <w:rsid w:val="00D076BD"/>
    <w:rsid w:val="00D079C0"/>
    <w:rsid w:val="00D10943"/>
    <w:rsid w:val="00D11833"/>
    <w:rsid w:val="00D11E30"/>
    <w:rsid w:val="00D13053"/>
    <w:rsid w:val="00D13F07"/>
    <w:rsid w:val="00D141FF"/>
    <w:rsid w:val="00D14D33"/>
    <w:rsid w:val="00D15E30"/>
    <w:rsid w:val="00D16844"/>
    <w:rsid w:val="00D17819"/>
    <w:rsid w:val="00D204A0"/>
    <w:rsid w:val="00D207C6"/>
    <w:rsid w:val="00D21095"/>
    <w:rsid w:val="00D214A9"/>
    <w:rsid w:val="00D2411C"/>
    <w:rsid w:val="00D241A7"/>
    <w:rsid w:val="00D2467C"/>
    <w:rsid w:val="00D25DDF"/>
    <w:rsid w:val="00D26FE5"/>
    <w:rsid w:val="00D27548"/>
    <w:rsid w:val="00D30326"/>
    <w:rsid w:val="00D30A67"/>
    <w:rsid w:val="00D30F9E"/>
    <w:rsid w:val="00D31C2A"/>
    <w:rsid w:val="00D32CAD"/>
    <w:rsid w:val="00D32CE4"/>
    <w:rsid w:val="00D32EC7"/>
    <w:rsid w:val="00D33A1D"/>
    <w:rsid w:val="00D353EB"/>
    <w:rsid w:val="00D369F3"/>
    <w:rsid w:val="00D36A5D"/>
    <w:rsid w:val="00D36B48"/>
    <w:rsid w:val="00D4078D"/>
    <w:rsid w:val="00D40A54"/>
    <w:rsid w:val="00D410EA"/>
    <w:rsid w:val="00D414A4"/>
    <w:rsid w:val="00D41500"/>
    <w:rsid w:val="00D417FD"/>
    <w:rsid w:val="00D427ED"/>
    <w:rsid w:val="00D4524F"/>
    <w:rsid w:val="00D4531E"/>
    <w:rsid w:val="00D4660B"/>
    <w:rsid w:val="00D54F6C"/>
    <w:rsid w:val="00D570D0"/>
    <w:rsid w:val="00D576C4"/>
    <w:rsid w:val="00D6053D"/>
    <w:rsid w:val="00D6151E"/>
    <w:rsid w:val="00D61B21"/>
    <w:rsid w:val="00D633C9"/>
    <w:rsid w:val="00D636C6"/>
    <w:rsid w:val="00D64E36"/>
    <w:rsid w:val="00D65AB8"/>
    <w:rsid w:val="00D6745D"/>
    <w:rsid w:val="00D6762E"/>
    <w:rsid w:val="00D7095E"/>
    <w:rsid w:val="00D7122A"/>
    <w:rsid w:val="00D71482"/>
    <w:rsid w:val="00D72248"/>
    <w:rsid w:val="00D72844"/>
    <w:rsid w:val="00D73DD6"/>
    <w:rsid w:val="00D750EF"/>
    <w:rsid w:val="00D80290"/>
    <w:rsid w:val="00D8146A"/>
    <w:rsid w:val="00D81970"/>
    <w:rsid w:val="00D83099"/>
    <w:rsid w:val="00D83D81"/>
    <w:rsid w:val="00D842BF"/>
    <w:rsid w:val="00D84B86"/>
    <w:rsid w:val="00D84E03"/>
    <w:rsid w:val="00D85AD4"/>
    <w:rsid w:val="00D86009"/>
    <w:rsid w:val="00D862AD"/>
    <w:rsid w:val="00D87B23"/>
    <w:rsid w:val="00D903C4"/>
    <w:rsid w:val="00D916F5"/>
    <w:rsid w:val="00D91CF9"/>
    <w:rsid w:val="00D92F95"/>
    <w:rsid w:val="00D930E0"/>
    <w:rsid w:val="00D9565D"/>
    <w:rsid w:val="00D979B0"/>
    <w:rsid w:val="00D97CE3"/>
    <w:rsid w:val="00DA0044"/>
    <w:rsid w:val="00DA04A3"/>
    <w:rsid w:val="00DA0687"/>
    <w:rsid w:val="00DA1087"/>
    <w:rsid w:val="00DA3F21"/>
    <w:rsid w:val="00DA43AC"/>
    <w:rsid w:val="00DA4B7E"/>
    <w:rsid w:val="00DA4DA6"/>
    <w:rsid w:val="00DA5339"/>
    <w:rsid w:val="00DA5C8A"/>
    <w:rsid w:val="00DA6CEE"/>
    <w:rsid w:val="00DA7121"/>
    <w:rsid w:val="00DA75D1"/>
    <w:rsid w:val="00DB44B6"/>
    <w:rsid w:val="00DB737B"/>
    <w:rsid w:val="00DB7CEF"/>
    <w:rsid w:val="00DB7D12"/>
    <w:rsid w:val="00DC06CF"/>
    <w:rsid w:val="00DC1B0E"/>
    <w:rsid w:val="00DC1F2B"/>
    <w:rsid w:val="00DC285D"/>
    <w:rsid w:val="00DC30F5"/>
    <w:rsid w:val="00DC32B3"/>
    <w:rsid w:val="00DC3819"/>
    <w:rsid w:val="00DC4DD1"/>
    <w:rsid w:val="00DC5B3A"/>
    <w:rsid w:val="00DD0AAD"/>
    <w:rsid w:val="00DD1114"/>
    <w:rsid w:val="00DD12DA"/>
    <w:rsid w:val="00DD1B9C"/>
    <w:rsid w:val="00DD473D"/>
    <w:rsid w:val="00DD5DB9"/>
    <w:rsid w:val="00DD7B72"/>
    <w:rsid w:val="00DE2551"/>
    <w:rsid w:val="00DE2906"/>
    <w:rsid w:val="00DE2BDC"/>
    <w:rsid w:val="00DE4954"/>
    <w:rsid w:val="00DE4D37"/>
    <w:rsid w:val="00DE4D6E"/>
    <w:rsid w:val="00DE5066"/>
    <w:rsid w:val="00DE53F1"/>
    <w:rsid w:val="00DE5674"/>
    <w:rsid w:val="00DE5AB4"/>
    <w:rsid w:val="00DE601F"/>
    <w:rsid w:val="00DE6F18"/>
    <w:rsid w:val="00DF0AEC"/>
    <w:rsid w:val="00DF1081"/>
    <w:rsid w:val="00DF2679"/>
    <w:rsid w:val="00DF392D"/>
    <w:rsid w:val="00DF3D4B"/>
    <w:rsid w:val="00DF61DF"/>
    <w:rsid w:val="00DF66B7"/>
    <w:rsid w:val="00DF7F85"/>
    <w:rsid w:val="00E000C1"/>
    <w:rsid w:val="00E004AD"/>
    <w:rsid w:val="00E008E2"/>
    <w:rsid w:val="00E01EC6"/>
    <w:rsid w:val="00E022AA"/>
    <w:rsid w:val="00E02CFF"/>
    <w:rsid w:val="00E02F08"/>
    <w:rsid w:val="00E037C9"/>
    <w:rsid w:val="00E03D15"/>
    <w:rsid w:val="00E056BF"/>
    <w:rsid w:val="00E065E3"/>
    <w:rsid w:val="00E078FF"/>
    <w:rsid w:val="00E1029A"/>
    <w:rsid w:val="00E12ACB"/>
    <w:rsid w:val="00E12DB9"/>
    <w:rsid w:val="00E1420D"/>
    <w:rsid w:val="00E1507D"/>
    <w:rsid w:val="00E15093"/>
    <w:rsid w:val="00E16C64"/>
    <w:rsid w:val="00E16CA4"/>
    <w:rsid w:val="00E2060A"/>
    <w:rsid w:val="00E209D3"/>
    <w:rsid w:val="00E23A20"/>
    <w:rsid w:val="00E23ACE"/>
    <w:rsid w:val="00E23F82"/>
    <w:rsid w:val="00E2454A"/>
    <w:rsid w:val="00E24E6E"/>
    <w:rsid w:val="00E26CCB"/>
    <w:rsid w:val="00E27E80"/>
    <w:rsid w:val="00E30543"/>
    <w:rsid w:val="00E30A05"/>
    <w:rsid w:val="00E30FC1"/>
    <w:rsid w:val="00E3153D"/>
    <w:rsid w:val="00E31747"/>
    <w:rsid w:val="00E32721"/>
    <w:rsid w:val="00E33BB2"/>
    <w:rsid w:val="00E33E15"/>
    <w:rsid w:val="00E36051"/>
    <w:rsid w:val="00E374F5"/>
    <w:rsid w:val="00E37661"/>
    <w:rsid w:val="00E37917"/>
    <w:rsid w:val="00E40C45"/>
    <w:rsid w:val="00E41649"/>
    <w:rsid w:val="00E42398"/>
    <w:rsid w:val="00E42EDB"/>
    <w:rsid w:val="00E43989"/>
    <w:rsid w:val="00E43C77"/>
    <w:rsid w:val="00E44F30"/>
    <w:rsid w:val="00E450D1"/>
    <w:rsid w:val="00E47D93"/>
    <w:rsid w:val="00E504B9"/>
    <w:rsid w:val="00E508A6"/>
    <w:rsid w:val="00E52522"/>
    <w:rsid w:val="00E52CA2"/>
    <w:rsid w:val="00E53E6C"/>
    <w:rsid w:val="00E606FD"/>
    <w:rsid w:val="00E611AA"/>
    <w:rsid w:val="00E61546"/>
    <w:rsid w:val="00E61BB1"/>
    <w:rsid w:val="00E61E92"/>
    <w:rsid w:val="00E62102"/>
    <w:rsid w:val="00E62F69"/>
    <w:rsid w:val="00E63093"/>
    <w:rsid w:val="00E63153"/>
    <w:rsid w:val="00E631BC"/>
    <w:rsid w:val="00E63210"/>
    <w:rsid w:val="00E637AE"/>
    <w:rsid w:val="00E64364"/>
    <w:rsid w:val="00E65FC0"/>
    <w:rsid w:val="00E66A69"/>
    <w:rsid w:val="00E7028A"/>
    <w:rsid w:val="00E70A67"/>
    <w:rsid w:val="00E71252"/>
    <w:rsid w:val="00E7141A"/>
    <w:rsid w:val="00E71E16"/>
    <w:rsid w:val="00E74422"/>
    <w:rsid w:val="00E750FF"/>
    <w:rsid w:val="00E75DB5"/>
    <w:rsid w:val="00E761A7"/>
    <w:rsid w:val="00E767E0"/>
    <w:rsid w:val="00E77499"/>
    <w:rsid w:val="00E7757E"/>
    <w:rsid w:val="00E77A34"/>
    <w:rsid w:val="00E80059"/>
    <w:rsid w:val="00E82F46"/>
    <w:rsid w:val="00E830B7"/>
    <w:rsid w:val="00E83F16"/>
    <w:rsid w:val="00E84CAB"/>
    <w:rsid w:val="00E875D1"/>
    <w:rsid w:val="00E87607"/>
    <w:rsid w:val="00E87CBD"/>
    <w:rsid w:val="00E91329"/>
    <w:rsid w:val="00E91FAE"/>
    <w:rsid w:val="00E92179"/>
    <w:rsid w:val="00E92707"/>
    <w:rsid w:val="00E936EC"/>
    <w:rsid w:val="00E93C2E"/>
    <w:rsid w:val="00E93F94"/>
    <w:rsid w:val="00E9501A"/>
    <w:rsid w:val="00E9630F"/>
    <w:rsid w:val="00EA09C2"/>
    <w:rsid w:val="00EA0C60"/>
    <w:rsid w:val="00EA0C90"/>
    <w:rsid w:val="00EA0EEC"/>
    <w:rsid w:val="00EA1591"/>
    <w:rsid w:val="00EA1A3A"/>
    <w:rsid w:val="00EA20BD"/>
    <w:rsid w:val="00EA2312"/>
    <w:rsid w:val="00EA239C"/>
    <w:rsid w:val="00EA249E"/>
    <w:rsid w:val="00EA2F64"/>
    <w:rsid w:val="00EA32D2"/>
    <w:rsid w:val="00EA36A5"/>
    <w:rsid w:val="00EA5761"/>
    <w:rsid w:val="00EB0886"/>
    <w:rsid w:val="00EB0FF0"/>
    <w:rsid w:val="00EB17C1"/>
    <w:rsid w:val="00EB24B7"/>
    <w:rsid w:val="00EB3EFC"/>
    <w:rsid w:val="00EB5B53"/>
    <w:rsid w:val="00EB6DDC"/>
    <w:rsid w:val="00EB76EE"/>
    <w:rsid w:val="00EC0161"/>
    <w:rsid w:val="00EC0E8D"/>
    <w:rsid w:val="00EC13DF"/>
    <w:rsid w:val="00EC1A86"/>
    <w:rsid w:val="00EC1D97"/>
    <w:rsid w:val="00EC2F0D"/>
    <w:rsid w:val="00EC32B4"/>
    <w:rsid w:val="00EC4B4F"/>
    <w:rsid w:val="00EC5653"/>
    <w:rsid w:val="00EC6F14"/>
    <w:rsid w:val="00ED013E"/>
    <w:rsid w:val="00ED04B8"/>
    <w:rsid w:val="00ED3063"/>
    <w:rsid w:val="00ED3693"/>
    <w:rsid w:val="00ED38E0"/>
    <w:rsid w:val="00ED4298"/>
    <w:rsid w:val="00ED4421"/>
    <w:rsid w:val="00ED4AEA"/>
    <w:rsid w:val="00ED4D3D"/>
    <w:rsid w:val="00ED511D"/>
    <w:rsid w:val="00ED5AC8"/>
    <w:rsid w:val="00ED5D19"/>
    <w:rsid w:val="00ED7DD4"/>
    <w:rsid w:val="00EE02C6"/>
    <w:rsid w:val="00EE40B9"/>
    <w:rsid w:val="00EE49E6"/>
    <w:rsid w:val="00EE4A2C"/>
    <w:rsid w:val="00EE73A0"/>
    <w:rsid w:val="00EE766B"/>
    <w:rsid w:val="00EF1508"/>
    <w:rsid w:val="00EF16B3"/>
    <w:rsid w:val="00EF18D9"/>
    <w:rsid w:val="00EF1933"/>
    <w:rsid w:val="00EF329D"/>
    <w:rsid w:val="00EF411A"/>
    <w:rsid w:val="00EF48DB"/>
    <w:rsid w:val="00EF690C"/>
    <w:rsid w:val="00EF79CA"/>
    <w:rsid w:val="00F01B83"/>
    <w:rsid w:val="00F03FDE"/>
    <w:rsid w:val="00F05719"/>
    <w:rsid w:val="00F06367"/>
    <w:rsid w:val="00F06B4D"/>
    <w:rsid w:val="00F06CB3"/>
    <w:rsid w:val="00F077EE"/>
    <w:rsid w:val="00F079A2"/>
    <w:rsid w:val="00F10223"/>
    <w:rsid w:val="00F107F9"/>
    <w:rsid w:val="00F10B39"/>
    <w:rsid w:val="00F10D6E"/>
    <w:rsid w:val="00F10DD7"/>
    <w:rsid w:val="00F10FEB"/>
    <w:rsid w:val="00F1190E"/>
    <w:rsid w:val="00F13397"/>
    <w:rsid w:val="00F139EC"/>
    <w:rsid w:val="00F146E1"/>
    <w:rsid w:val="00F15040"/>
    <w:rsid w:val="00F151F1"/>
    <w:rsid w:val="00F157BD"/>
    <w:rsid w:val="00F15AC2"/>
    <w:rsid w:val="00F2000D"/>
    <w:rsid w:val="00F23D96"/>
    <w:rsid w:val="00F23FFC"/>
    <w:rsid w:val="00F250E3"/>
    <w:rsid w:val="00F25808"/>
    <w:rsid w:val="00F27635"/>
    <w:rsid w:val="00F3051B"/>
    <w:rsid w:val="00F3127A"/>
    <w:rsid w:val="00F31B46"/>
    <w:rsid w:val="00F344A2"/>
    <w:rsid w:val="00F34905"/>
    <w:rsid w:val="00F3561F"/>
    <w:rsid w:val="00F358D3"/>
    <w:rsid w:val="00F35F2A"/>
    <w:rsid w:val="00F366E4"/>
    <w:rsid w:val="00F37C9F"/>
    <w:rsid w:val="00F417AB"/>
    <w:rsid w:val="00F421A2"/>
    <w:rsid w:val="00F43E27"/>
    <w:rsid w:val="00F447C5"/>
    <w:rsid w:val="00F47CD1"/>
    <w:rsid w:val="00F5054E"/>
    <w:rsid w:val="00F50D90"/>
    <w:rsid w:val="00F51FC6"/>
    <w:rsid w:val="00F5238E"/>
    <w:rsid w:val="00F5394A"/>
    <w:rsid w:val="00F55A87"/>
    <w:rsid w:val="00F56326"/>
    <w:rsid w:val="00F5644E"/>
    <w:rsid w:val="00F5724F"/>
    <w:rsid w:val="00F57719"/>
    <w:rsid w:val="00F578DD"/>
    <w:rsid w:val="00F57900"/>
    <w:rsid w:val="00F60DCE"/>
    <w:rsid w:val="00F611C3"/>
    <w:rsid w:val="00F63802"/>
    <w:rsid w:val="00F67398"/>
    <w:rsid w:val="00F6792A"/>
    <w:rsid w:val="00F72F77"/>
    <w:rsid w:val="00F7562A"/>
    <w:rsid w:val="00F76AA6"/>
    <w:rsid w:val="00F76E3C"/>
    <w:rsid w:val="00F82BD0"/>
    <w:rsid w:val="00F83CF8"/>
    <w:rsid w:val="00F84169"/>
    <w:rsid w:val="00F851F3"/>
    <w:rsid w:val="00F8684C"/>
    <w:rsid w:val="00F87EEB"/>
    <w:rsid w:val="00F9009E"/>
    <w:rsid w:val="00F90619"/>
    <w:rsid w:val="00F90EFB"/>
    <w:rsid w:val="00F91BB9"/>
    <w:rsid w:val="00F944EF"/>
    <w:rsid w:val="00F951DD"/>
    <w:rsid w:val="00F97E9A"/>
    <w:rsid w:val="00FA1AB5"/>
    <w:rsid w:val="00FA3D40"/>
    <w:rsid w:val="00FA4524"/>
    <w:rsid w:val="00FA4887"/>
    <w:rsid w:val="00FA5690"/>
    <w:rsid w:val="00FA63BD"/>
    <w:rsid w:val="00FA6468"/>
    <w:rsid w:val="00FA6AB6"/>
    <w:rsid w:val="00FA72B1"/>
    <w:rsid w:val="00FA72D7"/>
    <w:rsid w:val="00FB0FFC"/>
    <w:rsid w:val="00FB19C9"/>
    <w:rsid w:val="00FB2A8D"/>
    <w:rsid w:val="00FB30F4"/>
    <w:rsid w:val="00FB477C"/>
    <w:rsid w:val="00FB4875"/>
    <w:rsid w:val="00FB66BF"/>
    <w:rsid w:val="00FB7384"/>
    <w:rsid w:val="00FB797F"/>
    <w:rsid w:val="00FC07F2"/>
    <w:rsid w:val="00FC0F15"/>
    <w:rsid w:val="00FC1BA8"/>
    <w:rsid w:val="00FC2FC7"/>
    <w:rsid w:val="00FC3A9B"/>
    <w:rsid w:val="00FC413F"/>
    <w:rsid w:val="00FC4D17"/>
    <w:rsid w:val="00FC5EE1"/>
    <w:rsid w:val="00FC6D5E"/>
    <w:rsid w:val="00FC72C3"/>
    <w:rsid w:val="00FC76A8"/>
    <w:rsid w:val="00FC786C"/>
    <w:rsid w:val="00FD1B30"/>
    <w:rsid w:val="00FD2BA3"/>
    <w:rsid w:val="00FD3C01"/>
    <w:rsid w:val="00FD3D63"/>
    <w:rsid w:val="00FD461A"/>
    <w:rsid w:val="00FD48FD"/>
    <w:rsid w:val="00FD6313"/>
    <w:rsid w:val="00FE0718"/>
    <w:rsid w:val="00FE2465"/>
    <w:rsid w:val="00FE3BEF"/>
    <w:rsid w:val="00FE44FE"/>
    <w:rsid w:val="00FE514C"/>
    <w:rsid w:val="00FE520C"/>
    <w:rsid w:val="00FE65A1"/>
    <w:rsid w:val="00FF0BC0"/>
    <w:rsid w:val="00FF1B10"/>
    <w:rsid w:val="00FF231F"/>
    <w:rsid w:val="00FF264C"/>
    <w:rsid w:val="00FF3606"/>
    <w:rsid w:val="00FF3A04"/>
    <w:rsid w:val="00FF3F07"/>
    <w:rsid w:val="00FF5B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stroke="f" strokecolor="none [3212]">
      <v:fill color="white" on="f"/>
      <v:stroke color="none [3212]" weight="0" on="f"/>
    </o:shapedefaults>
    <o:shapelayout v:ext="edit">
      <o:idmap v:ext="edit" data="1"/>
    </o:shapelayout>
  </w:shapeDefaults>
  <w:decimalSymbol w:val=","/>
  <w:listSeparator w:val=";"/>
  <w15:chartTrackingRefBased/>
  <w15:docId w15:val="{0043A32F-9F65-4036-8031-F829FC3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jc w:val="center"/>
      <w:outlineLvl w:val="2"/>
    </w:pPr>
    <w:rPr>
      <w:sz w:val="28"/>
    </w:rPr>
  </w:style>
  <w:style w:type="paragraph" w:styleId="Ttulo4">
    <w:name w:val="heading 4"/>
    <w:basedOn w:val="Normal"/>
    <w:next w:val="Normal"/>
    <w:qFormat/>
    <w:pPr>
      <w:keepNext/>
      <w:spacing w:before="100"/>
      <w:outlineLvl w:val="3"/>
    </w:pPr>
    <w:rPr>
      <w:rFonts w:ascii="Arial" w:hAnsi="Arial"/>
      <w:b/>
    </w:rPr>
  </w:style>
  <w:style w:type="paragraph" w:styleId="Ttulo5">
    <w:name w:val="heading 5"/>
    <w:basedOn w:val="Normal"/>
    <w:next w:val="Normal"/>
    <w:qFormat/>
    <w:pPr>
      <w:keepNext/>
      <w:spacing w:before="20"/>
      <w:jc w:val="center"/>
      <w:outlineLvl w:val="4"/>
    </w:pPr>
    <w:rPr>
      <w:rFonts w:ascii="Arial" w:hAnsi="Arial"/>
      <w:b/>
      <w:sz w:val="16"/>
    </w:rPr>
  </w:style>
  <w:style w:type="paragraph" w:styleId="Ttulo6">
    <w:name w:val="heading 6"/>
    <w:basedOn w:val="Normal"/>
    <w:next w:val="Normal"/>
    <w:qFormat/>
    <w:pPr>
      <w:keepNext/>
      <w:ind w:left="1134"/>
      <w:jc w:val="both"/>
      <w:outlineLvl w:val="5"/>
    </w:pPr>
    <w:rPr>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tabs>
        <w:tab w:val="left" w:pos="2552"/>
      </w:tabs>
      <w:ind w:left="-71"/>
      <w:outlineLvl w:val="7"/>
    </w:pPr>
    <w:rPr>
      <w:b/>
      <w:sz w:val="24"/>
    </w:rPr>
  </w:style>
  <w:style w:type="paragraph" w:styleId="Ttulo9">
    <w:name w:val="heading 9"/>
    <w:basedOn w:val="Normal"/>
    <w:next w:val="Normal"/>
    <w:qFormat/>
    <w:pPr>
      <w:keepNext/>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uiPriority w:val="99"/>
    <w:pPr>
      <w:tabs>
        <w:tab w:val="center" w:pos="4419"/>
        <w:tab w:val="right" w:pos="8838"/>
      </w:tabs>
    </w:pPr>
  </w:style>
  <w:style w:type="paragraph" w:styleId="Recuodecorpodetexto">
    <w:name w:val="Body Text Indent"/>
    <w:basedOn w:val="Normal"/>
    <w:link w:val="RecuodecorpodetextoChar"/>
    <w:semiHidden/>
    <w:pPr>
      <w:ind w:left="1134"/>
      <w:jc w:val="both"/>
    </w:pPr>
    <w:rPr>
      <w:sz w:val="24"/>
      <w:lang w:val="x-none" w:eastAsia="x-none"/>
    </w:rPr>
  </w:style>
  <w:style w:type="paragraph" w:styleId="Recuodecorpodetexto2">
    <w:name w:val="Body Text Indent 2"/>
    <w:basedOn w:val="Normal"/>
    <w:semiHidden/>
    <w:pPr>
      <w:ind w:left="1276"/>
      <w:jc w:val="both"/>
    </w:pPr>
    <w:rPr>
      <w:sz w:val="24"/>
    </w:rPr>
  </w:style>
  <w:style w:type="paragraph" w:styleId="Corpodetexto">
    <w:name w:val="Body Text"/>
    <w:basedOn w:val="Normal"/>
    <w:semiHidden/>
    <w:rPr>
      <w:b/>
      <w:bCs/>
      <w:sz w:val="22"/>
    </w:rPr>
  </w:style>
  <w:style w:type="paragraph" w:styleId="Recuodecorpodetexto3">
    <w:name w:val="Body Text Indent 3"/>
    <w:basedOn w:val="Normal"/>
    <w:semiHidden/>
    <w:pPr>
      <w:autoSpaceDE w:val="0"/>
      <w:autoSpaceDN w:val="0"/>
      <w:ind w:left="1134" w:hanging="1134"/>
      <w:jc w:val="both"/>
    </w:pPr>
    <w:rPr>
      <w:snapToGrid/>
      <w:szCs w:val="24"/>
    </w:rPr>
  </w:style>
  <w:style w:type="paragraph" w:styleId="Corpodetexto2">
    <w:name w:val="Body Text 2"/>
    <w:basedOn w:val="Normal"/>
    <w:semiHidden/>
    <w:pPr>
      <w:jc w:val="both"/>
    </w:pPr>
    <w:rPr>
      <w:sz w:val="22"/>
      <w:szCs w:val="22"/>
    </w:rPr>
  </w:style>
  <w:style w:type="paragraph" w:styleId="Ttulo">
    <w:name w:val="Title"/>
    <w:basedOn w:val="Normal"/>
    <w:qFormat/>
    <w:pPr>
      <w:jc w:val="center"/>
    </w:pPr>
    <w:rPr>
      <w:b/>
      <w:sz w:val="28"/>
      <w:u w:val="single"/>
    </w:rPr>
  </w:style>
  <w:style w:type="paragraph" w:styleId="Textodebalo">
    <w:name w:val="Balloon Text"/>
    <w:basedOn w:val="Normal"/>
    <w:semiHidden/>
    <w:rPr>
      <w:rFonts w:ascii="Tahoma" w:hAnsi="Tahoma" w:cs="Tahoma"/>
      <w:sz w:val="16"/>
      <w:szCs w:val="16"/>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Corpodetexto3">
    <w:name w:val="Body Text 3"/>
    <w:basedOn w:val="Normal"/>
    <w:semiHidden/>
    <w:pPr>
      <w:tabs>
        <w:tab w:val="left" w:pos="1560"/>
      </w:tabs>
    </w:pPr>
    <w:rPr>
      <w:sz w:val="24"/>
    </w:rPr>
  </w:style>
  <w:style w:type="character" w:customStyle="1" w:styleId="RodapChar">
    <w:name w:val="Rodapé Char"/>
    <w:uiPriority w:val="99"/>
    <w:rPr>
      <w:snapToGrid w:val="0"/>
    </w:rPr>
  </w:style>
  <w:style w:type="paragraph" w:styleId="PargrafodaLista">
    <w:name w:val="List Paragraph"/>
    <w:basedOn w:val="Normal"/>
    <w:link w:val="PargrafodaListaChar"/>
    <w:uiPriority w:val="34"/>
    <w:qFormat/>
    <w:pPr>
      <w:widowControl/>
      <w:spacing w:after="200" w:line="276" w:lineRule="auto"/>
      <w:ind w:left="720"/>
      <w:contextualSpacing/>
    </w:pPr>
    <w:rPr>
      <w:rFonts w:ascii="Calibri" w:eastAsia="Calibri" w:hAnsi="Calibri"/>
      <w:snapToGrid/>
      <w:sz w:val="22"/>
      <w:szCs w:val="22"/>
      <w:lang w:eastAsia="en-US"/>
    </w:rPr>
  </w:style>
  <w:style w:type="table" w:styleId="Tabelacomgrade">
    <w:name w:val="Table Grid"/>
    <w:basedOn w:val="Tabelanormal"/>
    <w:uiPriority w:val="39"/>
    <w:rsid w:val="000C39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F407E"/>
    <w:pPr>
      <w:autoSpaceDE w:val="0"/>
      <w:autoSpaceDN w:val="0"/>
      <w:adjustRightInd w:val="0"/>
    </w:pPr>
    <w:rPr>
      <w:rFonts w:ascii="Verdana" w:hAnsi="Verdana" w:cs="Verdana"/>
      <w:color w:val="000000"/>
      <w:sz w:val="24"/>
      <w:szCs w:val="24"/>
    </w:rPr>
  </w:style>
  <w:style w:type="character" w:customStyle="1" w:styleId="RecuodecorpodetextoChar">
    <w:name w:val="Recuo de corpo de texto Char"/>
    <w:link w:val="Recuodecorpodetexto"/>
    <w:semiHidden/>
    <w:rsid w:val="00AE5F02"/>
    <w:rPr>
      <w:snapToGrid w:val="0"/>
      <w:sz w:val="24"/>
    </w:rPr>
  </w:style>
  <w:style w:type="paragraph" w:styleId="Textodenotaderodap">
    <w:name w:val="footnote text"/>
    <w:basedOn w:val="Normal"/>
    <w:link w:val="TextodenotaderodapChar"/>
    <w:uiPriority w:val="99"/>
    <w:semiHidden/>
    <w:unhideWhenUsed/>
    <w:rsid w:val="00027435"/>
    <w:rPr>
      <w:lang w:val="x-none" w:eastAsia="x-none"/>
    </w:rPr>
  </w:style>
  <w:style w:type="character" w:customStyle="1" w:styleId="TextodenotaderodapChar">
    <w:name w:val="Texto de nota de rodapé Char"/>
    <w:link w:val="Textodenotaderodap"/>
    <w:uiPriority w:val="99"/>
    <w:semiHidden/>
    <w:rsid w:val="00027435"/>
    <w:rPr>
      <w:snapToGrid w:val="0"/>
    </w:rPr>
  </w:style>
  <w:style w:type="character" w:styleId="Refdenotaderodap">
    <w:name w:val="footnote reference"/>
    <w:uiPriority w:val="99"/>
    <w:semiHidden/>
    <w:unhideWhenUsed/>
    <w:rsid w:val="00027435"/>
    <w:rPr>
      <w:vertAlign w:val="superscript"/>
    </w:rPr>
  </w:style>
  <w:style w:type="paragraph" w:styleId="NormalWeb">
    <w:name w:val="Normal (Web)"/>
    <w:basedOn w:val="Normal"/>
    <w:uiPriority w:val="99"/>
    <w:semiHidden/>
    <w:unhideWhenUsed/>
    <w:rsid w:val="005C42D9"/>
    <w:pPr>
      <w:widowControl/>
      <w:spacing w:before="100" w:beforeAutospacing="1" w:after="100" w:afterAutospacing="1"/>
    </w:pPr>
    <w:rPr>
      <w:snapToGrid/>
      <w:sz w:val="24"/>
      <w:szCs w:val="24"/>
    </w:rPr>
  </w:style>
  <w:style w:type="character" w:customStyle="1" w:styleId="apple-converted-space">
    <w:name w:val="apple-converted-space"/>
    <w:basedOn w:val="Fontepargpadro"/>
    <w:rsid w:val="005C42D9"/>
  </w:style>
  <w:style w:type="character" w:customStyle="1" w:styleId="PargrafodaListaChar">
    <w:name w:val="Parágrafo da Lista Char"/>
    <w:link w:val="PargrafodaLista"/>
    <w:uiPriority w:val="34"/>
    <w:rsid w:val="00B9551E"/>
    <w:rPr>
      <w:rFonts w:ascii="Calibri" w:eastAsia="Calibri" w:hAnsi="Calibri"/>
      <w:sz w:val="22"/>
      <w:szCs w:val="22"/>
      <w:lang w:eastAsia="en-US"/>
    </w:rPr>
  </w:style>
  <w:style w:type="paragraph" w:customStyle="1" w:styleId="ColorfulList-Accent11">
    <w:name w:val="Colorful List - Accent 11"/>
    <w:basedOn w:val="Normal"/>
    <w:uiPriority w:val="34"/>
    <w:qFormat/>
    <w:rsid w:val="008A71CD"/>
    <w:pPr>
      <w:widowControl/>
      <w:ind w:left="708"/>
    </w:pPr>
    <w:rPr>
      <w:rFonts w:ascii="Times" w:hAnsi="Times"/>
      <w:snapToGrid/>
      <w:color w:val="000000"/>
      <w:sz w:val="22"/>
      <w:lang w:eastAsia="en-US"/>
    </w:rPr>
  </w:style>
  <w:style w:type="paragraph" w:customStyle="1" w:styleId="Marcador1">
    <w:name w:val="Marcador1"/>
    <w:autoRedefine/>
    <w:rsid w:val="00BC4CB6"/>
    <w:pPr>
      <w:ind w:left="851"/>
      <w:jc w:val="both"/>
    </w:pPr>
    <w:rPr>
      <w:color w:val="00000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513">
      <w:bodyDiv w:val="1"/>
      <w:marLeft w:val="0"/>
      <w:marRight w:val="0"/>
      <w:marTop w:val="0"/>
      <w:marBottom w:val="0"/>
      <w:divBdr>
        <w:top w:val="none" w:sz="0" w:space="0" w:color="auto"/>
        <w:left w:val="none" w:sz="0" w:space="0" w:color="auto"/>
        <w:bottom w:val="none" w:sz="0" w:space="0" w:color="auto"/>
        <w:right w:val="none" w:sz="0" w:space="0" w:color="auto"/>
      </w:divBdr>
    </w:div>
    <w:div w:id="3896104">
      <w:bodyDiv w:val="1"/>
      <w:marLeft w:val="0"/>
      <w:marRight w:val="0"/>
      <w:marTop w:val="0"/>
      <w:marBottom w:val="0"/>
      <w:divBdr>
        <w:top w:val="none" w:sz="0" w:space="0" w:color="auto"/>
        <w:left w:val="none" w:sz="0" w:space="0" w:color="auto"/>
        <w:bottom w:val="none" w:sz="0" w:space="0" w:color="auto"/>
        <w:right w:val="none" w:sz="0" w:space="0" w:color="auto"/>
      </w:divBdr>
    </w:div>
    <w:div w:id="9069461">
      <w:bodyDiv w:val="1"/>
      <w:marLeft w:val="0"/>
      <w:marRight w:val="0"/>
      <w:marTop w:val="0"/>
      <w:marBottom w:val="0"/>
      <w:divBdr>
        <w:top w:val="none" w:sz="0" w:space="0" w:color="auto"/>
        <w:left w:val="none" w:sz="0" w:space="0" w:color="auto"/>
        <w:bottom w:val="none" w:sz="0" w:space="0" w:color="auto"/>
        <w:right w:val="none" w:sz="0" w:space="0" w:color="auto"/>
      </w:divBdr>
    </w:div>
    <w:div w:id="18513578">
      <w:bodyDiv w:val="1"/>
      <w:marLeft w:val="0"/>
      <w:marRight w:val="0"/>
      <w:marTop w:val="0"/>
      <w:marBottom w:val="0"/>
      <w:divBdr>
        <w:top w:val="none" w:sz="0" w:space="0" w:color="auto"/>
        <w:left w:val="none" w:sz="0" w:space="0" w:color="auto"/>
        <w:bottom w:val="none" w:sz="0" w:space="0" w:color="auto"/>
        <w:right w:val="none" w:sz="0" w:space="0" w:color="auto"/>
      </w:divBdr>
    </w:div>
    <w:div w:id="27221312">
      <w:bodyDiv w:val="1"/>
      <w:marLeft w:val="0"/>
      <w:marRight w:val="0"/>
      <w:marTop w:val="0"/>
      <w:marBottom w:val="0"/>
      <w:divBdr>
        <w:top w:val="none" w:sz="0" w:space="0" w:color="auto"/>
        <w:left w:val="none" w:sz="0" w:space="0" w:color="auto"/>
        <w:bottom w:val="none" w:sz="0" w:space="0" w:color="auto"/>
        <w:right w:val="none" w:sz="0" w:space="0" w:color="auto"/>
      </w:divBdr>
    </w:div>
    <w:div w:id="37821492">
      <w:bodyDiv w:val="1"/>
      <w:marLeft w:val="0"/>
      <w:marRight w:val="0"/>
      <w:marTop w:val="0"/>
      <w:marBottom w:val="0"/>
      <w:divBdr>
        <w:top w:val="none" w:sz="0" w:space="0" w:color="auto"/>
        <w:left w:val="none" w:sz="0" w:space="0" w:color="auto"/>
        <w:bottom w:val="none" w:sz="0" w:space="0" w:color="auto"/>
        <w:right w:val="none" w:sz="0" w:space="0" w:color="auto"/>
      </w:divBdr>
    </w:div>
    <w:div w:id="39988140">
      <w:bodyDiv w:val="1"/>
      <w:marLeft w:val="0"/>
      <w:marRight w:val="0"/>
      <w:marTop w:val="0"/>
      <w:marBottom w:val="0"/>
      <w:divBdr>
        <w:top w:val="none" w:sz="0" w:space="0" w:color="auto"/>
        <w:left w:val="none" w:sz="0" w:space="0" w:color="auto"/>
        <w:bottom w:val="none" w:sz="0" w:space="0" w:color="auto"/>
        <w:right w:val="none" w:sz="0" w:space="0" w:color="auto"/>
      </w:divBdr>
    </w:div>
    <w:div w:id="51276426">
      <w:bodyDiv w:val="1"/>
      <w:marLeft w:val="0"/>
      <w:marRight w:val="0"/>
      <w:marTop w:val="0"/>
      <w:marBottom w:val="0"/>
      <w:divBdr>
        <w:top w:val="none" w:sz="0" w:space="0" w:color="auto"/>
        <w:left w:val="none" w:sz="0" w:space="0" w:color="auto"/>
        <w:bottom w:val="none" w:sz="0" w:space="0" w:color="auto"/>
        <w:right w:val="none" w:sz="0" w:space="0" w:color="auto"/>
      </w:divBdr>
    </w:div>
    <w:div w:id="56175996">
      <w:bodyDiv w:val="1"/>
      <w:marLeft w:val="0"/>
      <w:marRight w:val="0"/>
      <w:marTop w:val="0"/>
      <w:marBottom w:val="0"/>
      <w:divBdr>
        <w:top w:val="none" w:sz="0" w:space="0" w:color="auto"/>
        <w:left w:val="none" w:sz="0" w:space="0" w:color="auto"/>
        <w:bottom w:val="none" w:sz="0" w:space="0" w:color="auto"/>
        <w:right w:val="none" w:sz="0" w:space="0" w:color="auto"/>
      </w:divBdr>
    </w:div>
    <w:div w:id="73209049">
      <w:bodyDiv w:val="1"/>
      <w:marLeft w:val="0"/>
      <w:marRight w:val="0"/>
      <w:marTop w:val="0"/>
      <w:marBottom w:val="0"/>
      <w:divBdr>
        <w:top w:val="none" w:sz="0" w:space="0" w:color="auto"/>
        <w:left w:val="none" w:sz="0" w:space="0" w:color="auto"/>
        <w:bottom w:val="none" w:sz="0" w:space="0" w:color="auto"/>
        <w:right w:val="none" w:sz="0" w:space="0" w:color="auto"/>
      </w:divBdr>
    </w:div>
    <w:div w:id="86580217">
      <w:bodyDiv w:val="1"/>
      <w:marLeft w:val="0"/>
      <w:marRight w:val="0"/>
      <w:marTop w:val="0"/>
      <w:marBottom w:val="0"/>
      <w:divBdr>
        <w:top w:val="none" w:sz="0" w:space="0" w:color="auto"/>
        <w:left w:val="none" w:sz="0" w:space="0" w:color="auto"/>
        <w:bottom w:val="none" w:sz="0" w:space="0" w:color="auto"/>
        <w:right w:val="none" w:sz="0" w:space="0" w:color="auto"/>
      </w:divBdr>
    </w:div>
    <w:div w:id="89007397">
      <w:bodyDiv w:val="1"/>
      <w:marLeft w:val="0"/>
      <w:marRight w:val="0"/>
      <w:marTop w:val="0"/>
      <w:marBottom w:val="0"/>
      <w:divBdr>
        <w:top w:val="none" w:sz="0" w:space="0" w:color="auto"/>
        <w:left w:val="none" w:sz="0" w:space="0" w:color="auto"/>
        <w:bottom w:val="none" w:sz="0" w:space="0" w:color="auto"/>
        <w:right w:val="none" w:sz="0" w:space="0" w:color="auto"/>
      </w:divBdr>
    </w:div>
    <w:div w:id="101996824">
      <w:bodyDiv w:val="1"/>
      <w:marLeft w:val="0"/>
      <w:marRight w:val="0"/>
      <w:marTop w:val="0"/>
      <w:marBottom w:val="0"/>
      <w:divBdr>
        <w:top w:val="none" w:sz="0" w:space="0" w:color="auto"/>
        <w:left w:val="none" w:sz="0" w:space="0" w:color="auto"/>
        <w:bottom w:val="none" w:sz="0" w:space="0" w:color="auto"/>
        <w:right w:val="none" w:sz="0" w:space="0" w:color="auto"/>
      </w:divBdr>
    </w:div>
    <w:div w:id="110756844">
      <w:bodyDiv w:val="1"/>
      <w:marLeft w:val="0"/>
      <w:marRight w:val="0"/>
      <w:marTop w:val="0"/>
      <w:marBottom w:val="0"/>
      <w:divBdr>
        <w:top w:val="none" w:sz="0" w:space="0" w:color="auto"/>
        <w:left w:val="none" w:sz="0" w:space="0" w:color="auto"/>
        <w:bottom w:val="none" w:sz="0" w:space="0" w:color="auto"/>
        <w:right w:val="none" w:sz="0" w:space="0" w:color="auto"/>
      </w:divBdr>
    </w:div>
    <w:div w:id="119307994">
      <w:bodyDiv w:val="1"/>
      <w:marLeft w:val="0"/>
      <w:marRight w:val="0"/>
      <w:marTop w:val="0"/>
      <w:marBottom w:val="0"/>
      <w:divBdr>
        <w:top w:val="none" w:sz="0" w:space="0" w:color="auto"/>
        <w:left w:val="none" w:sz="0" w:space="0" w:color="auto"/>
        <w:bottom w:val="none" w:sz="0" w:space="0" w:color="auto"/>
        <w:right w:val="none" w:sz="0" w:space="0" w:color="auto"/>
      </w:divBdr>
    </w:div>
    <w:div w:id="119689890">
      <w:bodyDiv w:val="1"/>
      <w:marLeft w:val="0"/>
      <w:marRight w:val="0"/>
      <w:marTop w:val="0"/>
      <w:marBottom w:val="0"/>
      <w:divBdr>
        <w:top w:val="none" w:sz="0" w:space="0" w:color="auto"/>
        <w:left w:val="none" w:sz="0" w:space="0" w:color="auto"/>
        <w:bottom w:val="none" w:sz="0" w:space="0" w:color="auto"/>
        <w:right w:val="none" w:sz="0" w:space="0" w:color="auto"/>
      </w:divBdr>
    </w:div>
    <w:div w:id="135530980">
      <w:bodyDiv w:val="1"/>
      <w:marLeft w:val="0"/>
      <w:marRight w:val="0"/>
      <w:marTop w:val="0"/>
      <w:marBottom w:val="0"/>
      <w:divBdr>
        <w:top w:val="none" w:sz="0" w:space="0" w:color="auto"/>
        <w:left w:val="none" w:sz="0" w:space="0" w:color="auto"/>
        <w:bottom w:val="none" w:sz="0" w:space="0" w:color="auto"/>
        <w:right w:val="none" w:sz="0" w:space="0" w:color="auto"/>
      </w:divBdr>
    </w:div>
    <w:div w:id="173156362">
      <w:bodyDiv w:val="1"/>
      <w:marLeft w:val="0"/>
      <w:marRight w:val="0"/>
      <w:marTop w:val="0"/>
      <w:marBottom w:val="0"/>
      <w:divBdr>
        <w:top w:val="none" w:sz="0" w:space="0" w:color="auto"/>
        <w:left w:val="none" w:sz="0" w:space="0" w:color="auto"/>
        <w:bottom w:val="none" w:sz="0" w:space="0" w:color="auto"/>
        <w:right w:val="none" w:sz="0" w:space="0" w:color="auto"/>
      </w:divBdr>
    </w:div>
    <w:div w:id="180050521">
      <w:bodyDiv w:val="1"/>
      <w:marLeft w:val="0"/>
      <w:marRight w:val="0"/>
      <w:marTop w:val="0"/>
      <w:marBottom w:val="0"/>
      <w:divBdr>
        <w:top w:val="none" w:sz="0" w:space="0" w:color="auto"/>
        <w:left w:val="none" w:sz="0" w:space="0" w:color="auto"/>
        <w:bottom w:val="none" w:sz="0" w:space="0" w:color="auto"/>
        <w:right w:val="none" w:sz="0" w:space="0" w:color="auto"/>
      </w:divBdr>
    </w:div>
    <w:div w:id="187136023">
      <w:bodyDiv w:val="1"/>
      <w:marLeft w:val="0"/>
      <w:marRight w:val="0"/>
      <w:marTop w:val="0"/>
      <w:marBottom w:val="0"/>
      <w:divBdr>
        <w:top w:val="none" w:sz="0" w:space="0" w:color="auto"/>
        <w:left w:val="none" w:sz="0" w:space="0" w:color="auto"/>
        <w:bottom w:val="none" w:sz="0" w:space="0" w:color="auto"/>
        <w:right w:val="none" w:sz="0" w:space="0" w:color="auto"/>
      </w:divBdr>
    </w:div>
    <w:div w:id="193812315">
      <w:bodyDiv w:val="1"/>
      <w:marLeft w:val="0"/>
      <w:marRight w:val="0"/>
      <w:marTop w:val="0"/>
      <w:marBottom w:val="0"/>
      <w:divBdr>
        <w:top w:val="none" w:sz="0" w:space="0" w:color="auto"/>
        <w:left w:val="none" w:sz="0" w:space="0" w:color="auto"/>
        <w:bottom w:val="none" w:sz="0" w:space="0" w:color="auto"/>
        <w:right w:val="none" w:sz="0" w:space="0" w:color="auto"/>
      </w:divBdr>
    </w:div>
    <w:div w:id="205456736">
      <w:bodyDiv w:val="1"/>
      <w:marLeft w:val="0"/>
      <w:marRight w:val="0"/>
      <w:marTop w:val="0"/>
      <w:marBottom w:val="0"/>
      <w:divBdr>
        <w:top w:val="none" w:sz="0" w:space="0" w:color="auto"/>
        <w:left w:val="none" w:sz="0" w:space="0" w:color="auto"/>
        <w:bottom w:val="none" w:sz="0" w:space="0" w:color="auto"/>
        <w:right w:val="none" w:sz="0" w:space="0" w:color="auto"/>
      </w:divBdr>
    </w:div>
    <w:div w:id="211188130">
      <w:bodyDiv w:val="1"/>
      <w:marLeft w:val="0"/>
      <w:marRight w:val="0"/>
      <w:marTop w:val="0"/>
      <w:marBottom w:val="0"/>
      <w:divBdr>
        <w:top w:val="none" w:sz="0" w:space="0" w:color="auto"/>
        <w:left w:val="none" w:sz="0" w:space="0" w:color="auto"/>
        <w:bottom w:val="none" w:sz="0" w:space="0" w:color="auto"/>
        <w:right w:val="none" w:sz="0" w:space="0" w:color="auto"/>
      </w:divBdr>
    </w:div>
    <w:div w:id="212160465">
      <w:bodyDiv w:val="1"/>
      <w:marLeft w:val="0"/>
      <w:marRight w:val="0"/>
      <w:marTop w:val="0"/>
      <w:marBottom w:val="0"/>
      <w:divBdr>
        <w:top w:val="none" w:sz="0" w:space="0" w:color="auto"/>
        <w:left w:val="none" w:sz="0" w:space="0" w:color="auto"/>
        <w:bottom w:val="none" w:sz="0" w:space="0" w:color="auto"/>
        <w:right w:val="none" w:sz="0" w:space="0" w:color="auto"/>
      </w:divBdr>
    </w:div>
    <w:div w:id="215901347">
      <w:bodyDiv w:val="1"/>
      <w:marLeft w:val="0"/>
      <w:marRight w:val="0"/>
      <w:marTop w:val="0"/>
      <w:marBottom w:val="0"/>
      <w:divBdr>
        <w:top w:val="none" w:sz="0" w:space="0" w:color="auto"/>
        <w:left w:val="none" w:sz="0" w:space="0" w:color="auto"/>
        <w:bottom w:val="none" w:sz="0" w:space="0" w:color="auto"/>
        <w:right w:val="none" w:sz="0" w:space="0" w:color="auto"/>
      </w:divBdr>
    </w:div>
    <w:div w:id="228927542">
      <w:bodyDiv w:val="1"/>
      <w:marLeft w:val="0"/>
      <w:marRight w:val="0"/>
      <w:marTop w:val="0"/>
      <w:marBottom w:val="0"/>
      <w:divBdr>
        <w:top w:val="none" w:sz="0" w:space="0" w:color="auto"/>
        <w:left w:val="none" w:sz="0" w:space="0" w:color="auto"/>
        <w:bottom w:val="none" w:sz="0" w:space="0" w:color="auto"/>
        <w:right w:val="none" w:sz="0" w:space="0" w:color="auto"/>
      </w:divBdr>
    </w:div>
    <w:div w:id="258489991">
      <w:bodyDiv w:val="1"/>
      <w:marLeft w:val="0"/>
      <w:marRight w:val="0"/>
      <w:marTop w:val="0"/>
      <w:marBottom w:val="0"/>
      <w:divBdr>
        <w:top w:val="none" w:sz="0" w:space="0" w:color="auto"/>
        <w:left w:val="none" w:sz="0" w:space="0" w:color="auto"/>
        <w:bottom w:val="none" w:sz="0" w:space="0" w:color="auto"/>
        <w:right w:val="none" w:sz="0" w:space="0" w:color="auto"/>
      </w:divBdr>
    </w:div>
    <w:div w:id="270361472">
      <w:bodyDiv w:val="1"/>
      <w:marLeft w:val="0"/>
      <w:marRight w:val="0"/>
      <w:marTop w:val="0"/>
      <w:marBottom w:val="0"/>
      <w:divBdr>
        <w:top w:val="none" w:sz="0" w:space="0" w:color="auto"/>
        <w:left w:val="none" w:sz="0" w:space="0" w:color="auto"/>
        <w:bottom w:val="none" w:sz="0" w:space="0" w:color="auto"/>
        <w:right w:val="none" w:sz="0" w:space="0" w:color="auto"/>
      </w:divBdr>
    </w:div>
    <w:div w:id="284700413">
      <w:bodyDiv w:val="1"/>
      <w:marLeft w:val="0"/>
      <w:marRight w:val="0"/>
      <w:marTop w:val="0"/>
      <w:marBottom w:val="0"/>
      <w:divBdr>
        <w:top w:val="none" w:sz="0" w:space="0" w:color="auto"/>
        <w:left w:val="none" w:sz="0" w:space="0" w:color="auto"/>
        <w:bottom w:val="none" w:sz="0" w:space="0" w:color="auto"/>
        <w:right w:val="none" w:sz="0" w:space="0" w:color="auto"/>
      </w:divBdr>
    </w:div>
    <w:div w:id="299457911">
      <w:bodyDiv w:val="1"/>
      <w:marLeft w:val="0"/>
      <w:marRight w:val="0"/>
      <w:marTop w:val="0"/>
      <w:marBottom w:val="0"/>
      <w:divBdr>
        <w:top w:val="none" w:sz="0" w:space="0" w:color="auto"/>
        <w:left w:val="none" w:sz="0" w:space="0" w:color="auto"/>
        <w:bottom w:val="none" w:sz="0" w:space="0" w:color="auto"/>
        <w:right w:val="none" w:sz="0" w:space="0" w:color="auto"/>
      </w:divBdr>
    </w:div>
    <w:div w:id="311566666">
      <w:bodyDiv w:val="1"/>
      <w:marLeft w:val="0"/>
      <w:marRight w:val="0"/>
      <w:marTop w:val="0"/>
      <w:marBottom w:val="0"/>
      <w:divBdr>
        <w:top w:val="none" w:sz="0" w:space="0" w:color="auto"/>
        <w:left w:val="none" w:sz="0" w:space="0" w:color="auto"/>
        <w:bottom w:val="none" w:sz="0" w:space="0" w:color="auto"/>
        <w:right w:val="none" w:sz="0" w:space="0" w:color="auto"/>
      </w:divBdr>
    </w:div>
    <w:div w:id="318777455">
      <w:bodyDiv w:val="1"/>
      <w:marLeft w:val="0"/>
      <w:marRight w:val="0"/>
      <w:marTop w:val="0"/>
      <w:marBottom w:val="0"/>
      <w:divBdr>
        <w:top w:val="none" w:sz="0" w:space="0" w:color="auto"/>
        <w:left w:val="none" w:sz="0" w:space="0" w:color="auto"/>
        <w:bottom w:val="none" w:sz="0" w:space="0" w:color="auto"/>
        <w:right w:val="none" w:sz="0" w:space="0" w:color="auto"/>
      </w:divBdr>
    </w:div>
    <w:div w:id="319500507">
      <w:bodyDiv w:val="1"/>
      <w:marLeft w:val="0"/>
      <w:marRight w:val="0"/>
      <w:marTop w:val="0"/>
      <w:marBottom w:val="0"/>
      <w:divBdr>
        <w:top w:val="none" w:sz="0" w:space="0" w:color="auto"/>
        <w:left w:val="none" w:sz="0" w:space="0" w:color="auto"/>
        <w:bottom w:val="none" w:sz="0" w:space="0" w:color="auto"/>
        <w:right w:val="none" w:sz="0" w:space="0" w:color="auto"/>
      </w:divBdr>
    </w:div>
    <w:div w:id="319775681">
      <w:bodyDiv w:val="1"/>
      <w:marLeft w:val="0"/>
      <w:marRight w:val="0"/>
      <w:marTop w:val="0"/>
      <w:marBottom w:val="0"/>
      <w:divBdr>
        <w:top w:val="none" w:sz="0" w:space="0" w:color="auto"/>
        <w:left w:val="none" w:sz="0" w:space="0" w:color="auto"/>
        <w:bottom w:val="none" w:sz="0" w:space="0" w:color="auto"/>
        <w:right w:val="none" w:sz="0" w:space="0" w:color="auto"/>
      </w:divBdr>
    </w:div>
    <w:div w:id="321009787">
      <w:bodyDiv w:val="1"/>
      <w:marLeft w:val="0"/>
      <w:marRight w:val="0"/>
      <w:marTop w:val="0"/>
      <w:marBottom w:val="0"/>
      <w:divBdr>
        <w:top w:val="none" w:sz="0" w:space="0" w:color="auto"/>
        <w:left w:val="none" w:sz="0" w:space="0" w:color="auto"/>
        <w:bottom w:val="none" w:sz="0" w:space="0" w:color="auto"/>
        <w:right w:val="none" w:sz="0" w:space="0" w:color="auto"/>
      </w:divBdr>
    </w:div>
    <w:div w:id="327564728">
      <w:bodyDiv w:val="1"/>
      <w:marLeft w:val="0"/>
      <w:marRight w:val="0"/>
      <w:marTop w:val="0"/>
      <w:marBottom w:val="0"/>
      <w:divBdr>
        <w:top w:val="none" w:sz="0" w:space="0" w:color="auto"/>
        <w:left w:val="none" w:sz="0" w:space="0" w:color="auto"/>
        <w:bottom w:val="none" w:sz="0" w:space="0" w:color="auto"/>
        <w:right w:val="none" w:sz="0" w:space="0" w:color="auto"/>
      </w:divBdr>
    </w:div>
    <w:div w:id="327752771">
      <w:bodyDiv w:val="1"/>
      <w:marLeft w:val="0"/>
      <w:marRight w:val="0"/>
      <w:marTop w:val="0"/>
      <w:marBottom w:val="0"/>
      <w:divBdr>
        <w:top w:val="none" w:sz="0" w:space="0" w:color="auto"/>
        <w:left w:val="none" w:sz="0" w:space="0" w:color="auto"/>
        <w:bottom w:val="none" w:sz="0" w:space="0" w:color="auto"/>
        <w:right w:val="none" w:sz="0" w:space="0" w:color="auto"/>
      </w:divBdr>
    </w:div>
    <w:div w:id="350768717">
      <w:bodyDiv w:val="1"/>
      <w:marLeft w:val="0"/>
      <w:marRight w:val="0"/>
      <w:marTop w:val="0"/>
      <w:marBottom w:val="0"/>
      <w:divBdr>
        <w:top w:val="none" w:sz="0" w:space="0" w:color="auto"/>
        <w:left w:val="none" w:sz="0" w:space="0" w:color="auto"/>
        <w:bottom w:val="none" w:sz="0" w:space="0" w:color="auto"/>
        <w:right w:val="none" w:sz="0" w:space="0" w:color="auto"/>
      </w:divBdr>
    </w:div>
    <w:div w:id="354577772">
      <w:bodyDiv w:val="1"/>
      <w:marLeft w:val="0"/>
      <w:marRight w:val="0"/>
      <w:marTop w:val="0"/>
      <w:marBottom w:val="0"/>
      <w:divBdr>
        <w:top w:val="none" w:sz="0" w:space="0" w:color="auto"/>
        <w:left w:val="none" w:sz="0" w:space="0" w:color="auto"/>
        <w:bottom w:val="none" w:sz="0" w:space="0" w:color="auto"/>
        <w:right w:val="none" w:sz="0" w:space="0" w:color="auto"/>
      </w:divBdr>
    </w:div>
    <w:div w:id="369838234">
      <w:bodyDiv w:val="1"/>
      <w:marLeft w:val="0"/>
      <w:marRight w:val="0"/>
      <w:marTop w:val="0"/>
      <w:marBottom w:val="0"/>
      <w:divBdr>
        <w:top w:val="none" w:sz="0" w:space="0" w:color="auto"/>
        <w:left w:val="none" w:sz="0" w:space="0" w:color="auto"/>
        <w:bottom w:val="none" w:sz="0" w:space="0" w:color="auto"/>
        <w:right w:val="none" w:sz="0" w:space="0" w:color="auto"/>
      </w:divBdr>
    </w:div>
    <w:div w:id="385762259">
      <w:bodyDiv w:val="1"/>
      <w:marLeft w:val="0"/>
      <w:marRight w:val="0"/>
      <w:marTop w:val="0"/>
      <w:marBottom w:val="0"/>
      <w:divBdr>
        <w:top w:val="none" w:sz="0" w:space="0" w:color="auto"/>
        <w:left w:val="none" w:sz="0" w:space="0" w:color="auto"/>
        <w:bottom w:val="none" w:sz="0" w:space="0" w:color="auto"/>
        <w:right w:val="none" w:sz="0" w:space="0" w:color="auto"/>
      </w:divBdr>
    </w:div>
    <w:div w:id="390079485">
      <w:bodyDiv w:val="1"/>
      <w:marLeft w:val="0"/>
      <w:marRight w:val="0"/>
      <w:marTop w:val="0"/>
      <w:marBottom w:val="0"/>
      <w:divBdr>
        <w:top w:val="none" w:sz="0" w:space="0" w:color="auto"/>
        <w:left w:val="none" w:sz="0" w:space="0" w:color="auto"/>
        <w:bottom w:val="none" w:sz="0" w:space="0" w:color="auto"/>
        <w:right w:val="none" w:sz="0" w:space="0" w:color="auto"/>
      </w:divBdr>
    </w:div>
    <w:div w:id="429398334">
      <w:bodyDiv w:val="1"/>
      <w:marLeft w:val="0"/>
      <w:marRight w:val="0"/>
      <w:marTop w:val="0"/>
      <w:marBottom w:val="0"/>
      <w:divBdr>
        <w:top w:val="none" w:sz="0" w:space="0" w:color="auto"/>
        <w:left w:val="none" w:sz="0" w:space="0" w:color="auto"/>
        <w:bottom w:val="none" w:sz="0" w:space="0" w:color="auto"/>
        <w:right w:val="none" w:sz="0" w:space="0" w:color="auto"/>
      </w:divBdr>
    </w:div>
    <w:div w:id="431704680">
      <w:bodyDiv w:val="1"/>
      <w:marLeft w:val="0"/>
      <w:marRight w:val="0"/>
      <w:marTop w:val="0"/>
      <w:marBottom w:val="0"/>
      <w:divBdr>
        <w:top w:val="none" w:sz="0" w:space="0" w:color="auto"/>
        <w:left w:val="none" w:sz="0" w:space="0" w:color="auto"/>
        <w:bottom w:val="none" w:sz="0" w:space="0" w:color="auto"/>
        <w:right w:val="none" w:sz="0" w:space="0" w:color="auto"/>
      </w:divBdr>
    </w:div>
    <w:div w:id="437793189">
      <w:bodyDiv w:val="1"/>
      <w:marLeft w:val="0"/>
      <w:marRight w:val="0"/>
      <w:marTop w:val="0"/>
      <w:marBottom w:val="0"/>
      <w:divBdr>
        <w:top w:val="none" w:sz="0" w:space="0" w:color="auto"/>
        <w:left w:val="none" w:sz="0" w:space="0" w:color="auto"/>
        <w:bottom w:val="none" w:sz="0" w:space="0" w:color="auto"/>
        <w:right w:val="none" w:sz="0" w:space="0" w:color="auto"/>
      </w:divBdr>
    </w:div>
    <w:div w:id="445731486">
      <w:bodyDiv w:val="1"/>
      <w:marLeft w:val="0"/>
      <w:marRight w:val="0"/>
      <w:marTop w:val="0"/>
      <w:marBottom w:val="0"/>
      <w:divBdr>
        <w:top w:val="none" w:sz="0" w:space="0" w:color="auto"/>
        <w:left w:val="none" w:sz="0" w:space="0" w:color="auto"/>
        <w:bottom w:val="none" w:sz="0" w:space="0" w:color="auto"/>
        <w:right w:val="none" w:sz="0" w:space="0" w:color="auto"/>
      </w:divBdr>
    </w:div>
    <w:div w:id="459882103">
      <w:bodyDiv w:val="1"/>
      <w:marLeft w:val="0"/>
      <w:marRight w:val="0"/>
      <w:marTop w:val="0"/>
      <w:marBottom w:val="0"/>
      <w:divBdr>
        <w:top w:val="none" w:sz="0" w:space="0" w:color="auto"/>
        <w:left w:val="none" w:sz="0" w:space="0" w:color="auto"/>
        <w:bottom w:val="none" w:sz="0" w:space="0" w:color="auto"/>
        <w:right w:val="none" w:sz="0" w:space="0" w:color="auto"/>
      </w:divBdr>
    </w:div>
    <w:div w:id="477721032">
      <w:bodyDiv w:val="1"/>
      <w:marLeft w:val="0"/>
      <w:marRight w:val="0"/>
      <w:marTop w:val="0"/>
      <w:marBottom w:val="0"/>
      <w:divBdr>
        <w:top w:val="none" w:sz="0" w:space="0" w:color="auto"/>
        <w:left w:val="none" w:sz="0" w:space="0" w:color="auto"/>
        <w:bottom w:val="none" w:sz="0" w:space="0" w:color="auto"/>
        <w:right w:val="none" w:sz="0" w:space="0" w:color="auto"/>
      </w:divBdr>
    </w:div>
    <w:div w:id="478231175">
      <w:bodyDiv w:val="1"/>
      <w:marLeft w:val="0"/>
      <w:marRight w:val="0"/>
      <w:marTop w:val="0"/>
      <w:marBottom w:val="0"/>
      <w:divBdr>
        <w:top w:val="none" w:sz="0" w:space="0" w:color="auto"/>
        <w:left w:val="none" w:sz="0" w:space="0" w:color="auto"/>
        <w:bottom w:val="none" w:sz="0" w:space="0" w:color="auto"/>
        <w:right w:val="none" w:sz="0" w:space="0" w:color="auto"/>
      </w:divBdr>
    </w:div>
    <w:div w:id="478419317">
      <w:bodyDiv w:val="1"/>
      <w:marLeft w:val="0"/>
      <w:marRight w:val="0"/>
      <w:marTop w:val="0"/>
      <w:marBottom w:val="0"/>
      <w:divBdr>
        <w:top w:val="none" w:sz="0" w:space="0" w:color="auto"/>
        <w:left w:val="none" w:sz="0" w:space="0" w:color="auto"/>
        <w:bottom w:val="none" w:sz="0" w:space="0" w:color="auto"/>
        <w:right w:val="none" w:sz="0" w:space="0" w:color="auto"/>
      </w:divBdr>
    </w:div>
    <w:div w:id="498038494">
      <w:bodyDiv w:val="1"/>
      <w:marLeft w:val="0"/>
      <w:marRight w:val="0"/>
      <w:marTop w:val="0"/>
      <w:marBottom w:val="0"/>
      <w:divBdr>
        <w:top w:val="none" w:sz="0" w:space="0" w:color="auto"/>
        <w:left w:val="none" w:sz="0" w:space="0" w:color="auto"/>
        <w:bottom w:val="none" w:sz="0" w:space="0" w:color="auto"/>
        <w:right w:val="none" w:sz="0" w:space="0" w:color="auto"/>
      </w:divBdr>
    </w:div>
    <w:div w:id="507449202">
      <w:bodyDiv w:val="1"/>
      <w:marLeft w:val="0"/>
      <w:marRight w:val="0"/>
      <w:marTop w:val="0"/>
      <w:marBottom w:val="0"/>
      <w:divBdr>
        <w:top w:val="none" w:sz="0" w:space="0" w:color="auto"/>
        <w:left w:val="none" w:sz="0" w:space="0" w:color="auto"/>
        <w:bottom w:val="none" w:sz="0" w:space="0" w:color="auto"/>
        <w:right w:val="none" w:sz="0" w:space="0" w:color="auto"/>
      </w:divBdr>
    </w:div>
    <w:div w:id="513500988">
      <w:bodyDiv w:val="1"/>
      <w:marLeft w:val="0"/>
      <w:marRight w:val="0"/>
      <w:marTop w:val="0"/>
      <w:marBottom w:val="0"/>
      <w:divBdr>
        <w:top w:val="none" w:sz="0" w:space="0" w:color="auto"/>
        <w:left w:val="none" w:sz="0" w:space="0" w:color="auto"/>
        <w:bottom w:val="none" w:sz="0" w:space="0" w:color="auto"/>
        <w:right w:val="none" w:sz="0" w:space="0" w:color="auto"/>
      </w:divBdr>
    </w:div>
    <w:div w:id="525482317">
      <w:bodyDiv w:val="1"/>
      <w:marLeft w:val="0"/>
      <w:marRight w:val="0"/>
      <w:marTop w:val="0"/>
      <w:marBottom w:val="0"/>
      <w:divBdr>
        <w:top w:val="none" w:sz="0" w:space="0" w:color="auto"/>
        <w:left w:val="none" w:sz="0" w:space="0" w:color="auto"/>
        <w:bottom w:val="none" w:sz="0" w:space="0" w:color="auto"/>
        <w:right w:val="none" w:sz="0" w:space="0" w:color="auto"/>
      </w:divBdr>
    </w:div>
    <w:div w:id="527370964">
      <w:bodyDiv w:val="1"/>
      <w:marLeft w:val="0"/>
      <w:marRight w:val="0"/>
      <w:marTop w:val="0"/>
      <w:marBottom w:val="0"/>
      <w:divBdr>
        <w:top w:val="none" w:sz="0" w:space="0" w:color="auto"/>
        <w:left w:val="none" w:sz="0" w:space="0" w:color="auto"/>
        <w:bottom w:val="none" w:sz="0" w:space="0" w:color="auto"/>
        <w:right w:val="none" w:sz="0" w:space="0" w:color="auto"/>
      </w:divBdr>
    </w:div>
    <w:div w:id="533231433">
      <w:bodyDiv w:val="1"/>
      <w:marLeft w:val="0"/>
      <w:marRight w:val="0"/>
      <w:marTop w:val="0"/>
      <w:marBottom w:val="0"/>
      <w:divBdr>
        <w:top w:val="none" w:sz="0" w:space="0" w:color="auto"/>
        <w:left w:val="none" w:sz="0" w:space="0" w:color="auto"/>
        <w:bottom w:val="none" w:sz="0" w:space="0" w:color="auto"/>
        <w:right w:val="none" w:sz="0" w:space="0" w:color="auto"/>
      </w:divBdr>
    </w:div>
    <w:div w:id="557932908">
      <w:bodyDiv w:val="1"/>
      <w:marLeft w:val="0"/>
      <w:marRight w:val="0"/>
      <w:marTop w:val="0"/>
      <w:marBottom w:val="0"/>
      <w:divBdr>
        <w:top w:val="none" w:sz="0" w:space="0" w:color="auto"/>
        <w:left w:val="none" w:sz="0" w:space="0" w:color="auto"/>
        <w:bottom w:val="none" w:sz="0" w:space="0" w:color="auto"/>
        <w:right w:val="none" w:sz="0" w:space="0" w:color="auto"/>
      </w:divBdr>
    </w:div>
    <w:div w:id="564144131">
      <w:bodyDiv w:val="1"/>
      <w:marLeft w:val="0"/>
      <w:marRight w:val="0"/>
      <w:marTop w:val="0"/>
      <w:marBottom w:val="0"/>
      <w:divBdr>
        <w:top w:val="none" w:sz="0" w:space="0" w:color="auto"/>
        <w:left w:val="none" w:sz="0" w:space="0" w:color="auto"/>
        <w:bottom w:val="none" w:sz="0" w:space="0" w:color="auto"/>
        <w:right w:val="none" w:sz="0" w:space="0" w:color="auto"/>
      </w:divBdr>
    </w:div>
    <w:div w:id="577134437">
      <w:bodyDiv w:val="1"/>
      <w:marLeft w:val="0"/>
      <w:marRight w:val="0"/>
      <w:marTop w:val="0"/>
      <w:marBottom w:val="0"/>
      <w:divBdr>
        <w:top w:val="none" w:sz="0" w:space="0" w:color="auto"/>
        <w:left w:val="none" w:sz="0" w:space="0" w:color="auto"/>
        <w:bottom w:val="none" w:sz="0" w:space="0" w:color="auto"/>
        <w:right w:val="none" w:sz="0" w:space="0" w:color="auto"/>
      </w:divBdr>
    </w:div>
    <w:div w:id="577834909">
      <w:bodyDiv w:val="1"/>
      <w:marLeft w:val="0"/>
      <w:marRight w:val="0"/>
      <w:marTop w:val="0"/>
      <w:marBottom w:val="0"/>
      <w:divBdr>
        <w:top w:val="none" w:sz="0" w:space="0" w:color="auto"/>
        <w:left w:val="none" w:sz="0" w:space="0" w:color="auto"/>
        <w:bottom w:val="none" w:sz="0" w:space="0" w:color="auto"/>
        <w:right w:val="none" w:sz="0" w:space="0" w:color="auto"/>
      </w:divBdr>
    </w:div>
    <w:div w:id="578054168">
      <w:bodyDiv w:val="1"/>
      <w:marLeft w:val="0"/>
      <w:marRight w:val="0"/>
      <w:marTop w:val="0"/>
      <w:marBottom w:val="0"/>
      <w:divBdr>
        <w:top w:val="none" w:sz="0" w:space="0" w:color="auto"/>
        <w:left w:val="none" w:sz="0" w:space="0" w:color="auto"/>
        <w:bottom w:val="none" w:sz="0" w:space="0" w:color="auto"/>
        <w:right w:val="none" w:sz="0" w:space="0" w:color="auto"/>
      </w:divBdr>
    </w:div>
    <w:div w:id="601306355">
      <w:bodyDiv w:val="1"/>
      <w:marLeft w:val="0"/>
      <w:marRight w:val="0"/>
      <w:marTop w:val="0"/>
      <w:marBottom w:val="0"/>
      <w:divBdr>
        <w:top w:val="none" w:sz="0" w:space="0" w:color="auto"/>
        <w:left w:val="none" w:sz="0" w:space="0" w:color="auto"/>
        <w:bottom w:val="none" w:sz="0" w:space="0" w:color="auto"/>
        <w:right w:val="none" w:sz="0" w:space="0" w:color="auto"/>
      </w:divBdr>
    </w:div>
    <w:div w:id="647824478">
      <w:bodyDiv w:val="1"/>
      <w:marLeft w:val="0"/>
      <w:marRight w:val="0"/>
      <w:marTop w:val="0"/>
      <w:marBottom w:val="0"/>
      <w:divBdr>
        <w:top w:val="none" w:sz="0" w:space="0" w:color="auto"/>
        <w:left w:val="none" w:sz="0" w:space="0" w:color="auto"/>
        <w:bottom w:val="none" w:sz="0" w:space="0" w:color="auto"/>
        <w:right w:val="none" w:sz="0" w:space="0" w:color="auto"/>
      </w:divBdr>
    </w:div>
    <w:div w:id="660699112">
      <w:bodyDiv w:val="1"/>
      <w:marLeft w:val="0"/>
      <w:marRight w:val="0"/>
      <w:marTop w:val="0"/>
      <w:marBottom w:val="0"/>
      <w:divBdr>
        <w:top w:val="none" w:sz="0" w:space="0" w:color="auto"/>
        <w:left w:val="none" w:sz="0" w:space="0" w:color="auto"/>
        <w:bottom w:val="none" w:sz="0" w:space="0" w:color="auto"/>
        <w:right w:val="none" w:sz="0" w:space="0" w:color="auto"/>
      </w:divBdr>
    </w:div>
    <w:div w:id="660810061">
      <w:bodyDiv w:val="1"/>
      <w:marLeft w:val="0"/>
      <w:marRight w:val="0"/>
      <w:marTop w:val="0"/>
      <w:marBottom w:val="0"/>
      <w:divBdr>
        <w:top w:val="none" w:sz="0" w:space="0" w:color="auto"/>
        <w:left w:val="none" w:sz="0" w:space="0" w:color="auto"/>
        <w:bottom w:val="none" w:sz="0" w:space="0" w:color="auto"/>
        <w:right w:val="none" w:sz="0" w:space="0" w:color="auto"/>
      </w:divBdr>
    </w:div>
    <w:div w:id="674578358">
      <w:bodyDiv w:val="1"/>
      <w:marLeft w:val="0"/>
      <w:marRight w:val="0"/>
      <w:marTop w:val="0"/>
      <w:marBottom w:val="0"/>
      <w:divBdr>
        <w:top w:val="none" w:sz="0" w:space="0" w:color="auto"/>
        <w:left w:val="none" w:sz="0" w:space="0" w:color="auto"/>
        <w:bottom w:val="none" w:sz="0" w:space="0" w:color="auto"/>
        <w:right w:val="none" w:sz="0" w:space="0" w:color="auto"/>
      </w:divBdr>
    </w:div>
    <w:div w:id="678000230">
      <w:bodyDiv w:val="1"/>
      <w:marLeft w:val="0"/>
      <w:marRight w:val="0"/>
      <w:marTop w:val="0"/>
      <w:marBottom w:val="0"/>
      <w:divBdr>
        <w:top w:val="none" w:sz="0" w:space="0" w:color="auto"/>
        <w:left w:val="none" w:sz="0" w:space="0" w:color="auto"/>
        <w:bottom w:val="none" w:sz="0" w:space="0" w:color="auto"/>
        <w:right w:val="none" w:sz="0" w:space="0" w:color="auto"/>
      </w:divBdr>
    </w:div>
    <w:div w:id="680472651">
      <w:bodyDiv w:val="1"/>
      <w:marLeft w:val="0"/>
      <w:marRight w:val="0"/>
      <w:marTop w:val="0"/>
      <w:marBottom w:val="0"/>
      <w:divBdr>
        <w:top w:val="none" w:sz="0" w:space="0" w:color="auto"/>
        <w:left w:val="none" w:sz="0" w:space="0" w:color="auto"/>
        <w:bottom w:val="none" w:sz="0" w:space="0" w:color="auto"/>
        <w:right w:val="none" w:sz="0" w:space="0" w:color="auto"/>
      </w:divBdr>
    </w:div>
    <w:div w:id="691998742">
      <w:bodyDiv w:val="1"/>
      <w:marLeft w:val="0"/>
      <w:marRight w:val="0"/>
      <w:marTop w:val="0"/>
      <w:marBottom w:val="0"/>
      <w:divBdr>
        <w:top w:val="none" w:sz="0" w:space="0" w:color="auto"/>
        <w:left w:val="none" w:sz="0" w:space="0" w:color="auto"/>
        <w:bottom w:val="none" w:sz="0" w:space="0" w:color="auto"/>
        <w:right w:val="none" w:sz="0" w:space="0" w:color="auto"/>
      </w:divBdr>
    </w:div>
    <w:div w:id="694619815">
      <w:bodyDiv w:val="1"/>
      <w:marLeft w:val="0"/>
      <w:marRight w:val="0"/>
      <w:marTop w:val="0"/>
      <w:marBottom w:val="0"/>
      <w:divBdr>
        <w:top w:val="none" w:sz="0" w:space="0" w:color="auto"/>
        <w:left w:val="none" w:sz="0" w:space="0" w:color="auto"/>
        <w:bottom w:val="none" w:sz="0" w:space="0" w:color="auto"/>
        <w:right w:val="none" w:sz="0" w:space="0" w:color="auto"/>
      </w:divBdr>
    </w:div>
    <w:div w:id="709645869">
      <w:bodyDiv w:val="1"/>
      <w:marLeft w:val="0"/>
      <w:marRight w:val="0"/>
      <w:marTop w:val="0"/>
      <w:marBottom w:val="0"/>
      <w:divBdr>
        <w:top w:val="none" w:sz="0" w:space="0" w:color="auto"/>
        <w:left w:val="none" w:sz="0" w:space="0" w:color="auto"/>
        <w:bottom w:val="none" w:sz="0" w:space="0" w:color="auto"/>
        <w:right w:val="none" w:sz="0" w:space="0" w:color="auto"/>
      </w:divBdr>
    </w:div>
    <w:div w:id="717438643">
      <w:bodyDiv w:val="1"/>
      <w:marLeft w:val="0"/>
      <w:marRight w:val="0"/>
      <w:marTop w:val="0"/>
      <w:marBottom w:val="0"/>
      <w:divBdr>
        <w:top w:val="none" w:sz="0" w:space="0" w:color="auto"/>
        <w:left w:val="none" w:sz="0" w:space="0" w:color="auto"/>
        <w:bottom w:val="none" w:sz="0" w:space="0" w:color="auto"/>
        <w:right w:val="none" w:sz="0" w:space="0" w:color="auto"/>
      </w:divBdr>
    </w:div>
    <w:div w:id="724990192">
      <w:bodyDiv w:val="1"/>
      <w:marLeft w:val="0"/>
      <w:marRight w:val="0"/>
      <w:marTop w:val="0"/>
      <w:marBottom w:val="0"/>
      <w:divBdr>
        <w:top w:val="none" w:sz="0" w:space="0" w:color="auto"/>
        <w:left w:val="none" w:sz="0" w:space="0" w:color="auto"/>
        <w:bottom w:val="none" w:sz="0" w:space="0" w:color="auto"/>
        <w:right w:val="none" w:sz="0" w:space="0" w:color="auto"/>
      </w:divBdr>
    </w:div>
    <w:div w:id="729619965">
      <w:bodyDiv w:val="1"/>
      <w:marLeft w:val="0"/>
      <w:marRight w:val="0"/>
      <w:marTop w:val="0"/>
      <w:marBottom w:val="0"/>
      <w:divBdr>
        <w:top w:val="none" w:sz="0" w:space="0" w:color="auto"/>
        <w:left w:val="none" w:sz="0" w:space="0" w:color="auto"/>
        <w:bottom w:val="none" w:sz="0" w:space="0" w:color="auto"/>
        <w:right w:val="none" w:sz="0" w:space="0" w:color="auto"/>
      </w:divBdr>
    </w:div>
    <w:div w:id="734743941">
      <w:bodyDiv w:val="1"/>
      <w:marLeft w:val="0"/>
      <w:marRight w:val="0"/>
      <w:marTop w:val="0"/>
      <w:marBottom w:val="0"/>
      <w:divBdr>
        <w:top w:val="none" w:sz="0" w:space="0" w:color="auto"/>
        <w:left w:val="none" w:sz="0" w:space="0" w:color="auto"/>
        <w:bottom w:val="none" w:sz="0" w:space="0" w:color="auto"/>
        <w:right w:val="none" w:sz="0" w:space="0" w:color="auto"/>
      </w:divBdr>
    </w:div>
    <w:div w:id="740373836">
      <w:bodyDiv w:val="1"/>
      <w:marLeft w:val="0"/>
      <w:marRight w:val="0"/>
      <w:marTop w:val="0"/>
      <w:marBottom w:val="0"/>
      <w:divBdr>
        <w:top w:val="none" w:sz="0" w:space="0" w:color="auto"/>
        <w:left w:val="none" w:sz="0" w:space="0" w:color="auto"/>
        <w:bottom w:val="none" w:sz="0" w:space="0" w:color="auto"/>
        <w:right w:val="none" w:sz="0" w:space="0" w:color="auto"/>
      </w:divBdr>
    </w:div>
    <w:div w:id="750396182">
      <w:bodyDiv w:val="1"/>
      <w:marLeft w:val="0"/>
      <w:marRight w:val="0"/>
      <w:marTop w:val="0"/>
      <w:marBottom w:val="0"/>
      <w:divBdr>
        <w:top w:val="none" w:sz="0" w:space="0" w:color="auto"/>
        <w:left w:val="none" w:sz="0" w:space="0" w:color="auto"/>
        <w:bottom w:val="none" w:sz="0" w:space="0" w:color="auto"/>
        <w:right w:val="none" w:sz="0" w:space="0" w:color="auto"/>
      </w:divBdr>
    </w:div>
    <w:div w:id="759063513">
      <w:bodyDiv w:val="1"/>
      <w:marLeft w:val="0"/>
      <w:marRight w:val="0"/>
      <w:marTop w:val="0"/>
      <w:marBottom w:val="0"/>
      <w:divBdr>
        <w:top w:val="none" w:sz="0" w:space="0" w:color="auto"/>
        <w:left w:val="none" w:sz="0" w:space="0" w:color="auto"/>
        <w:bottom w:val="none" w:sz="0" w:space="0" w:color="auto"/>
        <w:right w:val="none" w:sz="0" w:space="0" w:color="auto"/>
      </w:divBdr>
    </w:div>
    <w:div w:id="771246119">
      <w:bodyDiv w:val="1"/>
      <w:marLeft w:val="0"/>
      <w:marRight w:val="0"/>
      <w:marTop w:val="0"/>
      <w:marBottom w:val="0"/>
      <w:divBdr>
        <w:top w:val="none" w:sz="0" w:space="0" w:color="auto"/>
        <w:left w:val="none" w:sz="0" w:space="0" w:color="auto"/>
        <w:bottom w:val="none" w:sz="0" w:space="0" w:color="auto"/>
        <w:right w:val="none" w:sz="0" w:space="0" w:color="auto"/>
      </w:divBdr>
    </w:div>
    <w:div w:id="780228433">
      <w:bodyDiv w:val="1"/>
      <w:marLeft w:val="0"/>
      <w:marRight w:val="0"/>
      <w:marTop w:val="0"/>
      <w:marBottom w:val="0"/>
      <w:divBdr>
        <w:top w:val="none" w:sz="0" w:space="0" w:color="auto"/>
        <w:left w:val="none" w:sz="0" w:space="0" w:color="auto"/>
        <w:bottom w:val="none" w:sz="0" w:space="0" w:color="auto"/>
        <w:right w:val="none" w:sz="0" w:space="0" w:color="auto"/>
      </w:divBdr>
    </w:div>
    <w:div w:id="783230088">
      <w:bodyDiv w:val="1"/>
      <w:marLeft w:val="0"/>
      <w:marRight w:val="0"/>
      <w:marTop w:val="0"/>
      <w:marBottom w:val="0"/>
      <w:divBdr>
        <w:top w:val="none" w:sz="0" w:space="0" w:color="auto"/>
        <w:left w:val="none" w:sz="0" w:space="0" w:color="auto"/>
        <w:bottom w:val="none" w:sz="0" w:space="0" w:color="auto"/>
        <w:right w:val="none" w:sz="0" w:space="0" w:color="auto"/>
      </w:divBdr>
    </w:div>
    <w:div w:id="783304394">
      <w:bodyDiv w:val="1"/>
      <w:marLeft w:val="0"/>
      <w:marRight w:val="0"/>
      <w:marTop w:val="0"/>
      <w:marBottom w:val="0"/>
      <w:divBdr>
        <w:top w:val="none" w:sz="0" w:space="0" w:color="auto"/>
        <w:left w:val="none" w:sz="0" w:space="0" w:color="auto"/>
        <w:bottom w:val="none" w:sz="0" w:space="0" w:color="auto"/>
        <w:right w:val="none" w:sz="0" w:space="0" w:color="auto"/>
      </w:divBdr>
    </w:div>
    <w:div w:id="791242986">
      <w:bodyDiv w:val="1"/>
      <w:marLeft w:val="0"/>
      <w:marRight w:val="0"/>
      <w:marTop w:val="0"/>
      <w:marBottom w:val="0"/>
      <w:divBdr>
        <w:top w:val="none" w:sz="0" w:space="0" w:color="auto"/>
        <w:left w:val="none" w:sz="0" w:space="0" w:color="auto"/>
        <w:bottom w:val="none" w:sz="0" w:space="0" w:color="auto"/>
        <w:right w:val="none" w:sz="0" w:space="0" w:color="auto"/>
      </w:divBdr>
    </w:div>
    <w:div w:id="810748962">
      <w:bodyDiv w:val="1"/>
      <w:marLeft w:val="0"/>
      <w:marRight w:val="0"/>
      <w:marTop w:val="0"/>
      <w:marBottom w:val="0"/>
      <w:divBdr>
        <w:top w:val="none" w:sz="0" w:space="0" w:color="auto"/>
        <w:left w:val="none" w:sz="0" w:space="0" w:color="auto"/>
        <w:bottom w:val="none" w:sz="0" w:space="0" w:color="auto"/>
        <w:right w:val="none" w:sz="0" w:space="0" w:color="auto"/>
      </w:divBdr>
    </w:div>
    <w:div w:id="819267617">
      <w:bodyDiv w:val="1"/>
      <w:marLeft w:val="0"/>
      <w:marRight w:val="0"/>
      <w:marTop w:val="0"/>
      <w:marBottom w:val="0"/>
      <w:divBdr>
        <w:top w:val="none" w:sz="0" w:space="0" w:color="auto"/>
        <w:left w:val="none" w:sz="0" w:space="0" w:color="auto"/>
        <w:bottom w:val="none" w:sz="0" w:space="0" w:color="auto"/>
        <w:right w:val="none" w:sz="0" w:space="0" w:color="auto"/>
      </w:divBdr>
    </w:div>
    <w:div w:id="822967913">
      <w:bodyDiv w:val="1"/>
      <w:marLeft w:val="0"/>
      <w:marRight w:val="0"/>
      <w:marTop w:val="0"/>
      <w:marBottom w:val="0"/>
      <w:divBdr>
        <w:top w:val="none" w:sz="0" w:space="0" w:color="auto"/>
        <w:left w:val="none" w:sz="0" w:space="0" w:color="auto"/>
        <w:bottom w:val="none" w:sz="0" w:space="0" w:color="auto"/>
        <w:right w:val="none" w:sz="0" w:space="0" w:color="auto"/>
      </w:divBdr>
    </w:div>
    <w:div w:id="861673611">
      <w:bodyDiv w:val="1"/>
      <w:marLeft w:val="0"/>
      <w:marRight w:val="0"/>
      <w:marTop w:val="0"/>
      <w:marBottom w:val="0"/>
      <w:divBdr>
        <w:top w:val="none" w:sz="0" w:space="0" w:color="auto"/>
        <w:left w:val="none" w:sz="0" w:space="0" w:color="auto"/>
        <w:bottom w:val="none" w:sz="0" w:space="0" w:color="auto"/>
        <w:right w:val="none" w:sz="0" w:space="0" w:color="auto"/>
      </w:divBdr>
    </w:div>
    <w:div w:id="871183969">
      <w:bodyDiv w:val="1"/>
      <w:marLeft w:val="0"/>
      <w:marRight w:val="0"/>
      <w:marTop w:val="0"/>
      <w:marBottom w:val="0"/>
      <w:divBdr>
        <w:top w:val="none" w:sz="0" w:space="0" w:color="auto"/>
        <w:left w:val="none" w:sz="0" w:space="0" w:color="auto"/>
        <w:bottom w:val="none" w:sz="0" w:space="0" w:color="auto"/>
        <w:right w:val="none" w:sz="0" w:space="0" w:color="auto"/>
      </w:divBdr>
    </w:div>
    <w:div w:id="879052911">
      <w:bodyDiv w:val="1"/>
      <w:marLeft w:val="0"/>
      <w:marRight w:val="0"/>
      <w:marTop w:val="0"/>
      <w:marBottom w:val="0"/>
      <w:divBdr>
        <w:top w:val="none" w:sz="0" w:space="0" w:color="auto"/>
        <w:left w:val="none" w:sz="0" w:space="0" w:color="auto"/>
        <w:bottom w:val="none" w:sz="0" w:space="0" w:color="auto"/>
        <w:right w:val="none" w:sz="0" w:space="0" w:color="auto"/>
      </w:divBdr>
    </w:div>
    <w:div w:id="890725580">
      <w:bodyDiv w:val="1"/>
      <w:marLeft w:val="0"/>
      <w:marRight w:val="0"/>
      <w:marTop w:val="0"/>
      <w:marBottom w:val="0"/>
      <w:divBdr>
        <w:top w:val="none" w:sz="0" w:space="0" w:color="auto"/>
        <w:left w:val="none" w:sz="0" w:space="0" w:color="auto"/>
        <w:bottom w:val="none" w:sz="0" w:space="0" w:color="auto"/>
        <w:right w:val="none" w:sz="0" w:space="0" w:color="auto"/>
      </w:divBdr>
    </w:div>
    <w:div w:id="892472599">
      <w:bodyDiv w:val="1"/>
      <w:marLeft w:val="0"/>
      <w:marRight w:val="0"/>
      <w:marTop w:val="0"/>
      <w:marBottom w:val="0"/>
      <w:divBdr>
        <w:top w:val="none" w:sz="0" w:space="0" w:color="auto"/>
        <w:left w:val="none" w:sz="0" w:space="0" w:color="auto"/>
        <w:bottom w:val="none" w:sz="0" w:space="0" w:color="auto"/>
        <w:right w:val="none" w:sz="0" w:space="0" w:color="auto"/>
      </w:divBdr>
    </w:div>
    <w:div w:id="897595276">
      <w:bodyDiv w:val="1"/>
      <w:marLeft w:val="0"/>
      <w:marRight w:val="0"/>
      <w:marTop w:val="0"/>
      <w:marBottom w:val="0"/>
      <w:divBdr>
        <w:top w:val="none" w:sz="0" w:space="0" w:color="auto"/>
        <w:left w:val="none" w:sz="0" w:space="0" w:color="auto"/>
        <w:bottom w:val="none" w:sz="0" w:space="0" w:color="auto"/>
        <w:right w:val="none" w:sz="0" w:space="0" w:color="auto"/>
      </w:divBdr>
    </w:div>
    <w:div w:id="909077451">
      <w:bodyDiv w:val="1"/>
      <w:marLeft w:val="0"/>
      <w:marRight w:val="0"/>
      <w:marTop w:val="0"/>
      <w:marBottom w:val="0"/>
      <w:divBdr>
        <w:top w:val="none" w:sz="0" w:space="0" w:color="auto"/>
        <w:left w:val="none" w:sz="0" w:space="0" w:color="auto"/>
        <w:bottom w:val="none" w:sz="0" w:space="0" w:color="auto"/>
        <w:right w:val="none" w:sz="0" w:space="0" w:color="auto"/>
      </w:divBdr>
    </w:div>
    <w:div w:id="931279121">
      <w:bodyDiv w:val="1"/>
      <w:marLeft w:val="0"/>
      <w:marRight w:val="0"/>
      <w:marTop w:val="0"/>
      <w:marBottom w:val="0"/>
      <w:divBdr>
        <w:top w:val="none" w:sz="0" w:space="0" w:color="auto"/>
        <w:left w:val="none" w:sz="0" w:space="0" w:color="auto"/>
        <w:bottom w:val="none" w:sz="0" w:space="0" w:color="auto"/>
        <w:right w:val="none" w:sz="0" w:space="0" w:color="auto"/>
      </w:divBdr>
    </w:div>
    <w:div w:id="935867160">
      <w:bodyDiv w:val="1"/>
      <w:marLeft w:val="0"/>
      <w:marRight w:val="0"/>
      <w:marTop w:val="0"/>
      <w:marBottom w:val="0"/>
      <w:divBdr>
        <w:top w:val="none" w:sz="0" w:space="0" w:color="auto"/>
        <w:left w:val="none" w:sz="0" w:space="0" w:color="auto"/>
        <w:bottom w:val="none" w:sz="0" w:space="0" w:color="auto"/>
        <w:right w:val="none" w:sz="0" w:space="0" w:color="auto"/>
      </w:divBdr>
    </w:div>
    <w:div w:id="943343127">
      <w:bodyDiv w:val="1"/>
      <w:marLeft w:val="0"/>
      <w:marRight w:val="0"/>
      <w:marTop w:val="0"/>
      <w:marBottom w:val="0"/>
      <w:divBdr>
        <w:top w:val="none" w:sz="0" w:space="0" w:color="auto"/>
        <w:left w:val="none" w:sz="0" w:space="0" w:color="auto"/>
        <w:bottom w:val="none" w:sz="0" w:space="0" w:color="auto"/>
        <w:right w:val="none" w:sz="0" w:space="0" w:color="auto"/>
      </w:divBdr>
    </w:div>
    <w:div w:id="978652029">
      <w:bodyDiv w:val="1"/>
      <w:marLeft w:val="0"/>
      <w:marRight w:val="0"/>
      <w:marTop w:val="0"/>
      <w:marBottom w:val="0"/>
      <w:divBdr>
        <w:top w:val="none" w:sz="0" w:space="0" w:color="auto"/>
        <w:left w:val="none" w:sz="0" w:space="0" w:color="auto"/>
        <w:bottom w:val="none" w:sz="0" w:space="0" w:color="auto"/>
        <w:right w:val="none" w:sz="0" w:space="0" w:color="auto"/>
      </w:divBdr>
    </w:div>
    <w:div w:id="992609946">
      <w:bodyDiv w:val="1"/>
      <w:marLeft w:val="0"/>
      <w:marRight w:val="0"/>
      <w:marTop w:val="0"/>
      <w:marBottom w:val="0"/>
      <w:divBdr>
        <w:top w:val="none" w:sz="0" w:space="0" w:color="auto"/>
        <w:left w:val="none" w:sz="0" w:space="0" w:color="auto"/>
        <w:bottom w:val="none" w:sz="0" w:space="0" w:color="auto"/>
        <w:right w:val="none" w:sz="0" w:space="0" w:color="auto"/>
      </w:divBdr>
    </w:div>
    <w:div w:id="1005550450">
      <w:bodyDiv w:val="1"/>
      <w:marLeft w:val="0"/>
      <w:marRight w:val="0"/>
      <w:marTop w:val="0"/>
      <w:marBottom w:val="0"/>
      <w:divBdr>
        <w:top w:val="none" w:sz="0" w:space="0" w:color="auto"/>
        <w:left w:val="none" w:sz="0" w:space="0" w:color="auto"/>
        <w:bottom w:val="none" w:sz="0" w:space="0" w:color="auto"/>
        <w:right w:val="none" w:sz="0" w:space="0" w:color="auto"/>
      </w:divBdr>
    </w:div>
    <w:div w:id="1013919424">
      <w:bodyDiv w:val="1"/>
      <w:marLeft w:val="0"/>
      <w:marRight w:val="0"/>
      <w:marTop w:val="0"/>
      <w:marBottom w:val="0"/>
      <w:divBdr>
        <w:top w:val="none" w:sz="0" w:space="0" w:color="auto"/>
        <w:left w:val="none" w:sz="0" w:space="0" w:color="auto"/>
        <w:bottom w:val="none" w:sz="0" w:space="0" w:color="auto"/>
        <w:right w:val="none" w:sz="0" w:space="0" w:color="auto"/>
      </w:divBdr>
    </w:div>
    <w:div w:id="1045981803">
      <w:bodyDiv w:val="1"/>
      <w:marLeft w:val="0"/>
      <w:marRight w:val="0"/>
      <w:marTop w:val="0"/>
      <w:marBottom w:val="0"/>
      <w:divBdr>
        <w:top w:val="none" w:sz="0" w:space="0" w:color="auto"/>
        <w:left w:val="none" w:sz="0" w:space="0" w:color="auto"/>
        <w:bottom w:val="none" w:sz="0" w:space="0" w:color="auto"/>
        <w:right w:val="none" w:sz="0" w:space="0" w:color="auto"/>
      </w:divBdr>
    </w:div>
    <w:div w:id="1053429348">
      <w:bodyDiv w:val="1"/>
      <w:marLeft w:val="0"/>
      <w:marRight w:val="0"/>
      <w:marTop w:val="0"/>
      <w:marBottom w:val="0"/>
      <w:divBdr>
        <w:top w:val="none" w:sz="0" w:space="0" w:color="auto"/>
        <w:left w:val="none" w:sz="0" w:space="0" w:color="auto"/>
        <w:bottom w:val="none" w:sz="0" w:space="0" w:color="auto"/>
        <w:right w:val="none" w:sz="0" w:space="0" w:color="auto"/>
      </w:divBdr>
    </w:div>
    <w:div w:id="1088383869">
      <w:bodyDiv w:val="1"/>
      <w:marLeft w:val="0"/>
      <w:marRight w:val="0"/>
      <w:marTop w:val="0"/>
      <w:marBottom w:val="0"/>
      <w:divBdr>
        <w:top w:val="none" w:sz="0" w:space="0" w:color="auto"/>
        <w:left w:val="none" w:sz="0" w:space="0" w:color="auto"/>
        <w:bottom w:val="none" w:sz="0" w:space="0" w:color="auto"/>
        <w:right w:val="none" w:sz="0" w:space="0" w:color="auto"/>
      </w:divBdr>
    </w:div>
    <w:div w:id="1093084632">
      <w:bodyDiv w:val="1"/>
      <w:marLeft w:val="0"/>
      <w:marRight w:val="0"/>
      <w:marTop w:val="0"/>
      <w:marBottom w:val="0"/>
      <w:divBdr>
        <w:top w:val="none" w:sz="0" w:space="0" w:color="auto"/>
        <w:left w:val="none" w:sz="0" w:space="0" w:color="auto"/>
        <w:bottom w:val="none" w:sz="0" w:space="0" w:color="auto"/>
        <w:right w:val="none" w:sz="0" w:space="0" w:color="auto"/>
      </w:divBdr>
    </w:div>
    <w:div w:id="1095589840">
      <w:bodyDiv w:val="1"/>
      <w:marLeft w:val="0"/>
      <w:marRight w:val="0"/>
      <w:marTop w:val="0"/>
      <w:marBottom w:val="0"/>
      <w:divBdr>
        <w:top w:val="none" w:sz="0" w:space="0" w:color="auto"/>
        <w:left w:val="none" w:sz="0" w:space="0" w:color="auto"/>
        <w:bottom w:val="none" w:sz="0" w:space="0" w:color="auto"/>
        <w:right w:val="none" w:sz="0" w:space="0" w:color="auto"/>
      </w:divBdr>
    </w:div>
    <w:div w:id="1114835276">
      <w:bodyDiv w:val="1"/>
      <w:marLeft w:val="0"/>
      <w:marRight w:val="0"/>
      <w:marTop w:val="0"/>
      <w:marBottom w:val="0"/>
      <w:divBdr>
        <w:top w:val="none" w:sz="0" w:space="0" w:color="auto"/>
        <w:left w:val="none" w:sz="0" w:space="0" w:color="auto"/>
        <w:bottom w:val="none" w:sz="0" w:space="0" w:color="auto"/>
        <w:right w:val="none" w:sz="0" w:space="0" w:color="auto"/>
      </w:divBdr>
    </w:div>
    <w:div w:id="1125344879">
      <w:bodyDiv w:val="1"/>
      <w:marLeft w:val="0"/>
      <w:marRight w:val="0"/>
      <w:marTop w:val="0"/>
      <w:marBottom w:val="0"/>
      <w:divBdr>
        <w:top w:val="none" w:sz="0" w:space="0" w:color="auto"/>
        <w:left w:val="none" w:sz="0" w:space="0" w:color="auto"/>
        <w:bottom w:val="none" w:sz="0" w:space="0" w:color="auto"/>
        <w:right w:val="none" w:sz="0" w:space="0" w:color="auto"/>
      </w:divBdr>
    </w:div>
    <w:div w:id="1161233683">
      <w:bodyDiv w:val="1"/>
      <w:marLeft w:val="0"/>
      <w:marRight w:val="0"/>
      <w:marTop w:val="0"/>
      <w:marBottom w:val="0"/>
      <w:divBdr>
        <w:top w:val="none" w:sz="0" w:space="0" w:color="auto"/>
        <w:left w:val="none" w:sz="0" w:space="0" w:color="auto"/>
        <w:bottom w:val="none" w:sz="0" w:space="0" w:color="auto"/>
        <w:right w:val="none" w:sz="0" w:space="0" w:color="auto"/>
      </w:divBdr>
    </w:div>
    <w:div w:id="1185244895">
      <w:bodyDiv w:val="1"/>
      <w:marLeft w:val="0"/>
      <w:marRight w:val="0"/>
      <w:marTop w:val="0"/>
      <w:marBottom w:val="0"/>
      <w:divBdr>
        <w:top w:val="none" w:sz="0" w:space="0" w:color="auto"/>
        <w:left w:val="none" w:sz="0" w:space="0" w:color="auto"/>
        <w:bottom w:val="none" w:sz="0" w:space="0" w:color="auto"/>
        <w:right w:val="none" w:sz="0" w:space="0" w:color="auto"/>
      </w:divBdr>
    </w:div>
    <w:div w:id="1190680848">
      <w:bodyDiv w:val="1"/>
      <w:marLeft w:val="0"/>
      <w:marRight w:val="0"/>
      <w:marTop w:val="0"/>
      <w:marBottom w:val="0"/>
      <w:divBdr>
        <w:top w:val="none" w:sz="0" w:space="0" w:color="auto"/>
        <w:left w:val="none" w:sz="0" w:space="0" w:color="auto"/>
        <w:bottom w:val="none" w:sz="0" w:space="0" w:color="auto"/>
        <w:right w:val="none" w:sz="0" w:space="0" w:color="auto"/>
      </w:divBdr>
    </w:div>
    <w:div w:id="1191991672">
      <w:bodyDiv w:val="1"/>
      <w:marLeft w:val="0"/>
      <w:marRight w:val="0"/>
      <w:marTop w:val="0"/>
      <w:marBottom w:val="0"/>
      <w:divBdr>
        <w:top w:val="none" w:sz="0" w:space="0" w:color="auto"/>
        <w:left w:val="none" w:sz="0" w:space="0" w:color="auto"/>
        <w:bottom w:val="none" w:sz="0" w:space="0" w:color="auto"/>
        <w:right w:val="none" w:sz="0" w:space="0" w:color="auto"/>
      </w:divBdr>
    </w:div>
    <w:div w:id="1197278211">
      <w:bodyDiv w:val="1"/>
      <w:marLeft w:val="0"/>
      <w:marRight w:val="0"/>
      <w:marTop w:val="0"/>
      <w:marBottom w:val="0"/>
      <w:divBdr>
        <w:top w:val="none" w:sz="0" w:space="0" w:color="auto"/>
        <w:left w:val="none" w:sz="0" w:space="0" w:color="auto"/>
        <w:bottom w:val="none" w:sz="0" w:space="0" w:color="auto"/>
        <w:right w:val="none" w:sz="0" w:space="0" w:color="auto"/>
      </w:divBdr>
    </w:div>
    <w:div w:id="1199245084">
      <w:bodyDiv w:val="1"/>
      <w:marLeft w:val="0"/>
      <w:marRight w:val="0"/>
      <w:marTop w:val="0"/>
      <w:marBottom w:val="0"/>
      <w:divBdr>
        <w:top w:val="none" w:sz="0" w:space="0" w:color="auto"/>
        <w:left w:val="none" w:sz="0" w:space="0" w:color="auto"/>
        <w:bottom w:val="none" w:sz="0" w:space="0" w:color="auto"/>
        <w:right w:val="none" w:sz="0" w:space="0" w:color="auto"/>
      </w:divBdr>
    </w:div>
    <w:div w:id="1199665063">
      <w:bodyDiv w:val="1"/>
      <w:marLeft w:val="0"/>
      <w:marRight w:val="0"/>
      <w:marTop w:val="0"/>
      <w:marBottom w:val="0"/>
      <w:divBdr>
        <w:top w:val="none" w:sz="0" w:space="0" w:color="auto"/>
        <w:left w:val="none" w:sz="0" w:space="0" w:color="auto"/>
        <w:bottom w:val="none" w:sz="0" w:space="0" w:color="auto"/>
        <w:right w:val="none" w:sz="0" w:space="0" w:color="auto"/>
      </w:divBdr>
    </w:div>
    <w:div w:id="1211377434">
      <w:bodyDiv w:val="1"/>
      <w:marLeft w:val="0"/>
      <w:marRight w:val="0"/>
      <w:marTop w:val="0"/>
      <w:marBottom w:val="0"/>
      <w:divBdr>
        <w:top w:val="none" w:sz="0" w:space="0" w:color="auto"/>
        <w:left w:val="none" w:sz="0" w:space="0" w:color="auto"/>
        <w:bottom w:val="none" w:sz="0" w:space="0" w:color="auto"/>
        <w:right w:val="none" w:sz="0" w:space="0" w:color="auto"/>
      </w:divBdr>
    </w:div>
    <w:div w:id="1215628859">
      <w:bodyDiv w:val="1"/>
      <w:marLeft w:val="0"/>
      <w:marRight w:val="0"/>
      <w:marTop w:val="0"/>
      <w:marBottom w:val="0"/>
      <w:divBdr>
        <w:top w:val="none" w:sz="0" w:space="0" w:color="auto"/>
        <w:left w:val="none" w:sz="0" w:space="0" w:color="auto"/>
        <w:bottom w:val="none" w:sz="0" w:space="0" w:color="auto"/>
        <w:right w:val="none" w:sz="0" w:space="0" w:color="auto"/>
      </w:divBdr>
    </w:div>
    <w:div w:id="1232354607">
      <w:bodyDiv w:val="1"/>
      <w:marLeft w:val="0"/>
      <w:marRight w:val="0"/>
      <w:marTop w:val="0"/>
      <w:marBottom w:val="0"/>
      <w:divBdr>
        <w:top w:val="none" w:sz="0" w:space="0" w:color="auto"/>
        <w:left w:val="none" w:sz="0" w:space="0" w:color="auto"/>
        <w:bottom w:val="none" w:sz="0" w:space="0" w:color="auto"/>
        <w:right w:val="none" w:sz="0" w:space="0" w:color="auto"/>
      </w:divBdr>
    </w:div>
    <w:div w:id="1235431583">
      <w:bodyDiv w:val="1"/>
      <w:marLeft w:val="0"/>
      <w:marRight w:val="0"/>
      <w:marTop w:val="0"/>
      <w:marBottom w:val="0"/>
      <w:divBdr>
        <w:top w:val="none" w:sz="0" w:space="0" w:color="auto"/>
        <w:left w:val="none" w:sz="0" w:space="0" w:color="auto"/>
        <w:bottom w:val="none" w:sz="0" w:space="0" w:color="auto"/>
        <w:right w:val="none" w:sz="0" w:space="0" w:color="auto"/>
      </w:divBdr>
    </w:div>
    <w:div w:id="1237012623">
      <w:bodyDiv w:val="1"/>
      <w:marLeft w:val="0"/>
      <w:marRight w:val="0"/>
      <w:marTop w:val="0"/>
      <w:marBottom w:val="0"/>
      <w:divBdr>
        <w:top w:val="none" w:sz="0" w:space="0" w:color="auto"/>
        <w:left w:val="none" w:sz="0" w:space="0" w:color="auto"/>
        <w:bottom w:val="none" w:sz="0" w:space="0" w:color="auto"/>
        <w:right w:val="none" w:sz="0" w:space="0" w:color="auto"/>
      </w:divBdr>
    </w:div>
    <w:div w:id="1247424027">
      <w:bodyDiv w:val="1"/>
      <w:marLeft w:val="0"/>
      <w:marRight w:val="0"/>
      <w:marTop w:val="0"/>
      <w:marBottom w:val="0"/>
      <w:divBdr>
        <w:top w:val="none" w:sz="0" w:space="0" w:color="auto"/>
        <w:left w:val="none" w:sz="0" w:space="0" w:color="auto"/>
        <w:bottom w:val="none" w:sz="0" w:space="0" w:color="auto"/>
        <w:right w:val="none" w:sz="0" w:space="0" w:color="auto"/>
      </w:divBdr>
    </w:div>
    <w:div w:id="1249730180">
      <w:bodyDiv w:val="1"/>
      <w:marLeft w:val="0"/>
      <w:marRight w:val="0"/>
      <w:marTop w:val="0"/>
      <w:marBottom w:val="0"/>
      <w:divBdr>
        <w:top w:val="none" w:sz="0" w:space="0" w:color="auto"/>
        <w:left w:val="none" w:sz="0" w:space="0" w:color="auto"/>
        <w:bottom w:val="none" w:sz="0" w:space="0" w:color="auto"/>
        <w:right w:val="none" w:sz="0" w:space="0" w:color="auto"/>
      </w:divBdr>
    </w:div>
    <w:div w:id="1255749163">
      <w:bodyDiv w:val="1"/>
      <w:marLeft w:val="0"/>
      <w:marRight w:val="0"/>
      <w:marTop w:val="0"/>
      <w:marBottom w:val="0"/>
      <w:divBdr>
        <w:top w:val="none" w:sz="0" w:space="0" w:color="auto"/>
        <w:left w:val="none" w:sz="0" w:space="0" w:color="auto"/>
        <w:bottom w:val="none" w:sz="0" w:space="0" w:color="auto"/>
        <w:right w:val="none" w:sz="0" w:space="0" w:color="auto"/>
      </w:divBdr>
    </w:div>
    <w:div w:id="1263144282">
      <w:bodyDiv w:val="1"/>
      <w:marLeft w:val="0"/>
      <w:marRight w:val="0"/>
      <w:marTop w:val="0"/>
      <w:marBottom w:val="0"/>
      <w:divBdr>
        <w:top w:val="none" w:sz="0" w:space="0" w:color="auto"/>
        <w:left w:val="none" w:sz="0" w:space="0" w:color="auto"/>
        <w:bottom w:val="none" w:sz="0" w:space="0" w:color="auto"/>
        <w:right w:val="none" w:sz="0" w:space="0" w:color="auto"/>
      </w:divBdr>
    </w:div>
    <w:div w:id="1263755798">
      <w:bodyDiv w:val="1"/>
      <w:marLeft w:val="0"/>
      <w:marRight w:val="0"/>
      <w:marTop w:val="0"/>
      <w:marBottom w:val="0"/>
      <w:divBdr>
        <w:top w:val="none" w:sz="0" w:space="0" w:color="auto"/>
        <w:left w:val="none" w:sz="0" w:space="0" w:color="auto"/>
        <w:bottom w:val="none" w:sz="0" w:space="0" w:color="auto"/>
        <w:right w:val="none" w:sz="0" w:space="0" w:color="auto"/>
      </w:divBdr>
    </w:div>
    <w:div w:id="1265991671">
      <w:bodyDiv w:val="1"/>
      <w:marLeft w:val="0"/>
      <w:marRight w:val="0"/>
      <w:marTop w:val="0"/>
      <w:marBottom w:val="0"/>
      <w:divBdr>
        <w:top w:val="none" w:sz="0" w:space="0" w:color="auto"/>
        <w:left w:val="none" w:sz="0" w:space="0" w:color="auto"/>
        <w:bottom w:val="none" w:sz="0" w:space="0" w:color="auto"/>
        <w:right w:val="none" w:sz="0" w:space="0" w:color="auto"/>
      </w:divBdr>
    </w:div>
    <w:div w:id="1270622784">
      <w:bodyDiv w:val="1"/>
      <w:marLeft w:val="0"/>
      <w:marRight w:val="0"/>
      <w:marTop w:val="0"/>
      <w:marBottom w:val="0"/>
      <w:divBdr>
        <w:top w:val="none" w:sz="0" w:space="0" w:color="auto"/>
        <w:left w:val="none" w:sz="0" w:space="0" w:color="auto"/>
        <w:bottom w:val="none" w:sz="0" w:space="0" w:color="auto"/>
        <w:right w:val="none" w:sz="0" w:space="0" w:color="auto"/>
      </w:divBdr>
    </w:div>
    <w:div w:id="1304237853">
      <w:bodyDiv w:val="1"/>
      <w:marLeft w:val="0"/>
      <w:marRight w:val="0"/>
      <w:marTop w:val="0"/>
      <w:marBottom w:val="0"/>
      <w:divBdr>
        <w:top w:val="none" w:sz="0" w:space="0" w:color="auto"/>
        <w:left w:val="none" w:sz="0" w:space="0" w:color="auto"/>
        <w:bottom w:val="none" w:sz="0" w:space="0" w:color="auto"/>
        <w:right w:val="none" w:sz="0" w:space="0" w:color="auto"/>
      </w:divBdr>
    </w:div>
    <w:div w:id="1322542139">
      <w:bodyDiv w:val="1"/>
      <w:marLeft w:val="0"/>
      <w:marRight w:val="0"/>
      <w:marTop w:val="0"/>
      <w:marBottom w:val="0"/>
      <w:divBdr>
        <w:top w:val="none" w:sz="0" w:space="0" w:color="auto"/>
        <w:left w:val="none" w:sz="0" w:space="0" w:color="auto"/>
        <w:bottom w:val="none" w:sz="0" w:space="0" w:color="auto"/>
        <w:right w:val="none" w:sz="0" w:space="0" w:color="auto"/>
      </w:divBdr>
    </w:div>
    <w:div w:id="1331444523">
      <w:bodyDiv w:val="1"/>
      <w:marLeft w:val="0"/>
      <w:marRight w:val="0"/>
      <w:marTop w:val="0"/>
      <w:marBottom w:val="0"/>
      <w:divBdr>
        <w:top w:val="none" w:sz="0" w:space="0" w:color="auto"/>
        <w:left w:val="none" w:sz="0" w:space="0" w:color="auto"/>
        <w:bottom w:val="none" w:sz="0" w:space="0" w:color="auto"/>
        <w:right w:val="none" w:sz="0" w:space="0" w:color="auto"/>
      </w:divBdr>
    </w:div>
    <w:div w:id="1335377771">
      <w:bodyDiv w:val="1"/>
      <w:marLeft w:val="0"/>
      <w:marRight w:val="0"/>
      <w:marTop w:val="0"/>
      <w:marBottom w:val="0"/>
      <w:divBdr>
        <w:top w:val="none" w:sz="0" w:space="0" w:color="auto"/>
        <w:left w:val="none" w:sz="0" w:space="0" w:color="auto"/>
        <w:bottom w:val="none" w:sz="0" w:space="0" w:color="auto"/>
        <w:right w:val="none" w:sz="0" w:space="0" w:color="auto"/>
      </w:divBdr>
    </w:div>
    <w:div w:id="1336879726">
      <w:bodyDiv w:val="1"/>
      <w:marLeft w:val="0"/>
      <w:marRight w:val="0"/>
      <w:marTop w:val="0"/>
      <w:marBottom w:val="0"/>
      <w:divBdr>
        <w:top w:val="none" w:sz="0" w:space="0" w:color="auto"/>
        <w:left w:val="none" w:sz="0" w:space="0" w:color="auto"/>
        <w:bottom w:val="none" w:sz="0" w:space="0" w:color="auto"/>
        <w:right w:val="none" w:sz="0" w:space="0" w:color="auto"/>
      </w:divBdr>
    </w:div>
    <w:div w:id="1337002607">
      <w:bodyDiv w:val="1"/>
      <w:marLeft w:val="0"/>
      <w:marRight w:val="0"/>
      <w:marTop w:val="0"/>
      <w:marBottom w:val="0"/>
      <w:divBdr>
        <w:top w:val="none" w:sz="0" w:space="0" w:color="auto"/>
        <w:left w:val="none" w:sz="0" w:space="0" w:color="auto"/>
        <w:bottom w:val="none" w:sz="0" w:space="0" w:color="auto"/>
        <w:right w:val="none" w:sz="0" w:space="0" w:color="auto"/>
      </w:divBdr>
    </w:div>
    <w:div w:id="1338078564">
      <w:bodyDiv w:val="1"/>
      <w:marLeft w:val="0"/>
      <w:marRight w:val="0"/>
      <w:marTop w:val="0"/>
      <w:marBottom w:val="0"/>
      <w:divBdr>
        <w:top w:val="none" w:sz="0" w:space="0" w:color="auto"/>
        <w:left w:val="none" w:sz="0" w:space="0" w:color="auto"/>
        <w:bottom w:val="none" w:sz="0" w:space="0" w:color="auto"/>
        <w:right w:val="none" w:sz="0" w:space="0" w:color="auto"/>
      </w:divBdr>
    </w:div>
    <w:div w:id="1340236536">
      <w:bodyDiv w:val="1"/>
      <w:marLeft w:val="0"/>
      <w:marRight w:val="0"/>
      <w:marTop w:val="0"/>
      <w:marBottom w:val="0"/>
      <w:divBdr>
        <w:top w:val="none" w:sz="0" w:space="0" w:color="auto"/>
        <w:left w:val="none" w:sz="0" w:space="0" w:color="auto"/>
        <w:bottom w:val="none" w:sz="0" w:space="0" w:color="auto"/>
        <w:right w:val="none" w:sz="0" w:space="0" w:color="auto"/>
      </w:divBdr>
    </w:div>
    <w:div w:id="1372421492">
      <w:bodyDiv w:val="1"/>
      <w:marLeft w:val="0"/>
      <w:marRight w:val="0"/>
      <w:marTop w:val="0"/>
      <w:marBottom w:val="0"/>
      <w:divBdr>
        <w:top w:val="none" w:sz="0" w:space="0" w:color="auto"/>
        <w:left w:val="none" w:sz="0" w:space="0" w:color="auto"/>
        <w:bottom w:val="none" w:sz="0" w:space="0" w:color="auto"/>
        <w:right w:val="none" w:sz="0" w:space="0" w:color="auto"/>
      </w:divBdr>
    </w:div>
    <w:div w:id="1373503651">
      <w:bodyDiv w:val="1"/>
      <w:marLeft w:val="0"/>
      <w:marRight w:val="0"/>
      <w:marTop w:val="0"/>
      <w:marBottom w:val="0"/>
      <w:divBdr>
        <w:top w:val="none" w:sz="0" w:space="0" w:color="auto"/>
        <w:left w:val="none" w:sz="0" w:space="0" w:color="auto"/>
        <w:bottom w:val="none" w:sz="0" w:space="0" w:color="auto"/>
        <w:right w:val="none" w:sz="0" w:space="0" w:color="auto"/>
      </w:divBdr>
    </w:div>
    <w:div w:id="1382365995">
      <w:bodyDiv w:val="1"/>
      <w:marLeft w:val="0"/>
      <w:marRight w:val="0"/>
      <w:marTop w:val="0"/>
      <w:marBottom w:val="0"/>
      <w:divBdr>
        <w:top w:val="none" w:sz="0" w:space="0" w:color="auto"/>
        <w:left w:val="none" w:sz="0" w:space="0" w:color="auto"/>
        <w:bottom w:val="none" w:sz="0" w:space="0" w:color="auto"/>
        <w:right w:val="none" w:sz="0" w:space="0" w:color="auto"/>
      </w:divBdr>
    </w:div>
    <w:div w:id="1387601691">
      <w:bodyDiv w:val="1"/>
      <w:marLeft w:val="0"/>
      <w:marRight w:val="0"/>
      <w:marTop w:val="0"/>
      <w:marBottom w:val="0"/>
      <w:divBdr>
        <w:top w:val="none" w:sz="0" w:space="0" w:color="auto"/>
        <w:left w:val="none" w:sz="0" w:space="0" w:color="auto"/>
        <w:bottom w:val="none" w:sz="0" w:space="0" w:color="auto"/>
        <w:right w:val="none" w:sz="0" w:space="0" w:color="auto"/>
      </w:divBdr>
    </w:div>
    <w:div w:id="1394357032">
      <w:bodyDiv w:val="1"/>
      <w:marLeft w:val="0"/>
      <w:marRight w:val="0"/>
      <w:marTop w:val="0"/>
      <w:marBottom w:val="0"/>
      <w:divBdr>
        <w:top w:val="none" w:sz="0" w:space="0" w:color="auto"/>
        <w:left w:val="none" w:sz="0" w:space="0" w:color="auto"/>
        <w:bottom w:val="none" w:sz="0" w:space="0" w:color="auto"/>
        <w:right w:val="none" w:sz="0" w:space="0" w:color="auto"/>
      </w:divBdr>
    </w:div>
    <w:div w:id="1396850564">
      <w:bodyDiv w:val="1"/>
      <w:marLeft w:val="0"/>
      <w:marRight w:val="0"/>
      <w:marTop w:val="0"/>
      <w:marBottom w:val="0"/>
      <w:divBdr>
        <w:top w:val="none" w:sz="0" w:space="0" w:color="auto"/>
        <w:left w:val="none" w:sz="0" w:space="0" w:color="auto"/>
        <w:bottom w:val="none" w:sz="0" w:space="0" w:color="auto"/>
        <w:right w:val="none" w:sz="0" w:space="0" w:color="auto"/>
      </w:divBdr>
    </w:div>
    <w:div w:id="1435589416">
      <w:bodyDiv w:val="1"/>
      <w:marLeft w:val="0"/>
      <w:marRight w:val="0"/>
      <w:marTop w:val="0"/>
      <w:marBottom w:val="0"/>
      <w:divBdr>
        <w:top w:val="none" w:sz="0" w:space="0" w:color="auto"/>
        <w:left w:val="none" w:sz="0" w:space="0" w:color="auto"/>
        <w:bottom w:val="none" w:sz="0" w:space="0" w:color="auto"/>
        <w:right w:val="none" w:sz="0" w:space="0" w:color="auto"/>
      </w:divBdr>
    </w:div>
    <w:div w:id="1438719373">
      <w:bodyDiv w:val="1"/>
      <w:marLeft w:val="0"/>
      <w:marRight w:val="0"/>
      <w:marTop w:val="0"/>
      <w:marBottom w:val="0"/>
      <w:divBdr>
        <w:top w:val="none" w:sz="0" w:space="0" w:color="auto"/>
        <w:left w:val="none" w:sz="0" w:space="0" w:color="auto"/>
        <w:bottom w:val="none" w:sz="0" w:space="0" w:color="auto"/>
        <w:right w:val="none" w:sz="0" w:space="0" w:color="auto"/>
      </w:divBdr>
    </w:div>
    <w:div w:id="1454713415">
      <w:bodyDiv w:val="1"/>
      <w:marLeft w:val="0"/>
      <w:marRight w:val="0"/>
      <w:marTop w:val="0"/>
      <w:marBottom w:val="0"/>
      <w:divBdr>
        <w:top w:val="none" w:sz="0" w:space="0" w:color="auto"/>
        <w:left w:val="none" w:sz="0" w:space="0" w:color="auto"/>
        <w:bottom w:val="none" w:sz="0" w:space="0" w:color="auto"/>
        <w:right w:val="none" w:sz="0" w:space="0" w:color="auto"/>
      </w:divBdr>
    </w:div>
    <w:div w:id="1467967496">
      <w:bodyDiv w:val="1"/>
      <w:marLeft w:val="0"/>
      <w:marRight w:val="0"/>
      <w:marTop w:val="0"/>
      <w:marBottom w:val="0"/>
      <w:divBdr>
        <w:top w:val="none" w:sz="0" w:space="0" w:color="auto"/>
        <w:left w:val="none" w:sz="0" w:space="0" w:color="auto"/>
        <w:bottom w:val="none" w:sz="0" w:space="0" w:color="auto"/>
        <w:right w:val="none" w:sz="0" w:space="0" w:color="auto"/>
      </w:divBdr>
    </w:div>
    <w:div w:id="1470125310">
      <w:bodyDiv w:val="1"/>
      <w:marLeft w:val="0"/>
      <w:marRight w:val="0"/>
      <w:marTop w:val="0"/>
      <w:marBottom w:val="0"/>
      <w:divBdr>
        <w:top w:val="none" w:sz="0" w:space="0" w:color="auto"/>
        <w:left w:val="none" w:sz="0" w:space="0" w:color="auto"/>
        <w:bottom w:val="none" w:sz="0" w:space="0" w:color="auto"/>
        <w:right w:val="none" w:sz="0" w:space="0" w:color="auto"/>
      </w:divBdr>
    </w:div>
    <w:div w:id="1472016601">
      <w:bodyDiv w:val="1"/>
      <w:marLeft w:val="0"/>
      <w:marRight w:val="0"/>
      <w:marTop w:val="0"/>
      <w:marBottom w:val="0"/>
      <w:divBdr>
        <w:top w:val="none" w:sz="0" w:space="0" w:color="auto"/>
        <w:left w:val="none" w:sz="0" w:space="0" w:color="auto"/>
        <w:bottom w:val="none" w:sz="0" w:space="0" w:color="auto"/>
        <w:right w:val="none" w:sz="0" w:space="0" w:color="auto"/>
      </w:divBdr>
    </w:div>
    <w:div w:id="1472987811">
      <w:bodyDiv w:val="1"/>
      <w:marLeft w:val="0"/>
      <w:marRight w:val="0"/>
      <w:marTop w:val="0"/>
      <w:marBottom w:val="0"/>
      <w:divBdr>
        <w:top w:val="none" w:sz="0" w:space="0" w:color="auto"/>
        <w:left w:val="none" w:sz="0" w:space="0" w:color="auto"/>
        <w:bottom w:val="none" w:sz="0" w:space="0" w:color="auto"/>
        <w:right w:val="none" w:sz="0" w:space="0" w:color="auto"/>
      </w:divBdr>
    </w:div>
    <w:div w:id="1473713438">
      <w:bodyDiv w:val="1"/>
      <w:marLeft w:val="0"/>
      <w:marRight w:val="0"/>
      <w:marTop w:val="0"/>
      <w:marBottom w:val="0"/>
      <w:divBdr>
        <w:top w:val="none" w:sz="0" w:space="0" w:color="auto"/>
        <w:left w:val="none" w:sz="0" w:space="0" w:color="auto"/>
        <w:bottom w:val="none" w:sz="0" w:space="0" w:color="auto"/>
        <w:right w:val="none" w:sz="0" w:space="0" w:color="auto"/>
      </w:divBdr>
    </w:div>
    <w:div w:id="1477869486">
      <w:bodyDiv w:val="1"/>
      <w:marLeft w:val="0"/>
      <w:marRight w:val="0"/>
      <w:marTop w:val="0"/>
      <w:marBottom w:val="0"/>
      <w:divBdr>
        <w:top w:val="none" w:sz="0" w:space="0" w:color="auto"/>
        <w:left w:val="none" w:sz="0" w:space="0" w:color="auto"/>
        <w:bottom w:val="none" w:sz="0" w:space="0" w:color="auto"/>
        <w:right w:val="none" w:sz="0" w:space="0" w:color="auto"/>
      </w:divBdr>
    </w:div>
    <w:div w:id="1481072805">
      <w:bodyDiv w:val="1"/>
      <w:marLeft w:val="0"/>
      <w:marRight w:val="0"/>
      <w:marTop w:val="0"/>
      <w:marBottom w:val="0"/>
      <w:divBdr>
        <w:top w:val="none" w:sz="0" w:space="0" w:color="auto"/>
        <w:left w:val="none" w:sz="0" w:space="0" w:color="auto"/>
        <w:bottom w:val="none" w:sz="0" w:space="0" w:color="auto"/>
        <w:right w:val="none" w:sz="0" w:space="0" w:color="auto"/>
      </w:divBdr>
    </w:div>
    <w:div w:id="1483695293">
      <w:bodyDiv w:val="1"/>
      <w:marLeft w:val="0"/>
      <w:marRight w:val="0"/>
      <w:marTop w:val="0"/>
      <w:marBottom w:val="0"/>
      <w:divBdr>
        <w:top w:val="none" w:sz="0" w:space="0" w:color="auto"/>
        <w:left w:val="none" w:sz="0" w:space="0" w:color="auto"/>
        <w:bottom w:val="none" w:sz="0" w:space="0" w:color="auto"/>
        <w:right w:val="none" w:sz="0" w:space="0" w:color="auto"/>
      </w:divBdr>
    </w:div>
    <w:div w:id="1497766954">
      <w:bodyDiv w:val="1"/>
      <w:marLeft w:val="0"/>
      <w:marRight w:val="0"/>
      <w:marTop w:val="0"/>
      <w:marBottom w:val="0"/>
      <w:divBdr>
        <w:top w:val="none" w:sz="0" w:space="0" w:color="auto"/>
        <w:left w:val="none" w:sz="0" w:space="0" w:color="auto"/>
        <w:bottom w:val="none" w:sz="0" w:space="0" w:color="auto"/>
        <w:right w:val="none" w:sz="0" w:space="0" w:color="auto"/>
      </w:divBdr>
    </w:div>
    <w:div w:id="1498226969">
      <w:bodyDiv w:val="1"/>
      <w:marLeft w:val="0"/>
      <w:marRight w:val="0"/>
      <w:marTop w:val="0"/>
      <w:marBottom w:val="0"/>
      <w:divBdr>
        <w:top w:val="none" w:sz="0" w:space="0" w:color="auto"/>
        <w:left w:val="none" w:sz="0" w:space="0" w:color="auto"/>
        <w:bottom w:val="none" w:sz="0" w:space="0" w:color="auto"/>
        <w:right w:val="none" w:sz="0" w:space="0" w:color="auto"/>
      </w:divBdr>
    </w:div>
    <w:div w:id="1516071816">
      <w:bodyDiv w:val="1"/>
      <w:marLeft w:val="0"/>
      <w:marRight w:val="0"/>
      <w:marTop w:val="0"/>
      <w:marBottom w:val="0"/>
      <w:divBdr>
        <w:top w:val="none" w:sz="0" w:space="0" w:color="auto"/>
        <w:left w:val="none" w:sz="0" w:space="0" w:color="auto"/>
        <w:bottom w:val="none" w:sz="0" w:space="0" w:color="auto"/>
        <w:right w:val="none" w:sz="0" w:space="0" w:color="auto"/>
      </w:divBdr>
    </w:div>
    <w:div w:id="1523857114">
      <w:bodyDiv w:val="1"/>
      <w:marLeft w:val="0"/>
      <w:marRight w:val="0"/>
      <w:marTop w:val="0"/>
      <w:marBottom w:val="0"/>
      <w:divBdr>
        <w:top w:val="none" w:sz="0" w:space="0" w:color="auto"/>
        <w:left w:val="none" w:sz="0" w:space="0" w:color="auto"/>
        <w:bottom w:val="none" w:sz="0" w:space="0" w:color="auto"/>
        <w:right w:val="none" w:sz="0" w:space="0" w:color="auto"/>
      </w:divBdr>
    </w:div>
    <w:div w:id="1525364289">
      <w:bodyDiv w:val="1"/>
      <w:marLeft w:val="0"/>
      <w:marRight w:val="0"/>
      <w:marTop w:val="0"/>
      <w:marBottom w:val="0"/>
      <w:divBdr>
        <w:top w:val="none" w:sz="0" w:space="0" w:color="auto"/>
        <w:left w:val="none" w:sz="0" w:space="0" w:color="auto"/>
        <w:bottom w:val="none" w:sz="0" w:space="0" w:color="auto"/>
        <w:right w:val="none" w:sz="0" w:space="0" w:color="auto"/>
      </w:divBdr>
    </w:div>
    <w:div w:id="1527868899">
      <w:bodyDiv w:val="1"/>
      <w:marLeft w:val="0"/>
      <w:marRight w:val="0"/>
      <w:marTop w:val="0"/>
      <w:marBottom w:val="0"/>
      <w:divBdr>
        <w:top w:val="none" w:sz="0" w:space="0" w:color="auto"/>
        <w:left w:val="none" w:sz="0" w:space="0" w:color="auto"/>
        <w:bottom w:val="none" w:sz="0" w:space="0" w:color="auto"/>
        <w:right w:val="none" w:sz="0" w:space="0" w:color="auto"/>
      </w:divBdr>
    </w:div>
    <w:div w:id="1548758124">
      <w:bodyDiv w:val="1"/>
      <w:marLeft w:val="0"/>
      <w:marRight w:val="0"/>
      <w:marTop w:val="0"/>
      <w:marBottom w:val="0"/>
      <w:divBdr>
        <w:top w:val="none" w:sz="0" w:space="0" w:color="auto"/>
        <w:left w:val="none" w:sz="0" w:space="0" w:color="auto"/>
        <w:bottom w:val="none" w:sz="0" w:space="0" w:color="auto"/>
        <w:right w:val="none" w:sz="0" w:space="0" w:color="auto"/>
      </w:divBdr>
    </w:div>
    <w:div w:id="1552693977">
      <w:bodyDiv w:val="1"/>
      <w:marLeft w:val="0"/>
      <w:marRight w:val="0"/>
      <w:marTop w:val="0"/>
      <w:marBottom w:val="0"/>
      <w:divBdr>
        <w:top w:val="none" w:sz="0" w:space="0" w:color="auto"/>
        <w:left w:val="none" w:sz="0" w:space="0" w:color="auto"/>
        <w:bottom w:val="none" w:sz="0" w:space="0" w:color="auto"/>
        <w:right w:val="none" w:sz="0" w:space="0" w:color="auto"/>
      </w:divBdr>
    </w:div>
    <w:div w:id="1562131240">
      <w:bodyDiv w:val="1"/>
      <w:marLeft w:val="0"/>
      <w:marRight w:val="0"/>
      <w:marTop w:val="0"/>
      <w:marBottom w:val="0"/>
      <w:divBdr>
        <w:top w:val="none" w:sz="0" w:space="0" w:color="auto"/>
        <w:left w:val="none" w:sz="0" w:space="0" w:color="auto"/>
        <w:bottom w:val="none" w:sz="0" w:space="0" w:color="auto"/>
        <w:right w:val="none" w:sz="0" w:space="0" w:color="auto"/>
      </w:divBdr>
    </w:div>
    <w:div w:id="1582258019">
      <w:bodyDiv w:val="1"/>
      <w:marLeft w:val="0"/>
      <w:marRight w:val="0"/>
      <w:marTop w:val="0"/>
      <w:marBottom w:val="0"/>
      <w:divBdr>
        <w:top w:val="none" w:sz="0" w:space="0" w:color="auto"/>
        <w:left w:val="none" w:sz="0" w:space="0" w:color="auto"/>
        <w:bottom w:val="none" w:sz="0" w:space="0" w:color="auto"/>
        <w:right w:val="none" w:sz="0" w:space="0" w:color="auto"/>
      </w:divBdr>
    </w:div>
    <w:div w:id="1586768795">
      <w:bodyDiv w:val="1"/>
      <w:marLeft w:val="0"/>
      <w:marRight w:val="0"/>
      <w:marTop w:val="0"/>
      <w:marBottom w:val="0"/>
      <w:divBdr>
        <w:top w:val="none" w:sz="0" w:space="0" w:color="auto"/>
        <w:left w:val="none" w:sz="0" w:space="0" w:color="auto"/>
        <w:bottom w:val="none" w:sz="0" w:space="0" w:color="auto"/>
        <w:right w:val="none" w:sz="0" w:space="0" w:color="auto"/>
      </w:divBdr>
    </w:div>
    <w:div w:id="1595286898">
      <w:bodyDiv w:val="1"/>
      <w:marLeft w:val="0"/>
      <w:marRight w:val="0"/>
      <w:marTop w:val="0"/>
      <w:marBottom w:val="0"/>
      <w:divBdr>
        <w:top w:val="none" w:sz="0" w:space="0" w:color="auto"/>
        <w:left w:val="none" w:sz="0" w:space="0" w:color="auto"/>
        <w:bottom w:val="none" w:sz="0" w:space="0" w:color="auto"/>
        <w:right w:val="none" w:sz="0" w:space="0" w:color="auto"/>
      </w:divBdr>
    </w:div>
    <w:div w:id="1598751712">
      <w:bodyDiv w:val="1"/>
      <w:marLeft w:val="0"/>
      <w:marRight w:val="0"/>
      <w:marTop w:val="0"/>
      <w:marBottom w:val="0"/>
      <w:divBdr>
        <w:top w:val="none" w:sz="0" w:space="0" w:color="auto"/>
        <w:left w:val="none" w:sz="0" w:space="0" w:color="auto"/>
        <w:bottom w:val="none" w:sz="0" w:space="0" w:color="auto"/>
        <w:right w:val="none" w:sz="0" w:space="0" w:color="auto"/>
      </w:divBdr>
    </w:div>
    <w:div w:id="1608344882">
      <w:bodyDiv w:val="1"/>
      <w:marLeft w:val="0"/>
      <w:marRight w:val="0"/>
      <w:marTop w:val="0"/>
      <w:marBottom w:val="0"/>
      <w:divBdr>
        <w:top w:val="none" w:sz="0" w:space="0" w:color="auto"/>
        <w:left w:val="none" w:sz="0" w:space="0" w:color="auto"/>
        <w:bottom w:val="none" w:sz="0" w:space="0" w:color="auto"/>
        <w:right w:val="none" w:sz="0" w:space="0" w:color="auto"/>
      </w:divBdr>
    </w:div>
    <w:div w:id="1623926840">
      <w:bodyDiv w:val="1"/>
      <w:marLeft w:val="0"/>
      <w:marRight w:val="0"/>
      <w:marTop w:val="0"/>
      <w:marBottom w:val="0"/>
      <w:divBdr>
        <w:top w:val="none" w:sz="0" w:space="0" w:color="auto"/>
        <w:left w:val="none" w:sz="0" w:space="0" w:color="auto"/>
        <w:bottom w:val="none" w:sz="0" w:space="0" w:color="auto"/>
        <w:right w:val="none" w:sz="0" w:space="0" w:color="auto"/>
      </w:divBdr>
    </w:div>
    <w:div w:id="1629626179">
      <w:bodyDiv w:val="1"/>
      <w:marLeft w:val="0"/>
      <w:marRight w:val="0"/>
      <w:marTop w:val="0"/>
      <w:marBottom w:val="0"/>
      <w:divBdr>
        <w:top w:val="none" w:sz="0" w:space="0" w:color="auto"/>
        <w:left w:val="none" w:sz="0" w:space="0" w:color="auto"/>
        <w:bottom w:val="none" w:sz="0" w:space="0" w:color="auto"/>
        <w:right w:val="none" w:sz="0" w:space="0" w:color="auto"/>
      </w:divBdr>
    </w:div>
    <w:div w:id="1639188514">
      <w:bodyDiv w:val="1"/>
      <w:marLeft w:val="0"/>
      <w:marRight w:val="0"/>
      <w:marTop w:val="0"/>
      <w:marBottom w:val="0"/>
      <w:divBdr>
        <w:top w:val="none" w:sz="0" w:space="0" w:color="auto"/>
        <w:left w:val="none" w:sz="0" w:space="0" w:color="auto"/>
        <w:bottom w:val="none" w:sz="0" w:space="0" w:color="auto"/>
        <w:right w:val="none" w:sz="0" w:space="0" w:color="auto"/>
      </w:divBdr>
    </w:div>
    <w:div w:id="1649439845">
      <w:bodyDiv w:val="1"/>
      <w:marLeft w:val="0"/>
      <w:marRight w:val="0"/>
      <w:marTop w:val="0"/>
      <w:marBottom w:val="0"/>
      <w:divBdr>
        <w:top w:val="none" w:sz="0" w:space="0" w:color="auto"/>
        <w:left w:val="none" w:sz="0" w:space="0" w:color="auto"/>
        <w:bottom w:val="none" w:sz="0" w:space="0" w:color="auto"/>
        <w:right w:val="none" w:sz="0" w:space="0" w:color="auto"/>
      </w:divBdr>
    </w:div>
    <w:div w:id="1652364323">
      <w:bodyDiv w:val="1"/>
      <w:marLeft w:val="0"/>
      <w:marRight w:val="0"/>
      <w:marTop w:val="0"/>
      <w:marBottom w:val="0"/>
      <w:divBdr>
        <w:top w:val="none" w:sz="0" w:space="0" w:color="auto"/>
        <w:left w:val="none" w:sz="0" w:space="0" w:color="auto"/>
        <w:bottom w:val="none" w:sz="0" w:space="0" w:color="auto"/>
        <w:right w:val="none" w:sz="0" w:space="0" w:color="auto"/>
      </w:divBdr>
    </w:div>
    <w:div w:id="1657105422">
      <w:bodyDiv w:val="1"/>
      <w:marLeft w:val="0"/>
      <w:marRight w:val="0"/>
      <w:marTop w:val="0"/>
      <w:marBottom w:val="0"/>
      <w:divBdr>
        <w:top w:val="none" w:sz="0" w:space="0" w:color="auto"/>
        <w:left w:val="none" w:sz="0" w:space="0" w:color="auto"/>
        <w:bottom w:val="none" w:sz="0" w:space="0" w:color="auto"/>
        <w:right w:val="none" w:sz="0" w:space="0" w:color="auto"/>
      </w:divBdr>
    </w:div>
    <w:div w:id="1659260089">
      <w:bodyDiv w:val="1"/>
      <w:marLeft w:val="0"/>
      <w:marRight w:val="0"/>
      <w:marTop w:val="0"/>
      <w:marBottom w:val="0"/>
      <w:divBdr>
        <w:top w:val="none" w:sz="0" w:space="0" w:color="auto"/>
        <w:left w:val="none" w:sz="0" w:space="0" w:color="auto"/>
        <w:bottom w:val="none" w:sz="0" w:space="0" w:color="auto"/>
        <w:right w:val="none" w:sz="0" w:space="0" w:color="auto"/>
      </w:divBdr>
    </w:div>
    <w:div w:id="1681548078">
      <w:bodyDiv w:val="1"/>
      <w:marLeft w:val="0"/>
      <w:marRight w:val="0"/>
      <w:marTop w:val="0"/>
      <w:marBottom w:val="0"/>
      <w:divBdr>
        <w:top w:val="none" w:sz="0" w:space="0" w:color="auto"/>
        <w:left w:val="none" w:sz="0" w:space="0" w:color="auto"/>
        <w:bottom w:val="none" w:sz="0" w:space="0" w:color="auto"/>
        <w:right w:val="none" w:sz="0" w:space="0" w:color="auto"/>
      </w:divBdr>
    </w:div>
    <w:div w:id="1684477189">
      <w:bodyDiv w:val="1"/>
      <w:marLeft w:val="0"/>
      <w:marRight w:val="0"/>
      <w:marTop w:val="0"/>
      <w:marBottom w:val="0"/>
      <w:divBdr>
        <w:top w:val="none" w:sz="0" w:space="0" w:color="auto"/>
        <w:left w:val="none" w:sz="0" w:space="0" w:color="auto"/>
        <w:bottom w:val="none" w:sz="0" w:space="0" w:color="auto"/>
        <w:right w:val="none" w:sz="0" w:space="0" w:color="auto"/>
      </w:divBdr>
    </w:div>
    <w:div w:id="1685588966">
      <w:bodyDiv w:val="1"/>
      <w:marLeft w:val="0"/>
      <w:marRight w:val="0"/>
      <w:marTop w:val="0"/>
      <w:marBottom w:val="0"/>
      <w:divBdr>
        <w:top w:val="none" w:sz="0" w:space="0" w:color="auto"/>
        <w:left w:val="none" w:sz="0" w:space="0" w:color="auto"/>
        <w:bottom w:val="none" w:sz="0" w:space="0" w:color="auto"/>
        <w:right w:val="none" w:sz="0" w:space="0" w:color="auto"/>
      </w:divBdr>
      <w:divsChild>
        <w:div w:id="13269740">
          <w:marLeft w:val="0"/>
          <w:marRight w:val="0"/>
          <w:marTop w:val="0"/>
          <w:marBottom w:val="0"/>
          <w:divBdr>
            <w:top w:val="none" w:sz="0" w:space="0" w:color="auto"/>
            <w:left w:val="none" w:sz="0" w:space="0" w:color="auto"/>
            <w:bottom w:val="none" w:sz="0" w:space="0" w:color="auto"/>
            <w:right w:val="none" w:sz="0" w:space="0" w:color="auto"/>
          </w:divBdr>
        </w:div>
        <w:div w:id="303048520">
          <w:marLeft w:val="0"/>
          <w:marRight w:val="0"/>
          <w:marTop w:val="0"/>
          <w:marBottom w:val="0"/>
          <w:divBdr>
            <w:top w:val="none" w:sz="0" w:space="0" w:color="auto"/>
            <w:left w:val="none" w:sz="0" w:space="0" w:color="auto"/>
            <w:bottom w:val="none" w:sz="0" w:space="0" w:color="auto"/>
            <w:right w:val="none" w:sz="0" w:space="0" w:color="auto"/>
          </w:divBdr>
        </w:div>
        <w:div w:id="494146224">
          <w:marLeft w:val="0"/>
          <w:marRight w:val="0"/>
          <w:marTop w:val="0"/>
          <w:marBottom w:val="0"/>
          <w:divBdr>
            <w:top w:val="none" w:sz="0" w:space="0" w:color="auto"/>
            <w:left w:val="none" w:sz="0" w:space="0" w:color="auto"/>
            <w:bottom w:val="none" w:sz="0" w:space="0" w:color="auto"/>
            <w:right w:val="none" w:sz="0" w:space="0" w:color="auto"/>
          </w:divBdr>
        </w:div>
        <w:div w:id="958297215">
          <w:marLeft w:val="0"/>
          <w:marRight w:val="0"/>
          <w:marTop w:val="0"/>
          <w:marBottom w:val="0"/>
          <w:divBdr>
            <w:top w:val="none" w:sz="0" w:space="0" w:color="auto"/>
            <w:left w:val="none" w:sz="0" w:space="0" w:color="auto"/>
            <w:bottom w:val="none" w:sz="0" w:space="0" w:color="auto"/>
            <w:right w:val="none" w:sz="0" w:space="0" w:color="auto"/>
          </w:divBdr>
        </w:div>
        <w:div w:id="1608348565">
          <w:marLeft w:val="0"/>
          <w:marRight w:val="0"/>
          <w:marTop w:val="0"/>
          <w:marBottom w:val="0"/>
          <w:divBdr>
            <w:top w:val="none" w:sz="0" w:space="0" w:color="auto"/>
            <w:left w:val="none" w:sz="0" w:space="0" w:color="auto"/>
            <w:bottom w:val="none" w:sz="0" w:space="0" w:color="auto"/>
            <w:right w:val="none" w:sz="0" w:space="0" w:color="auto"/>
          </w:divBdr>
        </w:div>
        <w:div w:id="1741362051">
          <w:marLeft w:val="0"/>
          <w:marRight w:val="0"/>
          <w:marTop w:val="0"/>
          <w:marBottom w:val="0"/>
          <w:divBdr>
            <w:top w:val="none" w:sz="0" w:space="0" w:color="auto"/>
            <w:left w:val="none" w:sz="0" w:space="0" w:color="auto"/>
            <w:bottom w:val="none" w:sz="0" w:space="0" w:color="auto"/>
            <w:right w:val="none" w:sz="0" w:space="0" w:color="auto"/>
          </w:divBdr>
        </w:div>
      </w:divsChild>
    </w:div>
    <w:div w:id="1719280359">
      <w:bodyDiv w:val="1"/>
      <w:marLeft w:val="0"/>
      <w:marRight w:val="0"/>
      <w:marTop w:val="0"/>
      <w:marBottom w:val="0"/>
      <w:divBdr>
        <w:top w:val="none" w:sz="0" w:space="0" w:color="auto"/>
        <w:left w:val="none" w:sz="0" w:space="0" w:color="auto"/>
        <w:bottom w:val="none" w:sz="0" w:space="0" w:color="auto"/>
        <w:right w:val="none" w:sz="0" w:space="0" w:color="auto"/>
      </w:divBdr>
    </w:div>
    <w:div w:id="1722753279">
      <w:bodyDiv w:val="1"/>
      <w:marLeft w:val="0"/>
      <w:marRight w:val="0"/>
      <w:marTop w:val="0"/>
      <w:marBottom w:val="0"/>
      <w:divBdr>
        <w:top w:val="none" w:sz="0" w:space="0" w:color="auto"/>
        <w:left w:val="none" w:sz="0" w:space="0" w:color="auto"/>
        <w:bottom w:val="none" w:sz="0" w:space="0" w:color="auto"/>
        <w:right w:val="none" w:sz="0" w:space="0" w:color="auto"/>
      </w:divBdr>
    </w:div>
    <w:div w:id="1738626234">
      <w:bodyDiv w:val="1"/>
      <w:marLeft w:val="0"/>
      <w:marRight w:val="0"/>
      <w:marTop w:val="0"/>
      <w:marBottom w:val="0"/>
      <w:divBdr>
        <w:top w:val="none" w:sz="0" w:space="0" w:color="auto"/>
        <w:left w:val="none" w:sz="0" w:space="0" w:color="auto"/>
        <w:bottom w:val="none" w:sz="0" w:space="0" w:color="auto"/>
        <w:right w:val="none" w:sz="0" w:space="0" w:color="auto"/>
      </w:divBdr>
    </w:div>
    <w:div w:id="1739784342">
      <w:bodyDiv w:val="1"/>
      <w:marLeft w:val="0"/>
      <w:marRight w:val="0"/>
      <w:marTop w:val="0"/>
      <w:marBottom w:val="0"/>
      <w:divBdr>
        <w:top w:val="none" w:sz="0" w:space="0" w:color="auto"/>
        <w:left w:val="none" w:sz="0" w:space="0" w:color="auto"/>
        <w:bottom w:val="none" w:sz="0" w:space="0" w:color="auto"/>
        <w:right w:val="none" w:sz="0" w:space="0" w:color="auto"/>
      </w:divBdr>
    </w:div>
    <w:div w:id="1796437161">
      <w:bodyDiv w:val="1"/>
      <w:marLeft w:val="0"/>
      <w:marRight w:val="0"/>
      <w:marTop w:val="0"/>
      <w:marBottom w:val="0"/>
      <w:divBdr>
        <w:top w:val="none" w:sz="0" w:space="0" w:color="auto"/>
        <w:left w:val="none" w:sz="0" w:space="0" w:color="auto"/>
        <w:bottom w:val="none" w:sz="0" w:space="0" w:color="auto"/>
        <w:right w:val="none" w:sz="0" w:space="0" w:color="auto"/>
      </w:divBdr>
    </w:div>
    <w:div w:id="1799687638">
      <w:bodyDiv w:val="1"/>
      <w:marLeft w:val="0"/>
      <w:marRight w:val="0"/>
      <w:marTop w:val="0"/>
      <w:marBottom w:val="0"/>
      <w:divBdr>
        <w:top w:val="none" w:sz="0" w:space="0" w:color="auto"/>
        <w:left w:val="none" w:sz="0" w:space="0" w:color="auto"/>
        <w:bottom w:val="none" w:sz="0" w:space="0" w:color="auto"/>
        <w:right w:val="none" w:sz="0" w:space="0" w:color="auto"/>
      </w:divBdr>
    </w:div>
    <w:div w:id="1818960145">
      <w:bodyDiv w:val="1"/>
      <w:marLeft w:val="0"/>
      <w:marRight w:val="0"/>
      <w:marTop w:val="0"/>
      <w:marBottom w:val="0"/>
      <w:divBdr>
        <w:top w:val="none" w:sz="0" w:space="0" w:color="auto"/>
        <w:left w:val="none" w:sz="0" w:space="0" w:color="auto"/>
        <w:bottom w:val="none" w:sz="0" w:space="0" w:color="auto"/>
        <w:right w:val="none" w:sz="0" w:space="0" w:color="auto"/>
      </w:divBdr>
    </w:div>
    <w:div w:id="1823230172">
      <w:bodyDiv w:val="1"/>
      <w:marLeft w:val="0"/>
      <w:marRight w:val="0"/>
      <w:marTop w:val="0"/>
      <w:marBottom w:val="0"/>
      <w:divBdr>
        <w:top w:val="none" w:sz="0" w:space="0" w:color="auto"/>
        <w:left w:val="none" w:sz="0" w:space="0" w:color="auto"/>
        <w:bottom w:val="none" w:sz="0" w:space="0" w:color="auto"/>
        <w:right w:val="none" w:sz="0" w:space="0" w:color="auto"/>
      </w:divBdr>
    </w:div>
    <w:div w:id="1836991424">
      <w:bodyDiv w:val="1"/>
      <w:marLeft w:val="0"/>
      <w:marRight w:val="0"/>
      <w:marTop w:val="0"/>
      <w:marBottom w:val="0"/>
      <w:divBdr>
        <w:top w:val="none" w:sz="0" w:space="0" w:color="auto"/>
        <w:left w:val="none" w:sz="0" w:space="0" w:color="auto"/>
        <w:bottom w:val="none" w:sz="0" w:space="0" w:color="auto"/>
        <w:right w:val="none" w:sz="0" w:space="0" w:color="auto"/>
      </w:divBdr>
    </w:div>
    <w:div w:id="1838767056">
      <w:bodyDiv w:val="1"/>
      <w:marLeft w:val="0"/>
      <w:marRight w:val="0"/>
      <w:marTop w:val="0"/>
      <w:marBottom w:val="0"/>
      <w:divBdr>
        <w:top w:val="none" w:sz="0" w:space="0" w:color="auto"/>
        <w:left w:val="none" w:sz="0" w:space="0" w:color="auto"/>
        <w:bottom w:val="none" w:sz="0" w:space="0" w:color="auto"/>
        <w:right w:val="none" w:sz="0" w:space="0" w:color="auto"/>
      </w:divBdr>
    </w:div>
    <w:div w:id="1841695139">
      <w:bodyDiv w:val="1"/>
      <w:marLeft w:val="0"/>
      <w:marRight w:val="0"/>
      <w:marTop w:val="0"/>
      <w:marBottom w:val="0"/>
      <w:divBdr>
        <w:top w:val="none" w:sz="0" w:space="0" w:color="auto"/>
        <w:left w:val="none" w:sz="0" w:space="0" w:color="auto"/>
        <w:bottom w:val="none" w:sz="0" w:space="0" w:color="auto"/>
        <w:right w:val="none" w:sz="0" w:space="0" w:color="auto"/>
      </w:divBdr>
    </w:div>
    <w:div w:id="1844389639">
      <w:bodyDiv w:val="1"/>
      <w:marLeft w:val="0"/>
      <w:marRight w:val="0"/>
      <w:marTop w:val="0"/>
      <w:marBottom w:val="0"/>
      <w:divBdr>
        <w:top w:val="none" w:sz="0" w:space="0" w:color="auto"/>
        <w:left w:val="none" w:sz="0" w:space="0" w:color="auto"/>
        <w:bottom w:val="none" w:sz="0" w:space="0" w:color="auto"/>
        <w:right w:val="none" w:sz="0" w:space="0" w:color="auto"/>
      </w:divBdr>
    </w:div>
    <w:div w:id="1866480067">
      <w:bodyDiv w:val="1"/>
      <w:marLeft w:val="0"/>
      <w:marRight w:val="0"/>
      <w:marTop w:val="0"/>
      <w:marBottom w:val="0"/>
      <w:divBdr>
        <w:top w:val="none" w:sz="0" w:space="0" w:color="auto"/>
        <w:left w:val="none" w:sz="0" w:space="0" w:color="auto"/>
        <w:bottom w:val="none" w:sz="0" w:space="0" w:color="auto"/>
        <w:right w:val="none" w:sz="0" w:space="0" w:color="auto"/>
      </w:divBdr>
    </w:div>
    <w:div w:id="1872569656">
      <w:bodyDiv w:val="1"/>
      <w:marLeft w:val="0"/>
      <w:marRight w:val="0"/>
      <w:marTop w:val="0"/>
      <w:marBottom w:val="0"/>
      <w:divBdr>
        <w:top w:val="none" w:sz="0" w:space="0" w:color="auto"/>
        <w:left w:val="none" w:sz="0" w:space="0" w:color="auto"/>
        <w:bottom w:val="none" w:sz="0" w:space="0" w:color="auto"/>
        <w:right w:val="none" w:sz="0" w:space="0" w:color="auto"/>
      </w:divBdr>
    </w:div>
    <w:div w:id="1885294414">
      <w:bodyDiv w:val="1"/>
      <w:marLeft w:val="0"/>
      <w:marRight w:val="0"/>
      <w:marTop w:val="0"/>
      <w:marBottom w:val="0"/>
      <w:divBdr>
        <w:top w:val="none" w:sz="0" w:space="0" w:color="auto"/>
        <w:left w:val="none" w:sz="0" w:space="0" w:color="auto"/>
        <w:bottom w:val="none" w:sz="0" w:space="0" w:color="auto"/>
        <w:right w:val="none" w:sz="0" w:space="0" w:color="auto"/>
      </w:divBdr>
    </w:div>
    <w:div w:id="1892576974">
      <w:bodyDiv w:val="1"/>
      <w:marLeft w:val="0"/>
      <w:marRight w:val="0"/>
      <w:marTop w:val="0"/>
      <w:marBottom w:val="0"/>
      <w:divBdr>
        <w:top w:val="none" w:sz="0" w:space="0" w:color="auto"/>
        <w:left w:val="none" w:sz="0" w:space="0" w:color="auto"/>
        <w:bottom w:val="none" w:sz="0" w:space="0" w:color="auto"/>
        <w:right w:val="none" w:sz="0" w:space="0" w:color="auto"/>
      </w:divBdr>
    </w:div>
    <w:div w:id="1899168074">
      <w:bodyDiv w:val="1"/>
      <w:marLeft w:val="0"/>
      <w:marRight w:val="0"/>
      <w:marTop w:val="0"/>
      <w:marBottom w:val="0"/>
      <w:divBdr>
        <w:top w:val="none" w:sz="0" w:space="0" w:color="auto"/>
        <w:left w:val="none" w:sz="0" w:space="0" w:color="auto"/>
        <w:bottom w:val="none" w:sz="0" w:space="0" w:color="auto"/>
        <w:right w:val="none" w:sz="0" w:space="0" w:color="auto"/>
      </w:divBdr>
    </w:div>
    <w:div w:id="1921257659">
      <w:bodyDiv w:val="1"/>
      <w:marLeft w:val="0"/>
      <w:marRight w:val="0"/>
      <w:marTop w:val="0"/>
      <w:marBottom w:val="0"/>
      <w:divBdr>
        <w:top w:val="none" w:sz="0" w:space="0" w:color="auto"/>
        <w:left w:val="none" w:sz="0" w:space="0" w:color="auto"/>
        <w:bottom w:val="none" w:sz="0" w:space="0" w:color="auto"/>
        <w:right w:val="none" w:sz="0" w:space="0" w:color="auto"/>
      </w:divBdr>
    </w:div>
    <w:div w:id="1934705078">
      <w:bodyDiv w:val="1"/>
      <w:marLeft w:val="0"/>
      <w:marRight w:val="0"/>
      <w:marTop w:val="0"/>
      <w:marBottom w:val="0"/>
      <w:divBdr>
        <w:top w:val="none" w:sz="0" w:space="0" w:color="auto"/>
        <w:left w:val="none" w:sz="0" w:space="0" w:color="auto"/>
        <w:bottom w:val="none" w:sz="0" w:space="0" w:color="auto"/>
        <w:right w:val="none" w:sz="0" w:space="0" w:color="auto"/>
      </w:divBdr>
    </w:div>
    <w:div w:id="1953439650">
      <w:bodyDiv w:val="1"/>
      <w:marLeft w:val="0"/>
      <w:marRight w:val="0"/>
      <w:marTop w:val="0"/>
      <w:marBottom w:val="0"/>
      <w:divBdr>
        <w:top w:val="none" w:sz="0" w:space="0" w:color="auto"/>
        <w:left w:val="none" w:sz="0" w:space="0" w:color="auto"/>
        <w:bottom w:val="none" w:sz="0" w:space="0" w:color="auto"/>
        <w:right w:val="none" w:sz="0" w:space="0" w:color="auto"/>
      </w:divBdr>
    </w:div>
    <w:div w:id="1956673232">
      <w:bodyDiv w:val="1"/>
      <w:marLeft w:val="0"/>
      <w:marRight w:val="0"/>
      <w:marTop w:val="0"/>
      <w:marBottom w:val="0"/>
      <w:divBdr>
        <w:top w:val="none" w:sz="0" w:space="0" w:color="auto"/>
        <w:left w:val="none" w:sz="0" w:space="0" w:color="auto"/>
        <w:bottom w:val="none" w:sz="0" w:space="0" w:color="auto"/>
        <w:right w:val="none" w:sz="0" w:space="0" w:color="auto"/>
      </w:divBdr>
    </w:div>
    <w:div w:id="1962564102">
      <w:bodyDiv w:val="1"/>
      <w:marLeft w:val="0"/>
      <w:marRight w:val="0"/>
      <w:marTop w:val="0"/>
      <w:marBottom w:val="0"/>
      <w:divBdr>
        <w:top w:val="none" w:sz="0" w:space="0" w:color="auto"/>
        <w:left w:val="none" w:sz="0" w:space="0" w:color="auto"/>
        <w:bottom w:val="none" w:sz="0" w:space="0" w:color="auto"/>
        <w:right w:val="none" w:sz="0" w:space="0" w:color="auto"/>
      </w:divBdr>
    </w:div>
    <w:div w:id="1969705012">
      <w:bodyDiv w:val="1"/>
      <w:marLeft w:val="0"/>
      <w:marRight w:val="0"/>
      <w:marTop w:val="0"/>
      <w:marBottom w:val="0"/>
      <w:divBdr>
        <w:top w:val="none" w:sz="0" w:space="0" w:color="auto"/>
        <w:left w:val="none" w:sz="0" w:space="0" w:color="auto"/>
        <w:bottom w:val="none" w:sz="0" w:space="0" w:color="auto"/>
        <w:right w:val="none" w:sz="0" w:space="0" w:color="auto"/>
      </w:divBdr>
    </w:div>
    <w:div w:id="1975215197">
      <w:bodyDiv w:val="1"/>
      <w:marLeft w:val="0"/>
      <w:marRight w:val="0"/>
      <w:marTop w:val="0"/>
      <w:marBottom w:val="0"/>
      <w:divBdr>
        <w:top w:val="none" w:sz="0" w:space="0" w:color="auto"/>
        <w:left w:val="none" w:sz="0" w:space="0" w:color="auto"/>
        <w:bottom w:val="none" w:sz="0" w:space="0" w:color="auto"/>
        <w:right w:val="none" w:sz="0" w:space="0" w:color="auto"/>
      </w:divBdr>
    </w:div>
    <w:div w:id="1984264449">
      <w:bodyDiv w:val="1"/>
      <w:marLeft w:val="0"/>
      <w:marRight w:val="0"/>
      <w:marTop w:val="0"/>
      <w:marBottom w:val="0"/>
      <w:divBdr>
        <w:top w:val="none" w:sz="0" w:space="0" w:color="auto"/>
        <w:left w:val="none" w:sz="0" w:space="0" w:color="auto"/>
        <w:bottom w:val="none" w:sz="0" w:space="0" w:color="auto"/>
        <w:right w:val="none" w:sz="0" w:space="0" w:color="auto"/>
      </w:divBdr>
    </w:div>
    <w:div w:id="2009946048">
      <w:bodyDiv w:val="1"/>
      <w:marLeft w:val="0"/>
      <w:marRight w:val="0"/>
      <w:marTop w:val="0"/>
      <w:marBottom w:val="0"/>
      <w:divBdr>
        <w:top w:val="none" w:sz="0" w:space="0" w:color="auto"/>
        <w:left w:val="none" w:sz="0" w:space="0" w:color="auto"/>
        <w:bottom w:val="none" w:sz="0" w:space="0" w:color="auto"/>
        <w:right w:val="none" w:sz="0" w:space="0" w:color="auto"/>
      </w:divBdr>
    </w:div>
    <w:div w:id="2037999383">
      <w:bodyDiv w:val="1"/>
      <w:marLeft w:val="0"/>
      <w:marRight w:val="0"/>
      <w:marTop w:val="0"/>
      <w:marBottom w:val="0"/>
      <w:divBdr>
        <w:top w:val="none" w:sz="0" w:space="0" w:color="auto"/>
        <w:left w:val="none" w:sz="0" w:space="0" w:color="auto"/>
        <w:bottom w:val="none" w:sz="0" w:space="0" w:color="auto"/>
        <w:right w:val="none" w:sz="0" w:space="0" w:color="auto"/>
      </w:divBdr>
    </w:div>
    <w:div w:id="2048290192">
      <w:bodyDiv w:val="1"/>
      <w:marLeft w:val="0"/>
      <w:marRight w:val="0"/>
      <w:marTop w:val="0"/>
      <w:marBottom w:val="0"/>
      <w:divBdr>
        <w:top w:val="none" w:sz="0" w:space="0" w:color="auto"/>
        <w:left w:val="none" w:sz="0" w:space="0" w:color="auto"/>
        <w:bottom w:val="none" w:sz="0" w:space="0" w:color="auto"/>
        <w:right w:val="none" w:sz="0" w:space="0" w:color="auto"/>
      </w:divBdr>
    </w:div>
    <w:div w:id="2057002362">
      <w:bodyDiv w:val="1"/>
      <w:marLeft w:val="0"/>
      <w:marRight w:val="0"/>
      <w:marTop w:val="0"/>
      <w:marBottom w:val="0"/>
      <w:divBdr>
        <w:top w:val="none" w:sz="0" w:space="0" w:color="auto"/>
        <w:left w:val="none" w:sz="0" w:space="0" w:color="auto"/>
        <w:bottom w:val="none" w:sz="0" w:space="0" w:color="auto"/>
        <w:right w:val="none" w:sz="0" w:space="0" w:color="auto"/>
      </w:divBdr>
    </w:div>
    <w:div w:id="2058118609">
      <w:bodyDiv w:val="1"/>
      <w:marLeft w:val="0"/>
      <w:marRight w:val="0"/>
      <w:marTop w:val="0"/>
      <w:marBottom w:val="0"/>
      <w:divBdr>
        <w:top w:val="none" w:sz="0" w:space="0" w:color="auto"/>
        <w:left w:val="none" w:sz="0" w:space="0" w:color="auto"/>
        <w:bottom w:val="none" w:sz="0" w:space="0" w:color="auto"/>
        <w:right w:val="none" w:sz="0" w:space="0" w:color="auto"/>
      </w:divBdr>
    </w:div>
    <w:div w:id="2060283253">
      <w:bodyDiv w:val="1"/>
      <w:marLeft w:val="0"/>
      <w:marRight w:val="0"/>
      <w:marTop w:val="0"/>
      <w:marBottom w:val="0"/>
      <w:divBdr>
        <w:top w:val="none" w:sz="0" w:space="0" w:color="auto"/>
        <w:left w:val="none" w:sz="0" w:space="0" w:color="auto"/>
        <w:bottom w:val="none" w:sz="0" w:space="0" w:color="auto"/>
        <w:right w:val="none" w:sz="0" w:space="0" w:color="auto"/>
      </w:divBdr>
    </w:div>
    <w:div w:id="2061589335">
      <w:bodyDiv w:val="1"/>
      <w:marLeft w:val="0"/>
      <w:marRight w:val="0"/>
      <w:marTop w:val="0"/>
      <w:marBottom w:val="0"/>
      <w:divBdr>
        <w:top w:val="none" w:sz="0" w:space="0" w:color="auto"/>
        <w:left w:val="none" w:sz="0" w:space="0" w:color="auto"/>
        <w:bottom w:val="none" w:sz="0" w:space="0" w:color="auto"/>
        <w:right w:val="none" w:sz="0" w:space="0" w:color="auto"/>
      </w:divBdr>
    </w:div>
    <w:div w:id="2066833829">
      <w:bodyDiv w:val="1"/>
      <w:marLeft w:val="0"/>
      <w:marRight w:val="0"/>
      <w:marTop w:val="0"/>
      <w:marBottom w:val="0"/>
      <w:divBdr>
        <w:top w:val="none" w:sz="0" w:space="0" w:color="auto"/>
        <w:left w:val="none" w:sz="0" w:space="0" w:color="auto"/>
        <w:bottom w:val="none" w:sz="0" w:space="0" w:color="auto"/>
        <w:right w:val="none" w:sz="0" w:space="0" w:color="auto"/>
      </w:divBdr>
    </w:div>
    <w:div w:id="2068796161">
      <w:bodyDiv w:val="1"/>
      <w:marLeft w:val="0"/>
      <w:marRight w:val="0"/>
      <w:marTop w:val="0"/>
      <w:marBottom w:val="0"/>
      <w:divBdr>
        <w:top w:val="none" w:sz="0" w:space="0" w:color="auto"/>
        <w:left w:val="none" w:sz="0" w:space="0" w:color="auto"/>
        <w:bottom w:val="none" w:sz="0" w:space="0" w:color="auto"/>
        <w:right w:val="none" w:sz="0" w:space="0" w:color="auto"/>
      </w:divBdr>
    </w:div>
    <w:div w:id="2077044181">
      <w:bodyDiv w:val="1"/>
      <w:marLeft w:val="0"/>
      <w:marRight w:val="0"/>
      <w:marTop w:val="0"/>
      <w:marBottom w:val="0"/>
      <w:divBdr>
        <w:top w:val="none" w:sz="0" w:space="0" w:color="auto"/>
        <w:left w:val="none" w:sz="0" w:space="0" w:color="auto"/>
        <w:bottom w:val="none" w:sz="0" w:space="0" w:color="auto"/>
        <w:right w:val="none" w:sz="0" w:space="0" w:color="auto"/>
      </w:divBdr>
    </w:div>
    <w:div w:id="2080512700">
      <w:bodyDiv w:val="1"/>
      <w:marLeft w:val="0"/>
      <w:marRight w:val="0"/>
      <w:marTop w:val="0"/>
      <w:marBottom w:val="0"/>
      <w:divBdr>
        <w:top w:val="none" w:sz="0" w:space="0" w:color="auto"/>
        <w:left w:val="none" w:sz="0" w:space="0" w:color="auto"/>
        <w:bottom w:val="none" w:sz="0" w:space="0" w:color="auto"/>
        <w:right w:val="none" w:sz="0" w:space="0" w:color="auto"/>
      </w:divBdr>
    </w:div>
    <w:div w:id="2108843503">
      <w:bodyDiv w:val="1"/>
      <w:marLeft w:val="0"/>
      <w:marRight w:val="0"/>
      <w:marTop w:val="0"/>
      <w:marBottom w:val="0"/>
      <w:divBdr>
        <w:top w:val="none" w:sz="0" w:space="0" w:color="auto"/>
        <w:left w:val="none" w:sz="0" w:space="0" w:color="auto"/>
        <w:bottom w:val="none" w:sz="0" w:space="0" w:color="auto"/>
        <w:right w:val="none" w:sz="0" w:space="0" w:color="auto"/>
      </w:divBdr>
    </w:div>
    <w:div w:id="2124838086">
      <w:bodyDiv w:val="1"/>
      <w:marLeft w:val="0"/>
      <w:marRight w:val="0"/>
      <w:marTop w:val="0"/>
      <w:marBottom w:val="0"/>
      <w:divBdr>
        <w:top w:val="none" w:sz="0" w:space="0" w:color="auto"/>
        <w:left w:val="none" w:sz="0" w:space="0" w:color="auto"/>
        <w:bottom w:val="none" w:sz="0" w:space="0" w:color="auto"/>
        <w:right w:val="none" w:sz="0" w:space="0" w:color="auto"/>
      </w:divBdr>
    </w:div>
    <w:div w:id="21446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header2.xml.rels><?xml version="1.0" encoding="UTF-8" standalone="yes"?>
<Relationships xmlns="http://schemas.openxmlformats.org/package/2006/relationships"><Relationship Id="rId1" Type="http://schemas.openxmlformats.org/officeDocument/2006/relationships/image" Target="media/image9.wmf"/></Relationships>
</file>

<file path=word/_rels/header3.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4AFD-FC9B-47BA-AD27-4BB96F51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32</Pages>
  <Words>7644</Words>
  <Characters>41282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PARECER DOS AUDITORES INDEPENDENTES</vt:lpstr>
    </vt:vector>
  </TitlesOfParts>
  <Company>Auditasse</Company>
  <LinksUpToDate>false</LinksUpToDate>
  <CharactersWithSpaces>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DOS AUDITORES INDEPENDENTES</dc:title>
  <dc:subject/>
  <dc:creator>Eduardo Pires Soares</dc:creator>
  <cp:keywords/>
  <cp:lastModifiedBy>Eduardo Soares</cp:lastModifiedBy>
  <cp:revision>12</cp:revision>
  <cp:lastPrinted>2020-07-23T01:02:00Z</cp:lastPrinted>
  <dcterms:created xsi:type="dcterms:W3CDTF">2020-09-01T12:10:00Z</dcterms:created>
  <dcterms:modified xsi:type="dcterms:W3CDTF">2020-10-06T13:04:00Z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-611699117</vt:i4>
  </property>
  <property fmtid="{D5CDD505-2E9C-101B-9397-08002B2CF9AE}" pid="3" name="_EmailSubject">
    <vt:lpwstr>relatorio docas</vt:lpwstr>
  </property>
  <property fmtid="{D5CDD505-2E9C-101B-9397-08002B2CF9AE}" pid="4" name="_AuthorEmail">
    <vt:lpwstr>auditasse@auditasse.com.br</vt:lpwstr>
  </property>
  <property fmtid="{D5CDD505-2E9C-101B-9397-08002B2CF9AE}" pid="5" name="_AuthorEmailDisplayName">
    <vt:lpwstr>Auditasse Auditores</vt:lpwstr>
  </property>
  <property fmtid="{D5CDD505-2E9C-101B-9397-08002B2CF9AE}" pid="6" name="_PreviousAdHocReviewCycleID">
    <vt:i4>1200401252</vt:i4>
  </property>
  <property fmtid="{D5CDD505-2E9C-101B-9397-08002B2CF9AE}" pid="7" name="_ReviewingToolsShownOnce">
    <vt:lpwstr/>
  </property>
</Properties>
</file>